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EF3B" w14:textId="77777777" w:rsidR="00634B9C" w:rsidRPr="000603AB" w:rsidRDefault="00634B9C" w:rsidP="0068753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C1D645B" w14:textId="77777777" w:rsidR="00634B9C" w:rsidRPr="00C35BC3" w:rsidRDefault="00634B9C" w:rsidP="00730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2672F" w14:textId="50FF5B45" w:rsidR="00EF0BF4" w:rsidRPr="00AC67DE" w:rsidRDefault="00575A7F" w:rsidP="00EF0BF4">
      <w:pPr>
        <w:pStyle w:val="Normlnywebov"/>
        <w:jc w:val="both"/>
        <w:divId w:val="2104955051"/>
      </w:pPr>
      <w:r w:rsidRPr="00056FAC">
        <w:t>Ministerstvo životného prostredia Slovenskej republiky (MŽP SR) predkladá podľa § 17 ods.</w:t>
      </w:r>
      <w:r w:rsidR="00730F3C" w:rsidRPr="00056FAC">
        <w:t> 3</w:t>
      </w:r>
      <w:r w:rsidR="002015B7" w:rsidRPr="00056FAC">
        <w:t xml:space="preserve"> a 10</w:t>
      </w:r>
      <w:r w:rsidR="00730F3C" w:rsidRPr="00056FAC">
        <w:t xml:space="preserve">, </w:t>
      </w:r>
      <w:r w:rsidRPr="00056FAC">
        <w:t>§</w:t>
      </w:r>
      <w:r w:rsidR="00730F3C" w:rsidRPr="00056FAC">
        <w:t> </w:t>
      </w:r>
      <w:r w:rsidRPr="00056FAC">
        <w:t>19 ods. 1 a</w:t>
      </w:r>
      <w:r w:rsidR="00056FAC" w:rsidRPr="00AC67DE">
        <w:t> </w:t>
      </w:r>
      <w:r w:rsidRPr="00AC67DE">
        <w:t>6</w:t>
      </w:r>
      <w:r w:rsidR="00056FAC" w:rsidRPr="00AC67DE">
        <w:t>,</w:t>
      </w:r>
      <w:r w:rsidRPr="00AC67DE">
        <w:t xml:space="preserve"> § 30 ods.</w:t>
      </w:r>
      <w:r w:rsidR="00B62374" w:rsidRPr="00AC67DE">
        <w:t xml:space="preserve"> </w:t>
      </w:r>
      <w:r w:rsidR="00056FAC" w:rsidRPr="00AC67DE">
        <w:t>4</w:t>
      </w:r>
      <w:r w:rsidR="00DD5149" w:rsidRPr="00AC67DE">
        <w:t xml:space="preserve"> a</w:t>
      </w:r>
      <w:r w:rsidR="00056FAC" w:rsidRPr="00AC67DE">
        <w:t> </w:t>
      </w:r>
      <w:r w:rsidRPr="00AC67DE">
        <w:t>7</w:t>
      </w:r>
      <w:r w:rsidR="00056FAC" w:rsidRPr="00AC67DE">
        <w:t xml:space="preserve"> a §</w:t>
      </w:r>
      <w:r w:rsidR="006F131D">
        <w:t xml:space="preserve"> </w:t>
      </w:r>
      <w:r w:rsidR="00056FAC" w:rsidRPr="00AC67DE">
        <w:t>53 ods. 1</w:t>
      </w:r>
      <w:r w:rsidRPr="00AC67DE">
        <w:t xml:space="preserve"> </w:t>
      </w:r>
      <w:r w:rsidR="00730F3C" w:rsidRPr="00AC67DE">
        <w:t xml:space="preserve">zákona č. </w:t>
      </w:r>
      <w:r w:rsidRPr="00AC67DE">
        <w:t xml:space="preserve">543/2002 Z. z. o ochrane prírody a krajiny v znení neskorších predpisov (ďalej len „zákon“) na rokovanie </w:t>
      </w:r>
      <w:r w:rsidR="002015B7" w:rsidRPr="00AC67DE">
        <w:t xml:space="preserve">vlády </w:t>
      </w:r>
      <w:r w:rsidR="00B12D52" w:rsidRPr="00AC67DE">
        <w:t>Slovenskej republiky</w:t>
      </w:r>
      <w:r w:rsidRPr="00AC67DE">
        <w:t xml:space="preserve"> návrh nariadenia vlády Slovenske</w:t>
      </w:r>
      <w:r w:rsidR="00B12D52" w:rsidRPr="00AC67DE">
        <w:t xml:space="preserve">j republiky, ktorým sa </w:t>
      </w:r>
      <w:r w:rsidR="00624704">
        <w:t xml:space="preserve">vyhlasuje </w:t>
      </w:r>
      <w:r w:rsidR="00B12D52" w:rsidRPr="00AC67DE">
        <w:t>Národný park Veľká Fatra</w:t>
      </w:r>
      <w:r w:rsidR="00DF3060">
        <w:t>,</w:t>
      </w:r>
      <w:r w:rsidR="00624704">
        <w:t xml:space="preserve"> </w:t>
      </w:r>
      <w:r w:rsidRPr="00AC67DE">
        <w:t xml:space="preserve">jeho zóny a ochranné pásmo (ďalej len „nariadenie vlády“). </w:t>
      </w:r>
    </w:p>
    <w:p w14:paraId="3192DDBA" w14:textId="36620586" w:rsidR="00D7263F" w:rsidRPr="00AC67DE" w:rsidRDefault="00D7263F" w:rsidP="0077069C">
      <w:pPr>
        <w:pStyle w:val="Normlnywebov"/>
        <w:jc w:val="both"/>
        <w:divId w:val="2104955051"/>
      </w:pPr>
      <w:r w:rsidRPr="00AC67DE">
        <w:t>Územie Veľkej Fatry je legislatívne chránené od r</w:t>
      </w:r>
      <w:r w:rsidR="0077069C">
        <w:t>oku</w:t>
      </w:r>
      <w:r w:rsidRPr="00AC67DE">
        <w:t xml:space="preserve"> 1973 (vyhláška Ministerstva kultúry Slovenskej socialistickej republiky č. 8/1974 Zb., ktorou sa vyhlasuje chránená krajinná oblasť Veľká Fatra). Výmera tejto chránenej krajinnej oblasti bola 60 610 ha, výmera ochranného pásma</w:t>
      </w:r>
      <w:r w:rsidR="0077069C">
        <w:t xml:space="preserve"> </w:t>
      </w:r>
      <w:r w:rsidRPr="00AC67DE">
        <w:t>20 500 ha. Vzhľadom na mimoriadne prírodné hodnoty územia, ako i v súlade s ustanoveniami zákona č. 287/1994 Z. z. o ochrane prírody a krajiny a v súlade s medzinárodnými kritériami pre kategorizáciu chránených území, došlo v r</w:t>
      </w:r>
      <w:r w:rsidR="005E3DEE">
        <w:t>oku</w:t>
      </w:r>
      <w:r w:rsidRPr="00AC67DE">
        <w:t xml:space="preserve"> 2002 k prekategorizovaniu </w:t>
      </w:r>
      <w:r w:rsidR="002D370F" w:rsidRPr="00AC67DE">
        <w:t>chránenej krajinnej oblasti</w:t>
      </w:r>
      <w:r w:rsidRPr="00AC67DE">
        <w:t xml:space="preserve"> na národný park. Národný park bol vyhlásený nariadením vlády Slovenskej republiky č. 140/2002 Z. z., ktorým sa vyhlasuje Národný p</w:t>
      </w:r>
      <w:bookmarkStart w:id="0" w:name="_GoBack"/>
      <w:bookmarkEnd w:id="0"/>
      <w:r w:rsidRPr="00AC67DE">
        <w:t xml:space="preserve">ark Veľká Fatra. Výmera územia </w:t>
      </w:r>
      <w:r w:rsidR="002D370F">
        <w:t>národného parku</w:t>
      </w:r>
      <w:r w:rsidR="002D370F" w:rsidRPr="00AC67DE">
        <w:t xml:space="preserve"> </w:t>
      </w:r>
      <w:r w:rsidRPr="00AC67DE">
        <w:t xml:space="preserve">sa oproti výmere </w:t>
      </w:r>
      <w:r w:rsidR="002D370F" w:rsidRPr="00AC67DE">
        <w:t>chránenej krajinnej oblasti</w:t>
      </w:r>
      <w:r w:rsidRPr="00AC67DE">
        <w:t xml:space="preserve"> znížila na 40 371,3433 ha, výmera ochranného pásma sa ustanovila na 26 132,5817 ha. V roku 2004 Veľká Fatra bola zaradená do európskej sústavy chránených území Natura 2000, nakoľko sa </w:t>
      </w:r>
      <w:r w:rsidR="0077069C">
        <w:t xml:space="preserve">významnou časťou </w:t>
      </w:r>
      <w:r w:rsidRPr="00AC67DE">
        <w:t>prekrýva s Chráneným vtáčím územím Veľká Fatra (vyhláška Ministerstva životného prostredia Slovenskej republiky č. 194/2010 Z. z., ktorou sa vyhlasuje Chránené vtáčie územie Veľká Fatra) a</w:t>
      </w:r>
      <w:r w:rsidR="00F37038">
        <w:t> </w:t>
      </w:r>
      <w:r w:rsidRPr="00AC67DE">
        <w:t>územ</w:t>
      </w:r>
      <w:r w:rsidR="00BF2661">
        <w:t>iami</w:t>
      </w:r>
      <w:r w:rsidR="00F37038">
        <w:t xml:space="preserve"> </w:t>
      </w:r>
      <w:r w:rsidRPr="00AC67DE">
        <w:t>európskeho významu</w:t>
      </w:r>
      <w:r w:rsidR="00F37038">
        <w:t xml:space="preserve"> SKUEV0238 Veľká Fatra</w:t>
      </w:r>
      <w:r w:rsidR="00164752">
        <w:t xml:space="preserve"> a </w:t>
      </w:r>
      <w:r w:rsidR="00164752" w:rsidRPr="001C43CB">
        <w:t>SK</w:t>
      </w:r>
      <w:r w:rsidR="00164752" w:rsidRPr="00EA7136">
        <w:t>UEV0</w:t>
      </w:r>
      <w:r w:rsidR="00164752">
        <w:t>164 Revúca</w:t>
      </w:r>
      <w:r w:rsidR="001C43CB">
        <w:t xml:space="preserve"> (</w:t>
      </w:r>
      <w:r w:rsidR="001C43CB" w:rsidRPr="00EA7136">
        <w:t>uvede</w:t>
      </w:r>
      <w:r w:rsidR="001C43CB">
        <w:t>né územi</w:t>
      </w:r>
      <w:r w:rsidR="001D0384">
        <w:t>e</w:t>
      </w:r>
      <w:r w:rsidR="001C43CB">
        <w:t xml:space="preserve"> európskeho významu by sa po zonácii celé stalo súčasťou ochranného pásma)</w:t>
      </w:r>
      <w:r w:rsidR="00164752">
        <w:t xml:space="preserve">. </w:t>
      </w:r>
      <w:r w:rsidR="00164752">
        <w:rPr>
          <w:rStyle w:val="Textzstupnhosymbolu"/>
          <w:color w:val="000000"/>
        </w:rPr>
        <w:t xml:space="preserve">Chránené vtáčie územie Veľká Fatra zasahuje aj do </w:t>
      </w:r>
      <w:r w:rsidR="00164752" w:rsidRPr="00E53520">
        <w:rPr>
          <w:rStyle w:val="Textzstupnhosymbolu"/>
          <w:color w:val="000000"/>
        </w:rPr>
        <w:t>ochranného pásma</w:t>
      </w:r>
      <w:r w:rsidR="00164752">
        <w:rPr>
          <w:rStyle w:val="Textzstupnhosymbolu"/>
          <w:color w:val="000000"/>
        </w:rPr>
        <w:t xml:space="preserve"> národného parku, rovnako ako </w:t>
      </w:r>
      <w:r w:rsidR="00164752" w:rsidRPr="00AE3999">
        <w:t>SKUEV0238 Veľká Fatra, SKUEV0164 Revúca</w:t>
      </w:r>
      <w:r w:rsidR="00D763F8">
        <w:t xml:space="preserve"> a</w:t>
      </w:r>
      <w:r w:rsidR="00164752" w:rsidRPr="00AE3999">
        <w:t xml:space="preserve"> SKUEV0253 Váh</w:t>
      </w:r>
      <w:r w:rsidR="00164752">
        <w:t xml:space="preserve">. </w:t>
      </w:r>
      <w:r w:rsidR="0077069C">
        <w:t xml:space="preserve">Územia európskeho významu </w:t>
      </w:r>
      <w:r w:rsidR="00F23B3E">
        <w:t xml:space="preserve">boli </w:t>
      </w:r>
      <w:r w:rsidRPr="00AC67DE">
        <w:t>zaradené do výnosu Ministerstva životného prostredia Slovenskej republiky č. 3/2004–5.1 zo 14. júla 2004, ktorým sa vydáva národný zoznam území európskeho významu (oznámenie Ministerstva životného prostredia Slovenskej republiky č. 450/2004 Z. z. o vydaní výnosu, ktorým sa vydáva národný zoznam území európskeho významu)</w:t>
      </w:r>
      <w:r w:rsidR="005E3DEE">
        <w:t xml:space="preserve"> </w:t>
      </w:r>
      <w:r w:rsidR="001C43CB">
        <w:t xml:space="preserve">a </w:t>
      </w:r>
      <w:r w:rsidR="005E3DEE">
        <w:t xml:space="preserve">boli zaradené </w:t>
      </w:r>
      <w:r w:rsidRPr="00AC67DE">
        <w:t xml:space="preserve">aj </w:t>
      </w:r>
      <w:r w:rsidR="005E3DEE">
        <w:t xml:space="preserve">do </w:t>
      </w:r>
      <w:r w:rsidRPr="00AC67DE">
        <w:t>rozhodnutí Európskej komisie, pričom aktuálne je platné a účinné vykonávacie rozhodnutie Komisie (EÚ) 2023/243 z 26. januára 2023, ktorým sa prijíma šestnásta aktualizácia zoznamu lokalít s európskym významom v alpskom biogeografickom regióne (Ú. v. EÚ L 36/304, 7.2.2023).</w:t>
      </w:r>
    </w:p>
    <w:p w14:paraId="7E876EE5" w14:textId="081BE0D8" w:rsidR="00D7263F" w:rsidRPr="00AC67DE" w:rsidRDefault="005E3DEE" w:rsidP="00D7263F">
      <w:pPr>
        <w:pStyle w:val="Normlnywebov"/>
        <w:jc w:val="both"/>
        <w:divId w:val="2104955051"/>
      </w:pPr>
      <w:r>
        <w:t xml:space="preserve">V </w:t>
      </w:r>
      <w:r w:rsidR="00D7263F" w:rsidRPr="00AC67DE">
        <w:t>súlade s novelou zákona vo vzťahu k zvýšeni</w:t>
      </w:r>
      <w:r w:rsidR="00E12576">
        <w:t>u</w:t>
      </w:r>
      <w:r w:rsidR="00D7263F" w:rsidRPr="00AC67DE">
        <w:t xml:space="preserve"> podielu bezzásahových území bol v roku 2022 dopracovaný projekt ochrany pre prevyhlásenie Národného parku Veľká Fatra. Zámer vyhlásiť Národný park Veľká Fatra bol oznámený listom Okresného úradu Žilina z 8. decembra 2022 v súlade s § 50 zákona. K zámeru, ako aj k paralelne zverejnenému návrhu programu starostlivosti, bolo doručených viac ako 500 pripomienok od </w:t>
      </w:r>
      <w:r w:rsidR="00446E3C">
        <w:t>98</w:t>
      </w:r>
      <w:r w:rsidR="007218C3" w:rsidRPr="00AC67DE">
        <w:t xml:space="preserve"> </w:t>
      </w:r>
      <w:r w:rsidR="00D7263F" w:rsidRPr="00AC67DE">
        <w:t>subjektov, ktoré boli prerokované v</w:t>
      </w:r>
      <w:r w:rsidR="006D57D8">
        <w:t> </w:t>
      </w:r>
      <w:r w:rsidR="00D7263F" w:rsidRPr="00AC67DE">
        <w:t>mesiac</w:t>
      </w:r>
      <w:r w:rsidR="006D57D8">
        <w:t>och</w:t>
      </w:r>
      <w:r w:rsidR="00D7263F" w:rsidRPr="00AC67DE">
        <w:t xml:space="preserve"> apríl </w:t>
      </w:r>
      <w:r w:rsidR="006D57D8">
        <w:t xml:space="preserve">až júl </w:t>
      </w:r>
      <w:r w:rsidR="00D7263F" w:rsidRPr="00AC67DE">
        <w:t>2023. </w:t>
      </w:r>
    </w:p>
    <w:p w14:paraId="2CB64380" w14:textId="285AD8A9" w:rsidR="00D7263F" w:rsidRPr="00AC67DE" w:rsidRDefault="00D7263F" w:rsidP="0004271D">
      <w:pPr>
        <w:pStyle w:val="Normlnywebov"/>
        <w:jc w:val="both"/>
        <w:divId w:val="2104955051"/>
      </w:pPr>
      <w:r w:rsidRPr="004E2A20">
        <w:t>Predkladaný materiál bol vypracovaný po dôslednej analýze pripomienok dotknutých subjektov.</w:t>
      </w:r>
      <w:r w:rsidR="006A7FA0" w:rsidRPr="004E2A20">
        <w:t xml:space="preserve"> Akceptované boli požiadavky na vylúčenie zastavaného územia obcí z ochranného pásma Národného parku </w:t>
      </w:r>
      <w:r w:rsidR="004612CE">
        <w:t xml:space="preserve">Veľká Fatra </w:t>
      </w:r>
      <w:r w:rsidR="006A7FA0" w:rsidRPr="004E2A20">
        <w:t>v katastrálnych územiach Čremošné, Háj, Konské, Krpeľany, Mošovce, Necpaly, Nolčovo, Podhradie</w:t>
      </w:r>
      <w:r w:rsidR="008D5F03">
        <w:t xml:space="preserve"> nad Váhom</w:t>
      </w:r>
      <w:r w:rsidR="006A7FA0" w:rsidRPr="004E2A20">
        <w:t xml:space="preserve">, Rakša, Ružomberok, Sklabiňa, Sklabinský Podzámok, Staré </w:t>
      </w:r>
      <w:r w:rsidR="005A64C8">
        <w:t>H</w:t>
      </w:r>
      <w:r w:rsidR="006A7FA0" w:rsidRPr="004E2A20">
        <w:t>ory, Turčianska Štiavnička, Turčianske Jaseno, Turčiansky Michal, Záborie</w:t>
      </w:r>
      <w:r w:rsidR="004612CE">
        <w:t>, ktoré sú určené</w:t>
      </w:r>
      <w:r w:rsidR="006A7FA0" w:rsidRPr="004E2A20">
        <w:t xml:space="preserve"> na zástavbu, ako aj širšie územie so zámerom výstavby, pokiaľ to nebolo v rozpore </w:t>
      </w:r>
      <w:r w:rsidR="006A7FA0" w:rsidRPr="004E2A20">
        <w:lastRenderedPageBreak/>
        <w:t xml:space="preserve">so záujmami ochrany prírody a krajiny o celkovej rozlohe </w:t>
      </w:r>
      <w:r w:rsidR="00B05DF8">
        <w:t>796,9088</w:t>
      </w:r>
      <w:r w:rsidR="006A7FA0" w:rsidRPr="004E2A20">
        <w:t xml:space="preserve"> ha. </w:t>
      </w:r>
      <w:r w:rsidR="000D190D" w:rsidRPr="00E024E4">
        <w:t>Na druhej strane boli z navrhovanej zóny B presunuté</w:t>
      </w:r>
      <w:r w:rsidR="000D190D" w:rsidRPr="00A76030">
        <w:t xml:space="preserve"> </w:t>
      </w:r>
      <w:r w:rsidR="000D190D" w:rsidRPr="00E024E4">
        <w:t xml:space="preserve">do navrhovanej zóny C štátne pozemky v katastrálnom území Ľubochňa </w:t>
      </w:r>
      <w:r w:rsidR="000D190D" w:rsidRPr="00A76030">
        <w:t>predovšetkým</w:t>
      </w:r>
      <w:r w:rsidR="000D190D" w:rsidRPr="000D190D">
        <w:t xml:space="preserve"> </w:t>
      </w:r>
      <w:r w:rsidR="000D190D" w:rsidRPr="00E024E4">
        <w:t>z dôvodu zabezpečenia palivového dreva pre občanov obcí nachádzajúcich sa v blízkosti Ľubochnianskej doliny</w:t>
      </w:r>
      <w:r w:rsidR="000D190D">
        <w:t>.</w:t>
      </w:r>
    </w:p>
    <w:p w14:paraId="79002832" w14:textId="691C7BED" w:rsidR="004466B3" w:rsidRPr="00BF1178" w:rsidRDefault="00D7263F" w:rsidP="00A76030">
      <w:pPr>
        <w:jc w:val="both"/>
        <w:divId w:val="2104955051"/>
      </w:pPr>
      <w:r w:rsidRPr="000D190D">
        <w:rPr>
          <w:rFonts w:ascii="Times New Roman" w:hAnsi="Times New Roman" w:cs="Times New Roman"/>
          <w:sz w:val="24"/>
          <w:szCs w:val="24"/>
        </w:rPr>
        <w:t xml:space="preserve">Výmera </w:t>
      </w:r>
      <w:r w:rsidR="002D370F" w:rsidRPr="000D190D">
        <w:rPr>
          <w:rFonts w:ascii="Times New Roman" w:hAnsi="Times New Roman" w:cs="Times New Roman"/>
          <w:sz w:val="24"/>
          <w:szCs w:val="24"/>
        </w:rPr>
        <w:t>Národného parku</w:t>
      </w:r>
      <w:r w:rsidRPr="000D190D">
        <w:rPr>
          <w:rFonts w:ascii="Times New Roman" w:hAnsi="Times New Roman" w:cs="Times New Roman"/>
          <w:sz w:val="24"/>
          <w:szCs w:val="24"/>
        </w:rPr>
        <w:t xml:space="preserve"> Veľká Fatra sa spresnením hraníc národného parku zvýši z aktuálnych 40 371,3433 na </w:t>
      </w:r>
      <w:r w:rsidR="00FD176A" w:rsidRPr="000D190D">
        <w:rPr>
          <w:rFonts w:ascii="Times New Roman" w:hAnsi="Times New Roman" w:cs="Times New Roman"/>
          <w:sz w:val="24"/>
          <w:szCs w:val="24"/>
        </w:rPr>
        <w:t xml:space="preserve">40 889,1328 </w:t>
      </w:r>
      <w:r w:rsidRPr="000D190D">
        <w:rPr>
          <w:rFonts w:ascii="Times New Roman" w:hAnsi="Times New Roman" w:cs="Times New Roman"/>
          <w:sz w:val="24"/>
          <w:szCs w:val="24"/>
        </w:rPr>
        <w:t xml:space="preserve">ha a ochranné pásmo </w:t>
      </w:r>
      <w:r w:rsidR="002D370F" w:rsidRPr="000D190D">
        <w:rPr>
          <w:rFonts w:ascii="Times New Roman" w:hAnsi="Times New Roman" w:cs="Times New Roman"/>
          <w:sz w:val="24"/>
          <w:szCs w:val="24"/>
        </w:rPr>
        <w:t>národného parku</w:t>
      </w:r>
      <w:r w:rsidRPr="000D190D">
        <w:rPr>
          <w:rFonts w:ascii="Times New Roman" w:hAnsi="Times New Roman" w:cs="Times New Roman"/>
          <w:sz w:val="24"/>
          <w:szCs w:val="24"/>
        </w:rPr>
        <w:t xml:space="preserve"> sa spresnením na parcelný stav zní</w:t>
      </w:r>
      <w:r w:rsidR="00206D56" w:rsidRPr="000D190D">
        <w:rPr>
          <w:rFonts w:ascii="Times New Roman" w:hAnsi="Times New Roman" w:cs="Times New Roman"/>
          <w:sz w:val="24"/>
          <w:szCs w:val="24"/>
        </w:rPr>
        <w:t>ži</w:t>
      </w:r>
      <w:r w:rsidRPr="000D190D">
        <w:rPr>
          <w:rFonts w:ascii="Times New Roman" w:hAnsi="Times New Roman" w:cs="Times New Roman"/>
          <w:sz w:val="24"/>
          <w:szCs w:val="24"/>
        </w:rPr>
        <w:t xml:space="preserve"> z aktuálnych 26 132,5817 </w:t>
      </w:r>
      <w:r w:rsidR="00E12576" w:rsidRPr="000D190D">
        <w:rPr>
          <w:rFonts w:ascii="Times New Roman" w:hAnsi="Times New Roman" w:cs="Times New Roman"/>
          <w:sz w:val="24"/>
          <w:szCs w:val="24"/>
        </w:rPr>
        <w:t xml:space="preserve">ha </w:t>
      </w:r>
      <w:r w:rsidRPr="000D190D">
        <w:rPr>
          <w:rFonts w:ascii="Times New Roman" w:hAnsi="Times New Roman" w:cs="Times New Roman"/>
          <w:sz w:val="24"/>
          <w:szCs w:val="24"/>
        </w:rPr>
        <w:t xml:space="preserve">na výmeru </w:t>
      </w:r>
      <w:r w:rsidR="00D37A01" w:rsidRPr="000D190D">
        <w:rPr>
          <w:rFonts w:ascii="Times New Roman" w:hAnsi="Times New Roman" w:cs="Times New Roman"/>
          <w:sz w:val="24"/>
          <w:szCs w:val="24"/>
        </w:rPr>
        <w:t xml:space="preserve">25 307,3196 </w:t>
      </w:r>
      <w:r w:rsidRPr="000D190D">
        <w:rPr>
          <w:rFonts w:ascii="Times New Roman" w:hAnsi="Times New Roman" w:cs="Times New Roman"/>
          <w:sz w:val="24"/>
          <w:szCs w:val="24"/>
        </w:rPr>
        <w:t>ha. Dôjde tiež k z</w:t>
      </w:r>
      <w:r w:rsidR="00206D56" w:rsidRPr="000D190D">
        <w:rPr>
          <w:rFonts w:ascii="Times New Roman" w:hAnsi="Times New Roman" w:cs="Times New Roman"/>
          <w:sz w:val="24"/>
          <w:szCs w:val="24"/>
        </w:rPr>
        <w:t>mene</w:t>
      </w:r>
      <w:r w:rsidRPr="000D190D">
        <w:rPr>
          <w:rFonts w:ascii="Times New Roman" w:hAnsi="Times New Roman" w:cs="Times New Roman"/>
          <w:sz w:val="24"/>
          <w:szCs w:val="24"/>
        </w:rPr>
        <w:t xml:space="preserve"> výmery územia bez zásahu 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zo </w:t>
      </w:r>
      <w:r w:rsidRPr="000D190D">
        <w:rPr>
          <w:rFonts w:ascii="Times New Roman" w:hAnsi="Times New Roman" w:cs="Times New Roman"/>
          <w:sz w:val="24"/>
          <w:szCs w:val="24"/>
        </w:rPr>
        <w:t>7 925,19 ha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 na </w:t>
      </w:r>
      <w:r w:rsidR="003F0E4D" w:rsidRPr="000D190D">
        <w:rPr>
          <w:rFonts w:ascii="Times New Roman" w:hAnsi="Times New Roman" w:cs="Times New Roman"/>
          <w:sz w:val="24"/>
          <w:szCs w:val="24"/>
        </w:rPr>
        <w:t>16 374,2674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 ha v rámci navrhovanej zóny A, </w:t>
      </w:r>
      <w:r w:rsidRPr="000D190D">
        <w:rPr>
          <w:rFonts w:ascii="Times New Roman" w:hAnsi="Times New Roman" w:cs="Times New Roman"/>
          <w:sz w:val="24"/>
          <w:szCs w:val="24"/>
        </w:rPr>
        <w:t>na ktorej bude platiť piaty stupeň ochrany podľa § 16 zákona. V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 navrhovanej </w:t>
      </w:r>
      <w:r w:rsidRPr="000D190D">
        <w:rPr>
          <w:rFonts w:ascii="Times New Roman" w:hAnsi="Times New Roman" w:cs="Times New Roman"/>
          <w:sz w:val="24"/>
          <w:szCs w:val="24"/>
        </w:rPr>
        <w:t xml:space="preserve">zóne </w:t>
      </w:r>
      <w:r w:rsidR="0059730F" w:rsidRPr="000D190D">
        <w:rPr>
          <w:rFonts w:ascii="Times New Roman" w:hAnsi="Times New Roman" w:cs="Times New Roman"/>
          <w:sz w:val="24"/>
          <w:szCs w:val="24"/>
        </w:rPr>
        <w:t>B</w:t>
      </w:r>
      <w:r w:rsidRPr="000D190D">
        <w:rPr>
          <w:rFonts w:ascii="Times New Roman" w:hAnsi="Times New Roman" w:cs="Times New Roman"/>
          <w:sz w:val="24"/>
          <w:szCs w:val="24"/>
        </w:rPr>
        <w:t xml:space="preserve"> na výmere </w:t>
      </w:r>
      <w:r w:rsidR="0059730F" w:rsidRPr="000D190D">
        <w:rPr>
          <w:rFonts w:ascii="Times New Roman" w:hAnsi="Times New Roman" w:cs="Times New Roman"/>
          <w:sz w:val="24"/>
          <w:szCs w:val="24"/>
        </w:rPr>
        <w:t>5</w:t>
      </w:r>
      <w:r w:rsidR="00B05DF8" w:rsidRPr="000D190D">
        <w:rPr>
          <w:rFonts w:ascii="Times New Roman" w:hAnsi="Times New Roman" w:cs="Times New Roman"/>
          <w:sz w:val="24"/>
          <w:szCs w:val="24"/>
        </w:rPr>
        <w:t xml:space="preserve"> 276,9232 </w:t>
      </w:r>
      <w:r w:rsidRPr="000D190D">
        <w:rPr>
          <w:rFonts w:ascii="Times New Roman" w:hAnsi="Times New Roman" w:cs="Times New Roman"/>
          <w:sz w:val="24"/>
          <w:szCs w:val="24"/>
        </w:rPr>
        <w:t xml:space="preserve">ha bude platiť </w:t>
      </w:r>
      <w:r w:rsidR="0059730F" w:rsidRPr="000D190D">
        <w:rPr>
          <w:rFonts w:ascii="Times New Roman" w:hAnsi="Times New Roman" w:cs="Times New Roman"/>
          <w:sz w:val="24"/>
          <w:szCs w:val="24"/>
        </w:rPr>
        <w:t>štvrtý</w:t>
      </w:r>
      <w:r w:rsidRPr="000D190D">
        <w:rPr>
          <w:rFonts w:ascii="Times New Roman" w:hAnsi="Times New Roman" w:cs="Times New Roman"/>
          <w:sz w:val="24"/>
          <w:szCs w:val="24"/>
        </w:rPr>
        <w:t xml:space="preserve"> stupeň ochrany podľa § 1</w:t>
      </w:r>
      <w:r w:rsidR="0059730F" w:rsidRPr="000D190D">
        <w:rPr>
          <w:rFonts w:ascii="Times New Roman" w:hAnsi="Times New Roman" w:cs="Times New Roman"/>
          <w:sz w:val="24"/>
          <w:szCs w:val="24"/>
        </w:rPr>
        <w:t>5</w:t>
      </w:r>
      <w:r w:rsidRPr="000D190D">
        <w:rPr>
          <w:rFonts w:ascii="Times New Roman" w:hAnsi="Times New Roman" w:cs="Times New Roman"/>
          <w:sz w:val="24"/>
          <w:szCs w:val="24"/>
        </w:rPr>
        <w:t xml:space="preserve"> zákona, v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 navrhovanej</w:t>
      </w:r>
      <w:r w:rsidRPr="000D190D">
        <w:rPr>
          <w:rFonts w:ascii="Times New Roman" w:hAnsi="Times New Roman" w:cs="Times New Roman"/>
          <w:sz w:val="24"/>
          <w:szCs w:val="24"/>
        </w:rPr>
        <w:t xml:space="preserve"> zóne C na výmere </w:t>
      </w:r>
      <w:r w:rsidR="00015639" w:rsidRPr="000D190D">
        <w:rPr>
          <w:rFonts w:ascii="Times New Roman" w:hAnsi="Times New Roman" w:cs="Times New Roman"/>
          <w:sz w:val="24"/>
          <w:szCs w:val="24"/>
        </w:rPr>
        <w:t>19 182,0661</w:t>
      </w:r>
      <w:r w:rsidR="0059730F" w:rsidRPr="000D190D">
        <w:rPr>
          <w:rFonts w:ascii="Times New Roman" w:hAnsi="Times New Roman" w:cs="Times New Roman"/>
          <w:sz w:val="24"/>
          <w:szCs w:val="24"/>
        </w:rPr>
        <w:t xml:space="preserve"> </w:t>
      </w:r>
      <w:r w:rsidRPr="000D190D">
        <w:rPr>
          <w:rFonts w:ascii="Times New Roman" w:hAnsi="Times New Roman" w:cs="Times New Roman"/>
          <w:sz w:val="24"/>
          <w:szCs w:val="24"/>
        </w:rPr>
        <w:t>ha</w:t>
      </w:r>
      <w:r w:rsidR="0059730F" w:rsidRPr="000D190D">
        <w:rPr>
          <w:rFonts w:ascii="Times New Roman" w:hAnsi="Times New Roman" w:cs="Times New Roman"/>
          <w:sz w:val="24"/>
          <w:szCs w:val="24"/>
        </w:rPr>
        <w:t xml:space="preserve"> bude platiť tretí stupeň ochrany podľa § 14 zákona</w:t>
      </w:r>
      <w:r w:rsidRPr="000D190D">
        <w:rPr>
          <w:rFonts w:ascii="Times New Roman" w:hAnsi="Times New Roman" w:cs="Times New Roman"/>
          <w:sz w:val="24"/>
          <w:szCs w:val="24"/>
        </w:rPr>
        <w:t xml:space="preserve"> a v</w:t>
      </w:r>
      <w:r w:rsidR="00206D56" w:rsidRPr="000D190D">
        <w:rPr>
          <w:rFonts w:ascii="Times New Roman" w:hAnsi="Times New Roman" w:cs="Times New Roman"/>
          <w:sz w:val="24"/>
          <w:szCs w:val="24"/>
        </w:rPr>
        <w:t xml:space="preserve"> navrhovanej </w:t>
      </w:r>
      <w:r w:rsidRPr="000D190D">
        <w:rPr>
          <w:rFonts w:ascii="Times New Roman" w:hAnsi="Times New Roman" w:cs="Times New Roman"/>
          <w:sz w:val="24"/>
          <w:szCs w:val="24"/>
        </w:rPr>
        <w:t xml:space="preserve">zóne D na výmere </w:t>
      </w:r>
      <w:r w:rsidR="003E096C" w:rsidRPr="000D190D">
        <w:rPr>
          <w:rFonts w:ascii="Times New Roman" w:hAnsi="Times New Roman" w:cs="Times New Roman"/>
          <w:sz w:val="24"/>
          <w:szCs w:val="24"/>
        </w:rPr>
        <w:t>55,8761</w:t>
      </w:r>
      <w:r w:rsidR="0059730F" w:rsidRPr="000D190D">
        <w:rPr>
          <w:rFonts w:ascii="Times New Roman" w:hAnsi="Times New Roman" w:cs="Times New Roman"/>
          <w:sz w:val="24"/>
          <w:szCs w:val="24"/>
        </w:rPr>
        <w:t xml:space="preserve"> </w:t>
      </w:r>
      <w:r w:rsidRPr="000D190D">
        <w:rPr>
          <w:rFonts w:ascii="Times New Roman" w:hAnsi="Times New Roman" w:cs="Times New Roman"/>
          <w:sz w:val="24"/>
          <w:szCs w:val="24"/>
        </w:rPr>
        <w:t xml:space="preserve">ha bude platiť druhý stupeň ochrany podľa § 13 zákona. </w:t>
      </w:r>
      <w:r w:rsidRPr="00A76030">
        <w:rPr>
          <w:rFonts w:ascii="Times New Roman" w:hAnsi="Times New Roman" w:cs="Times New Roman"/>
          <w:sz w:val="24"/>
          <w:szCs w:val="24"/>
        </w:rPr>
        <w:t xml:space="preserve">V ochrannom pásme bude platiť druhý stupeň ochrany, s výnimkou </w:t>
      </w:r>
      <w:r w:rsidR="00C079D8" w:rsidRPr="00A76030">
        <w:rPr>
          <w:rFonts w:ascii="Times New Roman" w:hAnsi="Times New Roman" w:cs="Times New Roman"/>
          <w:sz w:val="24"/>
          <w:szCs w:val="24"/>
        </w:rPr>
        <w:t>683</w:t>
      </w:r>
      <w:r w:rsidR="00A220E2" w:rsidRPr="00A76030">
        <w:rPr>
          <w:rFonts w:ascii="Times New Roman" w:hAnsi="Times New Roman" w:cs="Times New Roman"/>
          <w:sz w:val="24"/>
          <w:szCs w:val="24"/>
        </w:rPr>
        <w:t>,</w:t>
      </w:r>
      <w:r w:rsidR="00C079D8" w:rsidRPr="00A76030">
        <w:rPr>
          <w:rFonts w:ascii="Times New Roman" w:hAnsi="Times New Roman" w:cs="Times New Roman"/>
          <w:sz w:val="24"/>
          <w:szCs w:val="24"/>
        </w:rPr>
        <w:t>33</w:t>
      </w:r>
      <w:r w:rsidR="00206D56" w:rsidRPr="00A76030">
        <w:rPr>
          <w:rFonts w:ascii="Times New Roman" w:hAnsi="Times New Roman" w:cs="Times New Roman"/>
          <w:sz w:val="24"/>
          <w:szCs w:val="24"/>
        </w:rPr>
        <w:t xml:space="preserve"> ha, ktoré sú súčasťou </w:t>
      </w:r>
      <w:r w:rsidRPr="00A76030">
        <w:rPr>
          <w:rFonts w:ascii="Times New Roman" w:hAnsi="Times New Roman" w:cs="Times New Roman"/>
          <w:sz w:val="24"/>
          <w:szCs w:val="24"/>
        </w:rPr>
        <w:t xml:space="preserve">iných </w:t>
      </w:r>
      <w:r w:rsidR="00206D56" w:rsidRPr="00A76030">
        <w:rPr>
          <w:rFonts w:ascii="Times New Roman" w:hAnsi="Times New Roman" w:cs="Times New Roman"/>
          <w:sz w:val="24"/>
          <w:szCs w:val="24"/>
        </w:rPr>
        <w:t xml:space="preserve">už vyhlásených </w:t>
      </w:r>
      <w:r w:rsidRPr="00A76030">
        <w:rPr>
          <w:rFonts w:ascii="Times New Roman" w:hAnsi="Times New Roman" w:cs="Times New Roman"/>
          <w:sz w:val="24"/>
          <w:szCs w:val="24"/>
        </w:rPr>
        <w:t>chránených území, ich zón a ich ochranných pásem</w:t>
      </w:r>
      <w:r w:rsidR="004612CE" w:rsidRPr="00A76030">
        <w:rPr>
          <w:rFonts w:ascii="Times New Roman" w:hAnsi="Times New Roman" w:cs="Times New Roman"/>
          <w:sz w:val="24"/>
          <w:szCs w:val="24"/>
        </w:rPr>
        <w:t>,</w:t>
      </w:r>
      <w:r w:rsidR="00206D56" w:rsidRPr="00A76030">
        <w:rPr>
          <w:rFonts w:ascii="Times New Roman" w:hAnsi="Times New Roman" w:cs="Times New Roman"/>
          <w:sz w:val="24"/>
          <w:szCs w:val="24"/>
        </w:rPr>
        <w:t xml:space="preserve"> </w:t>
      </w:r>
      <w:r w:rsidRPr="00A76030">
        <w:rPr>
          <w:rFonts w:ascii="Times New Roman" w:hAnsi="Times New Roman" w:cs="Times New Roman"/>
          <w:sz w:val="24"/>
          <w:szCs w:val="24"/>
        </w:rPr>
        <w:t>na ktorých platí vyšší stupeň ochrany podľa osobitných predpisov</w:t>
      </w:r>
      <w:r w:rsidR="004466B3" w:rsidRPr="00A76030">
        <w:rPr>
          <w:rFonts w:ascii="Times New Roman" w:hAnsi="Times New Roman" w:cs="Times New Roman"/>
          <w:sz w:val="24"/>
          <w:szCs w:val="24"/>
        </w:rPr>
        <w:t xml:space="preserve"> (</w:t>
      </w:r>
      <w:r w:rsidR="00A220E2" w:rsidRPr="00A76030">
        <w:rPr>
          <w:rFonts w:ascii="Times New Roman" w:hAnsi="Times New Roman" w:cs="Times New Roman"/>
          <w:sz w:val="24"/>
          <w:szCs w:val="24"/>
        </w:rPr>
        <w:t>231,53</w:t>
      </w:r>
      <w:r w:rsidR="004466B3" w:rsidRPr="00A76030">
        <w:rPr>
          <w:rFonts w:ascii="Times New Roman" w:hAnsi="Times New Roman" w:cs="Times New Roman"/>
          <w:sz w:val="24"/>
          <w:szCs w:val="24"/>
        </w:rPr>
        <w:t xml:space="preserve"> ha, v rámci ktorých platí piaty stupeň ochrany, </w:t>
      </w:r>
      <w:r w:rsidR="00C079D8" w:rsidRPr="00A76030">
        <w:rPr>
          <w:rFonts w:ascii="Times New Roman" w:hAnsi="Times New Roman" w:cs="Times New Roman"/>
          <w:sz w:val="24"/>
          <w:szCs w:val="24"/>
        </w:rPr>
        <w:t>92</w:t>
      </w:r>
      <w:r w:rsidR="00A220E2" w:rsidRPr="00A76030">
        <w:rPr>
          <w:rFonts w:ascii="Times New Roman" w:hAnsi="Times New Roman" w:cs="Times New Roman"/>
          <w:sz w:val="24"/>
          <w:szCs w:val="24"/>
        </w:rPr>
        <w:t>,</w:t>
      </w:r>
      <w:r w:rsidR="00C079D8" w:rsidRPr="00A76030">
        <w:rPr>
          <w:rFonts w:ascii="Times New Roman" w:hAnsi="Times New Roman" w:cs="Times New Roman"/>
          <w:sz w:val="24"/>
          <w:szCs w:val="24"/>
        </w:rPr>
        <w:t>67</w:t>
      </w:r>
      <w:r w:rsidR="00A220E2" w:rsidRPr="00A76030">
        <w:rPr>
          <w:rFonts w:ascii="Times New Roman" w:hAnsi="Times New Roman" w:cs="Times New Roman"/>
          <w:sz w:val="24"/>
          <w:szCs w:val="24"/>
        </w:rPr>
        <w:t xml:space="preserve"> </w:t>
      </w:r>
      <w:r w:rsidR="004466B3" w:rsidRPr="00A76030">
        <w:rPr>
          <w:rFonts w:ascii="Times New Roman" w:hAnsi="Times New Roman" w:cs="Times New Roman"/>
          <w:sz w:val="24"/>
          <w:szCs w:val="24"/>
        </w:rPr>
        <w:t>ha, na ktorých platí štvrtý stupeň ochrany a</w:t>
      </w:r>
      <w:r w:rsidR="00C079D8" w:rsidRPr="00A76030">
        <w:rPr>
          <w:rFonts w:ascii="Times New Roman" w:hAnsi="Times New Roman" w:cs="Times New Roman"/>
          <w:sz w:val="24"/>
          <w:szCs w:val="24"/>
        </w:rPr>
        <w:t> 359,13</w:t>
      </w:r>
      <w:r w:rsidR="00A220E2" w:rsidRPr="00A76030">
        <w:rPr>
          <w:rFonts w:ascii="Times New Roman" w:hAnsi="Times New Roman" w:cs="Times New Roman"/>
          <w:sz w:val="24"/>
          <w:szCs w:val="24"/>
        </w:rPr>
        <w:t xml:space="preserve"> </w:t>
      </w:r>
      <w:r w:rsidR="004466B3" w:rsidRPr="00A76030">
        <w:rPr>
          <w:rFonts w:ascii="Times New Roman" w:hAnsi="Times New Roman" w:cs="Times New Roman"/>
          <w:sz w:val="24"/>
          <w:szCs w:val="24"/>
        </w:rPr>
        <w:t>ha, na ktorých platí tretí stupeň ochrany)</w:t>
      </w:r>
      <w:r w:rsidR="004612CE" w:rsidRPr="00A76030">
        <w:rPr>
          <w:rFonts w:ascii="Times New Roman" w:hAnsi="Times New Roman" w:cs="Times New Roman"/>
          <w:sz w:val="24"/>
          <w:szCs w:val="24"/>
        </w:rPr>
        <w:t>.</w:t>
      </w:r>
      <w:r w:rsidR="004466B3" w:rsidRPr="00A76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CBF7" w14:textId="59C3362E" w:rsidR="00D7263F" w:rsidRPr="00AC67DE" w:rsidRDefault="00D7263F" w:rsidP="00D7263F">
      <w:pPr>
        <w:pStyle w:val="Normlnywebov"/>
        <w:jc w:val="both"/>
        <w:divId w:val="2104955051"/>
      </w:pPr>
      <w:r w:rsidRPr="00AC67DE">
        <w:t xml:space="preserve">Účelom vyhlásenia Národného parku Veľká Fatra je zabezpečenie priaznivého stavu predmetov ochrany, ktorými sú (prioritné) biotopy európskeho a národného významu, biotopy (prioritných) druhov európskeho a národného významu – rastlín i živočíchov, druhy vtákov a abiotické javy. Predmetom ochrany sú tiež prirodzené procesy a prirodzený vývoj prírodných spoločenstiev nachádzajúcich sa na </w:t>
      </w:r>
      <w:r w:rsidR="00206D56">
        <w:t xml:space="preserve">podstatnej časti </w:t>
      </w:r>
      <w:r w:rsidRPr="00AC67DE">
        <w:t>národného parku. Podkladom na vyhlásenie chráneného územia je projekt ochrany, ktorý je zverejnený na webovom sídle Správy Národného parku Veľká Fatra so sídlom v Martine (</w:t>
      </w:r>
      <w:hyperlink r:id="rId11" w:history="1">
        <w:r w:rsidRPr="00AC67DE">
          <w:rPr>
            <w:rStyle w:val="Hypertextovprepojenie"/>
          </w:rPr>
          <w:t>https://www.npvelkafatra.sk/dokumenty/projekt-ochrany/</w:t>
        </w:r>
      </w:hyperlink>
      <w:r w:rsidRPr="00AC67DE">
        <w:t xml:space="preserve">). </w:t>
      </w:r>
      <w:r w:rsidR="00206D56">
        <w:t>Projekt ochrany je dostupný vo verzii z decembra 2022, ako aj verzii po úpravách v zmysle prerokovaní Okresného ú</w:t>
      </w:r>
      <w:r w:rsidR="00217B04">
        <w:t>radu Žilina</w:t>
      </w:r>
      <w:r w:rsidR="00B05DF8">
        <w:t xml:space="preserve"> a</w:t>
      </w:r>
      <w:r w:rsidR="00E9437D">
        <w:t> MŽP SR</w:t>
      </w:r>
      <w:r w:rsidR="00206D56">
        <w:t>.</w:t>
      </w:r>
    </w:p>
    <w:p w14:paraId="091D6435" w14:textId="04CB29A3" w:rsidR="00EF0BF4" w:rsidRPr="00AC67DE" w:rsidRDefault="00EF0BF4" w:rsidP="00D7263F">
      <w:pPr>
        <w:pStyle w:val="Normlnywebov"/>
        <w:jc w:val="both"/>
        <w:divId w:val="2104955051"/>
      </w:pPr>
      <w:r w:rsidRPr="00AC67DE">
        <w:t xml:space="preserve">Vyhlásenie </w:t>
      </w:r>
      <w:r w:rsidR="002D370F" w:rsidRPr="00AC67DE">
        <w:t>Národného parku</w:t>
      </w:r>
      <w:r w:rsidRPr="00AC67DE">
        <w:t xml:space="preserve"> Veľká Fatra prispeje k odstráneniu nedostatkov uvedených v žalobe Európskej komisie vo veci nedostatočnej ochrany biotopov hlucháňa hôrneho, v rámci ktorej Súdny dvor Európskej únie dňa 22. júna 2022 vyhlásil rozsudok, pričom konštatoval porušenie smernice 92/43/EHS z 21. mája 1992 o ochrane prirodzených biotopov a voľne žijúcich živočíchov a rastlín (Ú. v. ES L 206, 22.7.1992) v platnom znení (smernica o biotopoch) ako i smernice 2009/147/ES z 30. novembra 2009 o ochrane voľne žijúceho vtáctva (Ú. v. ES L 020, 26.1.2010) v platnom znení (smernica o vtáctve) a v celom rozsahu vyhovel žalobe o nesplnenie povinnosti podanej Európskou komisiou. Veľká Fatra je súčasťou jadrovej populácie hlucháňa hôrneho na Slovensku a výmera </w:t>
      </w:r>
      <w:r w:rsidR="009C3F94">
        <w:t xml:space="preserve">(potencionálnych) </w:t>
      </w:r>
      <w:r w:rsidRPr="00AC67DE">
        <w:t xml:space="preserve">biotopov tohto druhu v bezzásahovom režime by sa zonáciou </w:t>
      </w:r>
      <w:r w:rsidR="00EE3A8A" w:rsidRPr="00EE3A8A">
        <w:t xml:space="preserve">zvýšila </w:t>
      </w:r>
      <w:r w:rsidR="00EE3A8A" w:rsidRPr="003F3B58">
        <w:t>z</w:t>
      </w:r>
      <w:r w:rsidR="003F3B58" w:rsidRPr="00951117">
        <w:t> </w:t>
      </w:r>
      <w:r w:rsidR="00EE3A8A" w:rsidRPr="004439DD">
        <w:t>2</w:t>
      </w:r>
      <w:r w:rsidR="003F3B58" w:rsidRPr="004439DD">
        <w:t xml:space="preserve"> </w:t>
      </w:r>
      <w:r w:rsidR="00EE3A8A" w:rsidRPr="004439DD">
        <w:t xml:space="preserve">735,2572 ha na </w:t>
      </w:r>
      <w:r w:rsidR="005D7426">
        <w:t>3</w:t>
      </w:r>
      <w:r w:rsidR="000D190D">
        <w:t xml:space="preserve"> </w:t>
      </w:r>
      <w:r w:rsidR="005D7426">
        <w:t>401,265</w:t>
      </w:r>
      <w:r w:rsidR="003C202B" w:rsidRPr="004439DD">
        <w:t xml:space="preserve"> ha</w:t>
      </w:r>
      <w:r w:rsidR="00EE3A8A" w:rsidRPr="004439DD">
        <w:t>.</w:t>
      </w:r>
      <w:r w:rsidR="00EE3A8A" w:rsidRPr="009E1BA9">
        <w:t xml:space="preserve"> </w:t>
      </w:r>
    </w:p>
    <w:p w14:paraId="76CCC228" w14:textId="3AD42495" w:rsidR="00EF0BF4" w:rsidRPr="00AC67DE" w:rsidRDefault="00575A7F" w:rsidP="00EF0BF4">
      <w:pPr>
        <w:pStyle w:val="Normlnywebov"/>
        <w:jc w:val="both"/>
        <w:divId w:val="2104955051"/>
      </w:pPr>
      <w:r w:rsidRPr="00AC67DE">
        <w:t>Dôvodom vyhlásenia národného parku je tiež konani</w:t>
      </w:r>
      <w:r w:rsidR="00AB45A3" w:rsidRPr="00AC67DE">
        <w:t>e o porušení zmlúv č. 2019/2141</w:t>
      </w:r>
      <w:r w:rsidRPr="00AC67DE">
        <w:t xml:space="preserve">, ktoré vedie Európska komisia voči Slovenskej republike vo vzťahu k územiam európskeho významu (nedostatočné </w:t>
      </w:r>
      <w:r w:rsidR="00EF0BF4" w:rsidRPr="00AC67DE">
        <w:t>označovanie území európskeho význam</w:t>
      </w:r>
      <w:r w:rsidR="001A305E">
        <w:t>u</w:t>
      </w:r>
      <w:r w:rsidR="00EF0BF4" w:rsidRPr="00AC67DE">
        <w:t xml:space="preserve"> za osobitne chránené územia, ako aj </w:t>
      </w:r>
      <w:r w:rsidRPr="00AC67DE">
        <w:t xml:space="preserve">chýbajúce ciele a opatrenia ochrany prírody), </w:t>
      </w:r>
      <w:r w:rsidR="00EF0BF4" w:rsidRPr="00AC67DE">
        <w:t xml:space="preserve">v štádiu odôvodneného stanoviska. </w:t>
      </w:r>
      <w:r w:rsidR="002D370F">
        <w:t>Národný park</w:t>
      </w:r>
      <w:r w:rsidR="00D7263F" w:rsidRPr="00AC67DE">
        <w:t xml:space="preserve"> Veľká </w:t>
      </w:r>
      <w:r w:rsidR="00D7263F" w:rsidRPr="00727440">
        <w:t>Fatra sa</w:t>
      </w:r>
      <w:r w:rsidR="00D260F5" w:rsidRPr="00727440">
        <w:t xml:space="preserve"> po zonáci</w:t>
      </w:r>
      <w:r w:rsidR="001A305E">
        <w:t>i</w:t>
      </w:r>
      <w:r w:rsidR="00D260F5" w:rsidRPr="00727440">
        <w:t xml:space="preserve"> bude</w:t>
      </w:r>
      <w:r w:rsidR="00D7263F" w:rsidRPr="00727440">
        <w:t xml:space="preserve"> prekrýva</w:t>
      </w:r>
      <w:r w:rsidR="00D260F5" w:rsidRPr="00727440">
        <w:t>ť</w:t>
      </w:r>
      <w:r w:rsidR="00D7263F" w:rsidRPr="00727440">
        <w:t xml:space="preserve"> s</w:t>
      </w:r>
      <w:r w:rsidR="00056FAC" w:rsidRPr="00727440">
        <w:t xml:space="preserve"> </w:t>
      </w:r>
      <w:r w:rsidR="00053503" w:rsidRPr="00727440">
        <w:t>jedným</w:t>
      </w:r>
      <w:r w:rsidR="00053503" w:rsidRPr="00AC67DE">
        <w:t xml:space="preserve"> </w:t>
      </w:r>
      <w:r w:rsidR="00D7263F" w:rsidRPr="00AC67DE">
        <w:t>územ</w:t>
      </w:r>
      <w:r w:rsidR="00056FAC">
        <w:t>ím</w:t>
      </w:r>
      <w:r w:rsidR="00D7263F" w:rsidRPr="00AC67DE">
        <w:t xml:space="preserve"> európskeho významu, pre ktoré boli v dokumentácii ochrany prírody stanovené ciele ochrany, na ktoré nadväzujú opatrenia ochrany prírody.</w:t>
      </w:r>
    </w:p>
    <w:p w14:paraId="39803AA4" w14:textId="01091355" w:rsidR="00575A7F" w:rsidRPr="00AC67DE" w:rsidRDefault="00575A7F" w:rsidP="00730F3C">
      <w:pPr>
        <w:pStyle w:val="Normlnywebov"/>
        <w:jc w:val="both"/>
        <w:divId w:val="2104955051"/>
      </w:pPr>
      <w:r w:rsidRPr="00AC67DE">
        <w:lastRenderedPageBreak/>
        <w:t>MŽP SR prostredníctvom ním poverenej odbornej organizácie ochrany prírody v rámci schvaľovacieho procesu pred predložením na rokovanie vlády Slovenskej republiky, ako aj pred zápisom do katastra nehnuteľností, doručí správcovi informačného systému</w:t>
      </w:r>
      <w:r w:rsidR="00946CA6" w:rsidRPr="00AC67DE">
        <w:t xml:space="preserve"> lesného hospodárstva</w:t>
      </w:r>
      <w:r w:rsidRPr="00AC67DE">
        <w:t xml:space="preserve"> na adresy </w:t>
      </w:r>
      <w:hyperlink r:id="rId12" w:history="1">
        <w:r w:rsidR="00730F3C" w:rsidRPr="00AC67DE">
          <w:rPr>
            <w:rStyle w:val="Hypertextovprepojenie"/>
          </w:rPr>
          <w:t>nlc@nlcsk.org</w:t>
        </w:r>
      </w:hyperlink>
      <w:r w:rsidR="00730F3C" w:rsidRPr="00AC67DE">
        <w:t xml:space="preserve"> a</w:t>
      </w:r>
      <w:r w:rsidRPr="00AC67DE">
        <w:t xml:space="preserve"> </w:t>
      </w:r>
      <w:hyperlink r:id="rId13" w:history="1">
        <w:r w:rsidR="00157E2A" w:rsidRPr="00EA468A">
          <w:rPr>
            <w:rStyle w:val="Hypertextovprepojenie"/>
          </w:rPr>
          <w:t>nlc-ulzi@nlcsk.org</w:t>
        </w:r>
      </w:hyperlink>
      <w:r w:rsidR="00730F3C" w:rsidRPr="00AC67DE">
        <w:t xml:space="preserve"> </w:t>
      </w:r>
      <w:r w:rsidRPr="00AC67DE">
        <w:t>hranice</w:t>
      </w:r>
      <w:r w:rsidR="00946CA6" w:rsidRPr="00AC67DE">
        <w:t xml:space="preserve"> národného parku, zón národného parku a ochranného pásma národného parku </w:t>
      </w:r>
      <w:r w:rsidRPr="00AC67DE">
        <w:t>v dátovom formáte pre ukladanie vektorových priestorových dát pre geografické informačné systémy (napr. Esri shapefile), ktorý priestorovo popisuje geometrické body, línie a plochy hranice.</w:t>
      </w:r>
    </w:p>
    <w:p w14:paraId="0756886A" w14:textId="77777777" w:rsidR="00575A7F" w:rsidRPr="00AC67DE" w:rsidRDefault="00575A7F" w:rsidP="00730F3C">
      <w:pPr>
        <w:pStyle w:val="Normlnywebov"/>
        <w:jc w:val="both"/>
        <w:divId w:val="2104955051"/>
      </w:pPr>
      <w:r w:rsidRPr="00AC67DE">
        <w:t>Návrh nariadenia vlády nie je predmetom vnútrokomunitárneho pripomienkového konania.</w:t>
      </w:r>
    </w:p>
    <w:p w14:paraId="63ABDBD6" w14:textId="548BF4FE" w:rsidR="00E076A2" w:rsidRPr="00B75BB0" w:rsidRDefault="00575A7F" w:rsidP="006A7FA0">
      <w:pPr>
        <w:pStyle w:val="Normlnywebov"/>
        <w:jc w:val="both"/>
      </w:pPr>
      <w:r w:rsidRPr="00AC67DE">
        <w:t>Dátum účinnosti návrhu nariadenia vlády je vzhľadom na predpokladanú dĺžku legislatívneho procesu a potrebnú legi</w:t>
      </w:r>
      <w:r w:rsidR="00820AFE" w:rsidRPr="00AC67DE">
        <w:t xml:space="preserve">svakačnú lehotu </w:t>
      </w:r>
      <w:r w:rsidR="00820AFE" w:rsidRPr="00B270DC">
        <w:t xml:space="preserve">navrhnutý </w:t>
      </w:r>
      <w:r w:rsidR="00820AFE" w:rsidRPr="00A62E48">
        <w:t xml:space="preserve">na 1. </w:t>
      </w:r>
      <w:r w:rsidR="00B270DC" w:rsidRPr="00A62E48">
        <w:t>januára</w:t>
      </w:r>
      <w:r w:rsidR="002015B7" w:rsidRPr="00A62E48">
        <w:t xml:space="preserve"> </w:t>
      </w:r>
      <w:r w:rsidR="00820AFE" w:rsidRPr="00A62E48">
        <w:t>202</w:t>
      </w:r>
      <w:r w:rsidR="00B270DC" w:rsidRPr="00A62E48">
        <w:t>4</w:t>
      </w:r>
      <w:r w:rsidRPr="00A62E48">
        <w:t>.</w:t>
      </w:r>
    </w:p>
    <w:sectPr w:rsidR="00E076A2" w:rsidRPr="00B75BB0" w:rsidSect="0094674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1D59" w14:textId="77777777" w:rsidR="00952957" w:rsidRDefault="00952957" w:rsidP="000A67D5">
      <w:pPr>
        <w:spacing w:after="0" w:line="240" w:lineRule="auto"/>
      </w:pPr>
      <w:r>
        <w:separator/>
      </w:r>
    </w:p>
  </w:endnote>
  <w:endnote w:type="continuationSeparator" w:id="0">
    <w:p w14:paraId="03AB2ED1" w14:textId="77777777" w:rsidR="00952957" w:rsidRDefault="0095295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5C0F" w14:textId="77777777" w:rsidR="00952957" w:rsidRDefault="00952957" w:rsidP="000A67D5">
      <w:pPr>
        <w:spacing w:after="0" w:line="240" w:lineRule="auto"/>
      </w:pPr>
      <w:r>
        <w:separator/>
      </w:r>
    </w:p>
  </w:footnote>
  <w:footnote w:type="continuationSeparator" w:id="0">
    <w:p w14:paraId="13F03DA4" w14:textId="77777777" w:rsidR="00952957" w:rsidRDefault="00952957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C05"/>
    <w:multiLevelType w:val="hybridMultilevel"/>
    <w:tmpl w:val="83F01774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5639"/>
    <w:rsid w:val="000178F6"/>
    <w:rsid w:val="00023E29"/>
    <w:rsid w:val="000242A2"/>
    <w:rsid w:val="00025017"/>
    <w:rsid w:val="00027421"/>
    <w:rsid w:val="0004271D"/>
    <w:rsid w:val="00053503"/>
    <w:rsid w:val="00055CB4"/>
    <w:rsid w:val="00056FAC"/>
    <w:rsid w:val="000603AB"/>
    <w:rsid w:val="0006543E"/>
    <w:rsid w:val="00092DD6"/>
    <w:rsid w:val="000975D7"/>
    <w:rsid w:val="000A67D5"/>
    <w:rsid w:val="000C30FD"/>
    <w:rsid w:val="000D190D"/>
    <w:rsid w:val="000E25CA"/>
    <w:rsid w:val="001034F7"/>
    <w:rsid w:val="00126C24"/>
    <w:rsid w:val="00133EA8"/>
    <w:rsid w:val="00146547"/>
    <w:rsid w:val="00146B48"/>
    <w:rsid w:val="00150388"/>
    <w:rsid w:val="00157E2A"/>
    <w:rsid w:val="001615B4"/>
    <w:rsid w:val="00164752"/>
    <w:rsid w:val="00171F6D"/>
    <w:rsid w:val="001A305E"/>
    <w:rsid w:val="001A3641"/>
    <w:rsid w:val="001B25D6"/>
    <w:rsid w:val="001B3FD0"/>
    <w:rsid w:val="001C43CB"/>
    <w:rsid w:val="001D0384"/>
    <w:rsid w:val="0020134C"/>
    <w:rsid w:val="002015B7"/>
    <w:rsid w:val="00206D56"/>
    <w:rsid w:val="002109B0"/>
    <w:rsid w:val="0021228E"/>
    <w:rsid w:val="00217B04"/>
    <w:rsid w:val="00221EA9"/>
    <w:rsid w:val="00230F3C"/>
    <w:rsid w:val="0024229D"/>
    <w:rsid w:val="0026610F"/>
    <w:rsid w:val="002702D6"/>
    <w:rsid w:val="00280589"/>
    <w:rsid w:val="002A5577"/>
    <w:rsid w:val="002B25BE"/>
    <w:rsid w:val="002D370F"/>
    <w:rsid w:val="00310998"/>
    <w:rsid w:val="003111B8"/>
    <w:rsid w:val="00322014"/>
    <w:rsid w:val="00336BE3"/>
    <w:rsid w:val="00361D8A"/>
    <w:rsid w:val="00390BDF"/>
    <w:rsid w:val="0039526D"/>
    <w:rsid w:val="003B435B"/>
    <w:rsid w:val="003C202B"/>
    <w:rsid w:val="003C5820"/>
    <w:rsid w:val="003D5E45"/>
    <w:rsid w:val="003E096C"/>
    <w:rsid w:val="003E2DC5"/>
    <w:rsid w:val="003E3CDC"/>
    <w:rsid w:val="003E4226"/>
    <w:rsid w:val="003E68DF"/>
    <w:rsid w:val="003F0E4D"/>
    <w:rsid w:val="003F3B58"/>
    <w:rsid w:val="003F3DAF"/>
    <w:rsid w:val="00422DEC"/>
    <w:rsid w:val="004337BA"/>
    <w:rsid w:val="00436C44"/>
    <w:rsid w:val="004439DD"/>
    <w:rsid w:val="004466B3"/>
    <w:rsid w:val="00446E3C"/>
    <w:rsid w:val="0045362D"/>
    <w:rsid w:val="00456912"/>
    <w:rsid w:val="004612CE"/>
    <w:rsid w:val="00465F4A"/>
    <w:rsid w:val="00466E7E"/>
    <w:rsid w:val="00473D41"/>
    <w:rsid w:val="00474A9D"/>
    <w:rsid w:val="004837FB"/>
    <w:rsid w:val="00496E0B"/>
    <w:rsid w:val="004B1F08"/>
    <w:rsid w:val="004C2A55"/>
    <w:rsid w:val="004C49E6"/>
    <w:rsid w:val="004E2A20"/>
    <w:rsid w:val="004E70BA"/>
    <w:rsid w:val="00532574"/>
    <w:rsid w:val="0053315D"/>
    <w:rsid w:val="0053385C"/>
    <w:rsid w:val="00554AF4"/>
    <w:rsid w:val="0056053B"/>
    <w:rsid w:val="00564B2C"/>
    <w:rsid w:val="00575A7F"/>
    <w:rsid w:val="00581B65"/>
    <w:rsid w:val="00581D58"/>
    <w:rsid w:val="0059081C"/>
    <w:rsid w:val="00591B2F"/>
    <w:rsid w:val="0059730F"/>
    <w:rsid w:val="005A64C8"/>
    <w:rsid w:val="005D0B8A"/>
    <w:rsid w:val="005D7426"/>
    <w:rsid w:val="005E3DEE"/>
    <w:rsid w:val="00602667"/>
    <w:rsid w:val="00617B4D"/>
    <w:rsid w:val="00624704"/>
    <w:rsid w:val="006301AF"/>
    <w:rsid w:val="00634B9C"/>
    <w:rsid w:val="006350E9"/>
    <w:rsid w:val="00642FB8"/>
    <w:rsid w:val="00647DE7"/>
    <w:rsid w:val="00657226"/>
    <w:rsid w:val="00687533"/>
    <w:rsid w:val="00696E19"/>
    <w:rsid w:val="006A3681"/>
    <w:rsid w:val="006A6E34"/>
    <w:rsid w:val="006A7FA0"/>
    <w:rsid w:val="006C43FA"/>
    <w:rsid w:val="006D57D8"/>
    <w:rsid w:val="006D5E8C"/>
    <w:rsid w:val="006F131D"/>
    <w:rsid w:val="007055C1"/>
    <w:rsid w:val="007218C3"/>
    <w:rsid w:val="00727440"/>
    <w:rsid w:val="00730871"/>
    <w:rsid w:val="00730F3C"/>
    <w:rsid w:val="00744AB6"/>
    <w:rsid w:val="0074695B"/>
    <w:rsid w:val="00747743"/>
    <w:rsid w:val="00764FAC"/>
    <w:rsid w:val="00766598"/>
    <w:rsid w:val="0077069C"/>
    <w:rsid w:val="007746DD"/>
    <w:rsid w:val="00777C34"/>
    <w:rsid w:val="007A1010"/>
    <w:rsid w:val="007A160B"/>
    <w:rsid w:val="007B3294"/>
    <w:rsid w:val="007B553D"/>
    <w:rsid w:val="007D15B7"/>
    <w:rsid w:val="007D7AE6"/>
    <w:rsid w:val="0081645A"/>
    <w:rsid w:val="00820AFE"/>
    <w:rsid w:val="008354BD"/>
    <w:rsid w:val="0084052F"/>
    <w:rsid w:val="00842D82"/>
    <w:rsid w:val="0085396C"/>
    <w:rsid w:val="00880BB5"/>
    <w:rsid w:val="008A1964"/>
    <w:rsid w:val="008A2602"/>
    <w:rsid w:val="008D2B72"/>
    <w:rsid w:val="008D5F03"/>
    <w:rsid w:val="008E2844"/>
    <w:rsid w:val="008E3D2E"/>
    <w:rsid w:val="0090063D"/>
    <w:rsid w:val="0090100E"/>
    <w:rsid w:val="009239D9"/>
    <w:rsid w:val="00946740"/>
    <w:rsid w:val="00946CA6"/>
    <w:rsid w:val="00951117"/>
    <w:rsid w:val="00952957"/>
    <w:rsid w:val="00963ADD"/>
    <w:rsid w:val="0096774F"/>
    <w:rsid w:val="009A587C"/>
    <w:rsid w:val="009B2526"/>
    <w:rsid w:val="009C3F94"/>
    <w:rsid w:val="009C6C5C"/>
    <w:rsid w:val="009D1314"/>
    <w:rsid w:val="009D6F8B"/>
    <w:rsid w:val="009E1BA9"/>
    <w:rsid w:val="00A05DD1"/>
    <w:rsid w:val="00A220E2"/>
    <w:rsid w:val="00A54A16"/>
    <w:rsid w:val="00A62E48"/>
    <w:rsid w:val="00A723DA"/>
    <w:rsid w:val="00A76030"/>
    <w:rsid w:val="00A96619"/>
    <w:rsid w:val="00AA6AE3"/>
    <w:rsid w:val="00AB31FC"/>
    <w:rsid w:val="00AB45A3"/>
    <w:rsid w:val="00AC67DE"/>
    <w:rsid w:val="00AE3F6A"/>
    <w:rsid w:val="00AF457A"/>
    <w:rsid w:val="00B05DF8"/>
    <w:rsid w:val="00B12D52"/>
    <w:rsid w:val="00B133CC"/>
    <w:rsid w:val="00B240D9"/>
    <w:rsid w:val="00B2573C"/>
    <w:rsid w:val="00B270DC"/>
    <w:rsid w:val="00B35728"/>
    <w:rsid w:val="00B43FFA"/>
    <w:rsid w:val="00B62374"/>
    <w:rsid w:val="00B67ED2"/>
    <w:rsid w:val="00B75BB0"/>
    <w:rsid w:val="00B80C81"/>
    <w:rsid w:val="00B81906"/>
    <w:rsid w:val="00B822FF"/>
    <w:rsid w:val="00B87852"/>
    <w:rsid w:val="00B906B2"/>
    <w:rsid w:val="00BD1FAB"/>
    <w:rsid w:val="00BD2978"/>
    <w:rsid w:val="00BD2B7F"/>
    <w:rsid w:val="00BE7302"/>
    <w:rsid w:val="00BF1178"/>
    <w:rsid w:val="00BF2661"/>
    <w:rsid w:val="00C079D8"/>
    <w:rsid w:val="00C17FAC"/>
    <w:rsid w:val="00C35BC3"/>
    <w:rsid w:val="00C41CA1"/>
    <w:rsid w:val="00C50357"/>
    <w:rsid w:val="00C65A4A"/>
    <w:rsid w:val="00C81F2D"/>
    <w:rsid w:val="00C920E8"/>
    <w:rsid w:val="00CA4563"/>
    <w:rsid w:val="00CB77ED"/>
    <w:rsid w:val="00CE47A6"/>
    <w:rsid w:val="00D260F5"/>
    <w:rsid w:val="00D261C9"/>
    <w:rsid w:val="00D37A01"/>
    <w:rsid w:val="00D443D9"/>
    <w:rsid w:val="00D64EEA"/>
    <w:rsid w:val="00D7179C"/>
    <w:rsid w:val="00D72293"/>
    <w:rsid w:val="00D7263F"/>
    <w:rsid w:val="00D763F8"/>
    <w:rsid w:val="00D85172"/>
    <w:rsid w:val="00D969AC"/>
    <w:rsid w:val="00DA34D9"/>
    <w:rsid w:val="00DC0BD9"/>
    <w:rsid w:val="00DD5149"/>
    <w:rsid w:val="00DD58E1"/>
    <w:rsid w:val="00DF3060"/>
    <w:rsid w:val="00E01007"/>
    <w:rsid w:val="00E076A2"/>
    <w:rsid w:val="00E12576"/>
    <w:rsid w:val="00E13D11"/>
    <w:rsid w:val="00E14E7F"/>
    <w:rsid w:val="00E16320"/>
    <w:rsid w:val="00E32491"/>
    <w:rsid w:val="00E43F68"/>
    <w:rsid w:val="00E51A6C"/>
    <w:rsid w:val="00E5284A"/>
    <w:rsid w:val="00E600E4"/>
    <w:rsid w:val="00E840B3"/>
    <w:rsid w:val="00E87DD9"/>
    <w:rsid w:val="00E9437D"/>
    <w:rsid w:val="00EA3EF3"/>
    <w:rsid w:val="00EA468A"/>
    <w:rsid w:val="00EA7136"/>
    <w:rsid w:val="00EA7C00"/>
    <w:rsid w:val="00EC027B"/>
    <w:rsid w:val="00EE0D4A"/>
    <w:rsid w:val="00EE2C96"/>
    <w:rsid w:val="00EE3A8A"/>
    <w:rsid w:val="00EF0BF4"/>
    <w:rsid w:val="00EF1425"/>
    <w:rsid w:val="00F0723D"/>
    <w:rsid w:val="00F223CC"/>
    <w:rsid w:val="00F23B3E"/>
    <w:rsid w:val="00F256C4"/>
    <w:rsid w:val="00F2656B"/>
    <w:rsid w:val="00F26A4A"/>
    <w:rsid w:val="00F37038"/>
    <w:rsid w:val="00F46B1B"/>
    <w:rsid w:val="00F47E07"/>
    <w:rsid w:val="00F63AD4"/>
    <w:rsid w:val="00F72100"/>
    <w:rsid w:val="00FA0ABD"/>
    <w:rsid w:val="00FB12C1"/>
    <w:rsid w:val="00FC3A34"/>
    <w:rsid w:val="00FC6218"/>
    <w:rsid w:val="00FD176A"/>
    <w:rsid w:val="00FE77E3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575A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D5E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D5E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5E8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5E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5E8C"/>
    <w:rPr>
      <w:b/>
      <w:bCs/>
      <w:noProof/>
      <w:sz w:val="20"/>
      <w:szCs w:val="20"/>
      <w:lang w:val="sk-SK"/>
    </w:rPr>
  </w:style>
  <w:style w:type="character" w:customStyle="1" w:styleId="Textzstupnhosymbolu">
    <w:name w:val="Text zástupného symbolu"/>
    <w:uiPriority w:val="99"/>
    <w:semiHidden/>
    <w:rsid w:val="00164752"/>
    <w:rPr>
      <w:rFonts w:ascii="Times New Roman" w:hAnsi="Times New Roman" w:cs="Times New Roman"/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6D56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43FFA"/>
    <w:pPr>
      <w:spacing w:after="0" w:line="240" w:lineRule="auto"/>
    </w:pPr>
    <w:rPr>
      <w:noProof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0B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0BDF"/>
    <w:rPr>
      <w:noProof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0B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90063D"/>
    <w:pPr>
      <w:spacing w:after="160" w:line="256" w:lineRule="auto"/>
      <w:ind w:left="720"/>
      <w:contextualSpacing/>
    </w:pPr>
    <w:rPr>
      <w:rFonts w:eastAsiaTheme="minorHAnsi"/>
      <w:noProof w:val="0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lc-ulzi@nlcs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lc@nlcs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velkafatra.sk/dokumenty/projekt-ochran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4.2022 13:11:57"/>
    <f:field ref="objchangedby" par="" text="Administrator, System"/>
    <f:field ref="objmodifiedat" par="" text="29.4.2022 13:11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ED6BFFC4C843BBB32A8CD400D74F" ma:contentTypeVersion="11" ma:contentTypeDescription="Umožňuje vytvoriť nový dokument." ma:contentTypeScope="" ma:versionID="c29372927cf0a442354a213de504c023">
  <xsd:schema xmlns:xsd="http://www.w3.org/2001/XMLSchema" xmlns:xs="http://www.w3.org/2001/XMLSchema" xmlns:p="http://schemas.microsoft.com/office/2006/metadata/properties" xmlns:ns2="e0d0eb1a-8fe6-4662-866b-ed166eb99203" xmlns:ns3="601440e4-414f-44d3-a738-2523dbaa65ba" targetNamespace="http://schemas.microsoft.com/office/2006/metadata/properties" ma:root="true" ma:fieldsID="104fab78f34b63ea4655082a0e594b32" ns2:_="" ns3:_="">
    <xsd:import namespace="e0d0eb1a-8fe6-4662-866b-ed166eb99203"/>
    <xsd:import namespace="601440e4-414f-44d3-a738-2523dbaa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eb1a-8fe6-4662-866b-ed166eb9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40284e40-49f3-4066-8514-4fb87751f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40e4-414f-44d3-a738-2523dbaa65b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65a47e-7c95-42ee-8950-ed8938846242}" ma:internalName="TaxCatchAll" ma:showField="CatchAllData" ma:web="601440e4-414f-44d3-a738-2523dbaa6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8A31-1955-4047-B3D6-0C58E172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84E4AF7D-1C41-4EA2-8684-73B78652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0eb1a-8fe6-4662-866b-ed166eb99203"/>
    <ds:schemaRef ds:uri="601440e4-414f-44d3-a738-2523dbaa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A4089-40EB-4D33-82BA-431726DB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2023-09-03T14:58:00Z</dcterms:created>
  <dcterms:modified xsi:type="dcterms:W3CDTF">2023-09-20T10:07:00Z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Národný park Muránska planina, jeho zóny a ochranné pásmo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7" name="FSC#SKEDITIONSLOVLEX@103.510:rezortcislopredpis">
    <vt:lpwstr>7968/2022-1.7.3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LP/2022/237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 navrhovaný materiál nie je upravený v judikatúre Súdneho dvora Európskej únie.</vt:lpwstr>
  </property>
  <property fmtid="{D5CDD505-2E9C-101B-9397-08002B2CF9AE}" pid="4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7. 4. 2022</vt:lpwstr>
  </property>
  <property fmtid="{D5CDD505-2E9C-101B-9397-08002B2CF9AE}" pid="49" name="FSC#SKEDITIONSLOVLEX@103.510:AttrDateDocPropUkonceniePKK">
    <vt:lpwstr>20. 4. 2022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0" name="FSC#COOSYSTEM@1.1:Container">
    <vt:lpwstr>COO.2145.1000.3.4935900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29. 4. 2022</vt:lpwstr>
  </property>
</Properties>
</file>