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45CB" w:rsidR="001B23B7" w:rsidP="001B23B7" w:rsidRDefault="00A340BB" w14:paraId="3B80EE8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sk-SK"/>
        </w:rPr>
        <w:t>D</w:t>
      </w:r>
      <w:r w:rsidRPr="006045CB" w:rsidR="001B23B7">
        <w:rPr>
          <w:rFonts w:ascii="Times New Roman" w:hAnsi="Times New Roman" w:eastAsia="Times New Roman" w:cs="Times New Roman"/>
          <w:b/>
          <w:sz w:val="28"/>
          <w:szCs w:val="28"/>
          <w:lang w:eastAsia="sk-SK"/>
        </w:rPr>
        <w:t>oložka vybraných vplyvov</w:t>
      </w:r>
    </w:p>
    <w:p w:rsidRPr="00B043B4" w:rsidR="001B23B7" w:rsidP="001B23B7" w:rsidRDefault="001B23B7" w14:paraId="672A6659" w14:textId="77777777">
      <w:pPr>
        <w:spacing w:after="200" w:line="276" w:lineRule="auto"/>
        <w:ind w:left="426"/>
        <w:contextualSpacing/>
        <w:rPr>
          <w:rFonts w:ascii="Calibri" w:hAnsi="Calibri" w:eastAsia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Pr="00B043B4" w:rsidR="001B23B7" w:rsidTr="358AC768" w14:paraId="1A74C993" w14:textId="77777777">
        <w:tc>
          <w:tcPr>
            <w:tcW w:w="9180" w:type="dxa"/>
            <w:gridSpan w:val="11"/>
            <w:tcBorders>
              <w:bottom w:val="single" w:color="FFFFFF" w:themeColor="background1" w:sz="4" w:space="0"/>
            </w:tcBorders>
            <w:shd w:val="clear" w:color="auto" w:fill="E2E2E2"/>
            <w:tcMar/>
          </w:tcPr>
          <w:p w:rsidRPr="00B043B4" w:rsidR="001B23B7" w:rsidP="000800FC" w:rsidRDefault="001B23B7" w14:paraId="06324801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Základné údaje</w:t>
            </w:r>
          </w:p>
        </w:tc>
      </w:tr>
      <w:tr w:rsidRPr="00B043B4" w:rsidR="001B23B7" w:rsidTr="358AC768" w14:paraId="768AE2BB" w14:textId="77777777">
        <w:tc>
          <w:tcPr>
            <w:tcW w:w="9180" w:type="dxa"/>
            <w:gridSpan w:val="11"/>
            <w:tcBorders>
              <w:bottom w:val="single" w:color="FFFFFF" w:themeColor="background1" w:sz="4" w:space="0"/>
            </w:tcBorders>
            <w:shd w:val="clear" w:color="auto" w:fill="E2E2E2"/>
            <w:tcMar/>
          </w:tcPr>
          <w:p w:rsidRPr="00B043B4" w:rsidR="001B23B7" w:rsidP="000800FC" w:rsidRDefault="001B23B7" w14:paraId="7BCCEBFC" w14:textId="77777777">
            <w:pPr>
              <w:spacing w:after="200" w:line="276" w:lineRule="auto"/>
              <w:ind w:left="142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Názov materiálu</w:t>
            </w:r>
          </w:p>
        </w:tc>
      </w:tr>
      <w:tr w:rsidRPr="00B043B4" w:rsidR="001B23B7" w:rsidTr="358AC768" w14:paraId="7329A006" w14:textId="77777777">
        <w:tc>
          <w:tcPr>
            <w:tcW w:w="9180" w:type="dxa"/>
            <w:gridSpan w:val="11"/>
            <w:tcBorders>
              <w:top w:val="single" w:color="FFFFFF" w:themeColor="background1" w:sz="4" w:space="0"/>
              <w:bottom w:val="single" w:color="auto" w:sz="4" w:space="0"/>
            </w:tcBorders>
            <w:tcMar/>
          </w:tcPr>
          <w:p w:rsidRPr="00B043B4" w:rsidR="001B23B7" w:rsidP="000800FC" w:rsidRDefault="001478B6" w14:paraId="38BB22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074349">
              <w:rPr>
                <w:rFonts w:ascii="Times" w:hAnsi="Times" w:cs="Times"/>
                <w:sz w:val="20"/>
                <w:szCs w:val="20"/>
              </w:rPr>
              <w:t>Nariadenie vlády Slovenskej republiky, ktorým sa ustanovujú hodnota investície a koncesie a základné náležitosti štúdie uskutočniteľnosti investície a štúdie uskutočniteľnosti koncesie</w:t>
            </w:r>
          </w:p>
        </w:tc>
      </w:tr>
      <w:tr w:rsidRPr="00B043B4" w:rsidR="001B23B7" w:rsidTr="358AC768" w14:paraId="14A783B4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</w:tcBorders>
            <w:shd w:val="clear" w:color="auto" w:fill="E2E2E2"/>
            <w:tcMar/>
          </w:tcPr>
          <w:p w:rsidRPr="00B043B4" w:rsidR="001B23B7" w:rsidP="000800FC" w:rsidRDefault="001B23B7" w14:paraId="78BCF2AE" w14:textId="77777777">
            <w:pPr>
              <w:spacing w:after="200" w:line="276" w:lineRule="auto"/>
              <w:ind w:left="142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Predkladateľ (a spolupredkladateľ)</w:t>
            </w:r>
          </w:p>
        </w:tc>
      </w:tr>
      <w:tr w:rsidRPr="00B043B4" w:rsidR="001B23B7" w:rsidTr="358AC768" w14:paraId="73241478" w14:textId="77777777">
        <w:tc>
          <w:tcPr>
            <w:tcW w:w="9180" w:type="dxa"/>
            <w:gridSpan w:val="11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478B6" w14:paraId="5BCD922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1478B6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Pr="00B043B4" w:rsidR="001B23B7" w:rsidP="000800FC" w:rsidRDefault="001B23B7" w14:paraId="0A3750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4C1B1F16" w14:textId="77777777">
        <w:tc>
          <w:tcPr>
            <w:tcW w:w="42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</w:tcBorders>
            <w:shd w:val="clear" w:color="auto" w:fill="E2E2E2"/>
            <w:tcMar/>
            <w:vAlign w:val="center"/>
          </w:tcPr>
          <w:p w:rsidRPr="00B043B4" w:rsidR="001B23B7" w:rsidP="000800FC" w:rsidRDefault="001B23B7" w14:paraId="17E887E2" w14:textId="77777777">
            <w:pPr>
              <w:spacing w:after="200" w:line="276" w:lineRule="auto"/>
              <w:ind w:left="142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shd w:val="clear" w:color="auto" w:fill="FFFFFF" w:themeFill="background1"/>
                <w:tcMar/>
              </w:tcPr>
              <w:p w:rsidRPr="00B043B4" w:rsidR="001B23B7" w:rsidP="000800FC" w:rsidRDefault="000013C3" w14:paraId="0D1C84E6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B23B7" w14:paraId="39752FB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Pr="00B043B4" w:rsidR="001B23B7" w:rsidTr="358AC768" w14:paraId="010CEE41" w14:textId="77777777">
        <w:tc>
          <w:tcPr>
            <w:tcW w:w="4212" w:type="dxa"/>
            <w:gridSpan w:val="2"/>
            <w:vMerge/>
            <w:tcMar/>
          </w:tcPr>
          <w:p w:rsidRPr="00B043B4" w:rsidR="001B23B7" w:rsidP="000800FC" w:rsidRDefault="001B23B7" w14:paraId="5DAB6C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shd w:val="clear" w:color="auto" w:fill="FFFFFF" w:themeFill="background1"/>
                <w:tcMar/>
              </w:tcPr>
              <w:p w:rsidRPr="00B043B4" w:rsidR="001B23B7" w:rsidP="00203EE3" w:rsidRDefault="001478B6" w14:paraId="3CA8F8EF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B23B7" w14:paraId="775A5A11" w14:textId="77777777">
            <w:pPr>
              <w:ind w:left="175" w:hanging="175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Pr="00B043B4" w:rsidR="001B23B7" w:rsidTr="358AC768" w14:paraId="734309F7" w14:textId="77777777">
        <w:tc>
          <w:tcPr>
            <w:tcW w:w="4212" w:type="dxa"/>
            <w:gridSpan w:val="2"/>
            <w:vMerge/>
            <w:tcMar/>
          </w:tcPr>
          <w:p w:rsidRPr="00B043B4" w:rsidR="001B23B7" w:rsidP="000800FC" w:rsidRDefault="001B23B7" w14:paraId="02EB37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shd w:val="clear" w:color="auto" w:fill="FFFFFF" w:themeFill="background1"/>
                <w:tcMar/>
              </w:tcPr>
              <w:p w:rsidRPr="00B043B4" w:rsidR="001B23B7" w:rsidP="000800FC" w:rsidRDefault="000013C3" w14:paraId="412DD878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B23B7" w14:paraId="52444A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Pr="00B043B4" w:rsidR="001B23B7" w:rsidTr="358AC768" w14:paraId="6A05A809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</w:tcBorders>
            <w:shd w:val="clear" w:color="auto" w:fill="FFFFFF" w:themeFill="background1"/>
            <w:tcMar/>
          </w:tcPr>
          <w:p w:rsidRPr="00B043B4" w:rsidR="001B23B7" w:rsidP="001478B6" w:rsidRDefault="001B23B7" w14:paraId="5A39BBE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7AAD84AC" w14:textId="77777777">
        <w:tc>
          <w:tcPr>
            <w:tcW w:w="5949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4C5A745E" w14:textId="77777777">
            <w:pPr>
              <w:spacing w:after="200" w:line="276" w:lineRule="auto"/>
              <w:ind w:left="142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4798" w:rsidR="00214798" w:rsidP="000800FC" w:rsidRDefault="00214798" w14:paraId="18C9F4F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214798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Začiatok:</w:t>
            </w:r>
          </w:p>
          <w:p w:rsidRPr="00B043B4" w:rsidR="001B23B7" w:rsidP="000800FC" w:rsidRDefault="00214798" w14:paraId="41C8F396" w14:textId="144077B5"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sk-SK"/>
              </w:rPr>
            </w:pPr>
            <w:r w:rsidRPr="00214798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Koniec:</w:t>
            </w:r>
          </w:p>
        </w:tc>
      </w:tr>
      <w:tr w:rsidRPr="00B043B4" w:rsidR="001B23B7" w:rsidTr="358AC768" w14:paraId="4093EF19" w14:textId="77777777"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A340BB" w:rsidRDefault="001B23B7" w14:paraId="1D560590" w14:textId="77777777">
            <w:pPr>
              <w:spacing w:after="200" w:line="276" w:lineRule="auto"/>
              <w:ind w:left="142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Predpokl</w:t>
            </w:r>
            <w:r>
              <w:rPr>
                <w:rFonts w:ascii="Times New Roman" w:hAnsi="Times New Roman" w:eastAsia="Calibri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hAnsi="Times New Roman" w:eastAsia="Calibri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78B6" w:rsidR="001B23B7" w:rsidP="000800FC" w:rsidRDefault="001478B6" w14:paraId="7D15B5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1478B6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marec 2023</w:t>
            </w:r>
          </w:p>
        </w:tc>
      </w:tr>
      <w:tr w:rsidRPr="00B043B4" w:rsidR="001B23B7" w:rsidTr="358AC768" w14:paraId="126E482F" w14:textId="77777777">
        <w:trPr>
          <w:trHeight w:val="320"/>
        </w:trPr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D2313B" w:rsidRDefault="001B23B7" w14:paraId="06C1AF2B" w14:textId="77777777">
            <w:pPr>
              <w:spacing w:line="276" w:lineRule="auto"/>
              <w:ind w:left="142"/>
              <w:contextualSpacing/>
              <w:rPr>
                <w:rFonts w:ascii="Calibri" w:hAnsi="Calibri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Predpokladaný termín začiatku a ukončenia ZP**</w:t>
            </w:r>
            <w:r w:rsidRPr="00B043B4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203EA" w:rsidR="001B23B7" w:rsidRDefault="001B23B7" w14:paraId="72A3D3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Pr="00B043B4" w:rsidR="001B23B7" w:rsidTr="358AC768" w14:paraId="59FBBAE7" w14:textId="77777777"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6B611927" w14:textId="7777777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203EA" w:rsidR="001B23B7" w:rsidP="63086A64" w:rsidRDefault="001478B6" w14:paraId="2CB951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63086A64" w:rsidR="001478B6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jún 2023</w:t>
            </w:r>
          </w:p>
        </w:tc>
      </w:tr>
      <w:tr w:rsidRPr="00B043B4" w:rsidR="001B23B7" w:rsidTr="358AC768" w14:paraId="0D0B940D" w14:textId="77777777">
        <w:tc>
          <w:tcPr>
            <w:tcW w:w="91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B043B4" w:rsidR="001B23B7" w:rsidP="000800FC" w:rsidRDefault="001B23B7" w14:paraId="0E27B0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757CF6D4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2CB6C257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Definovanie problému</w:t>
            </w:r>
          </w:p>
        </w:tc>
      </w:tr>
      <w:tr w:rsidRPr="00B043B4" w:rsidR="001B23B7" w:rsidTr="358AC768" w14:paraId="58040BB5" w14:textId="77777777">
        <w:trPr>
          <w:trHeight w:val="718"/>
        </w:trPr>
        <w:tc>
          <w:tcPr>
            <w:tcW w:w="9180" w:type="dxa"/>
            <w:gridSpan w:val="11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6203EA" w14:paraId="11CD0F62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D20491">
              <w:rPr>
                <w:rFonts w:ascii="Times" w:hAnsi="Times" w:cs="Times"/>
                <w:sz w:val="20"/>
                <w:szCs w:val="20"/>
              </w:rPr>
              <w:t>Väčšiu efektivitu celého procesu riadenia verejných investícií dosiahneme zameraním sa na väčšie projekty a strategické určovanie investičných priorít.</w:t>
            </w:r>
            <w:r>
              <w:rPr>
                <w:rFonts w:ascii="Times" w:hAnsi="Times" w:cs="Times"/>
                <w:sz w:val="20"/>
                <w:szCs w:val="20"/>
              </w:rPr>
              <w:t xml:space="preserve"> Hodnotenie projektov pod 10 mil. eur neprináša takú potenciálnu úsporu ako veľké projekty a iné strategické úlohy.</w:t>
            </w:r>
          </w:p>
        </w:tc>
      </w:tr>
      <w:tr w:rsidRPr="00B043B4" w:rsidR="001B23B7" w:rsidTr="358AC768" w14:paraId="3A65E50E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52B92312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Ciele a výsledný stav</w:t>
            </w:r>
          </w:p>
        </w:tc>
      </w:tr>
      <w:tr w:rsidRPr="00B043B4" w:rsidR="001B23B7" w:rsidTr="358AC768" w14:paraId="72AF9C91" w14:textId="7777777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6203EA" w14:paraId="166758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D20491">
              <w:rPr>
                <w:rFonts w:ascii="Times" w:hAnsi="Times" w:cs="Times"/>
                <w:sz w:val="20"/>
                <w:szCs w:val="20"/>
              </w:rPr>
              <w:t xml:space="preserve">Cieľom ministerstva financií, ktorý si osvojila aj vláda v programovom vyhlásení, je realizovať projekty iba s vysokou spoločenskou návratnosťou a zlepšiť ich plánovanie a prípravu. </w:t>
            </w:r>
            <w:r w:rsidRPr="00C53261">
              <w:rPr>
                <w:rFonts w:ascii="Times" w:hAnsi="Times" w:cs="Times"/>
                <w:sz w:val="20"/>
                <w:szCs w:val="20"/>
              </w:rPr>
              <w:t>Navrhovaný materiál reaguje na súčasnú prax prípravy a hodnotenia investícií a koncesií a navrhuje zjednotiť limit ekonomického hodnotenia investičných projektov Ministerstvom financií SR zo súčasného 1 , resp. 40 mil. eur na spoločnú hranicu 10 mil. eur.</w:t>
            </w:r>
          </w:p>
        </w:tc>
      </w:tr>
      <w:tr w:rsidRPr="00B043B4" w:rsidR="001B23B7" w:rsidTr="358AC768" w14:paraId="607C665E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0CCB52EF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Dotknuté subjekty</w:t>
            </w:r>
          </w:p>
        </w:tc>
      </w:tr>
      <w:tr w:rsidRPr="00B043B4" w:rsidR="001B23B7" w:rsidTr="358AC768" w14:paraId="469E4CE5" w14:textId="77777777">
        <w:tc>
          <w:tcPr>
            <w:tcW w:w="91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6203EA" w14:paraId="3AE78AC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D20491">
              <w:rPr>
                <w:rFonts w:ascii="Times" w:hAnsi="Times" w:cs="Times"/>
                <w:sz w:val="20"/>
                <w:szCs w:val="20"/>
              </w:rPr>
              <w:t>Subjekty verejnej správy</w:t>
            </w:r>
          </w:p>
          <w:p w:rsidRPr="00B043B4" w:rsidR="001B23B7" w:rsidP="000800FC" w:rsidRDefault="001B23B7" w14:paraId="60061E4C" w14:textId="77777777"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5551E92D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775ED6CE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Alternatívne riešenia</w:t>
            </w:r>
          </w:p>
        </w:tc>
      </w:tr>
      <w:tr w:rsidRPr="00B043B4" w:rsidR="001B23B7" w:rsidTr="358AC768" w14:paraId="6B7445DD" w14:textId="77777777">
        <w:trPr>
          <w:trHeight w:val="855"/>
        </w:trPr>
        <w:tc>
          <w:tcPr>
            <w:tcW w:w="91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5E39EA" w14:paraId="30ECB85E" w14:textId="77777777">
            <w:pPr>
              <w:jc w:val="both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sk-SK"/>
              </w:rPr>
            </w:pPr>
            <w:r w:rsidRPr="00D20491">
              <w:rPr>
                <w:rFonts w:ascii="Times" w:hAnsi="Times" w:cs="Times"/>
                <w:sz w:val="20"/>
                <w:szCs w:val="20"/>
              </w:rPr>
              <w:t xml:space="preserve">Alternatívnym riešením je zachovanie súčasného stavu, </w:t>
            </w:r>
            <w:r>
              <w:rPr>
                <w:rFonts w:ascii="Times" w:hAnsi="Times" w:cs="Times"/>
                <w:sz w:val="20"/>
                <w:szCs w:val="20"/>
              </w:rPr>
              <w:t>bez úpravy hraníc</w:t>
            </w:r>
            <w:r w:rsidRPr="00D20491">
              <w:rPr>
                <w:rFonts w:ascii="Times" w:hAnsi="Times" w:cs="Times"/>
                <w:sz w:val="20"/>
                <w:szCs w:val="20"/>
              </w:rPr>
              <w:t>. Naďalej sa budú hodnotiť aj menšie projekty, ktoré neprinášajú veľkú potenciálnu úsporu a kapacity alokované na hodnotenie týchto projektov nebude možné využiť na strategické úlohy s vyššou pridanou hodnotou.</w:t>
            </w:r>
            <w:bookmarkStart w:name="_GoBack" w:id="0"/>
            <w:bookmarkEnd w:id="0"/>
          </w:p>
        </w:tc>
      </w:tr>
      <w:tr w:rsidRPr="00B043B4" w:rsidR="001B23B7" w:rsidTr="358AC768" w14:paraId="6D74FDF7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4FA27949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Vykonávacie predpisy</w:t>
            </w:r>
          </w:p>
        </w:tc>
      </w:tr>
      <w:tr w:rsidRPr="00B043B4" w:rsidR="001B23B7" w:rsidTr="358AC768" w14:paraId="109FB76A" w14:textId="77777777">
        <w:tc>
          <w:tcPr>
            <w:tcW w:w="6203" w:type="dxa"/>
            <w:gridSpan w:val="7"/>
            <w:tcBorders>
              <w:top w:val="single" w:color="FFFFFF" w:themeColor="background1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710B2C" w:rsidR="001B23B7" w:rsidP="000800FC" w:rsidRDefault="001B23B7" w14:paraId="5F8E34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710B2C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B043B4" w:rsidR="001B23B7" w:rsidP="000800FC" w:rsidRDefault="002E5832" w14:paraId="19ED6BA5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 w:eastAsia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B043B4" w:rsidR="001B23B7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color="FFFFFF" w:themeColor="background1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203EE3" w:rsidRDefault="002E5832" w14:paraId="765E3A20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 w:eastAsia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2C"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B043B4" w:rsidR="001B23B7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Pr="00B043B4" w:rsidR="001B23B7" w:rsidTr="358AC768" w14:paraId="44EAFD9C" w14:textId="77777777">
        <w:trPr>
          <w:trHeight w:val="322"/>
        </w:trPr>
        <w:tc>
          <w:tcPr>
            <w:tcW w:w="91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710B2C" w:rsidRDefault="001B23B7" w14:paraId="4B94D5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15510682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2616088D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 xml:space="preserve">Transpozícia práva EÚ </w:t>
            </w:r>
          </w:p>
        </w:tc>
      </w:tr>
      <w:tr w:rsidRPr="00B043B4" w:rsidR="001B23B7" w:rsidTr="358AC768" w14:paraId="3DEEC669" w14:textId="7777777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color="000000" w:themeColor="text1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B23B7" w14:paraId="3656B9AB" w14:textId="77777777">
            <w:pPr>
              <w:jc w:val="both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45FB0818" w14:textId="77777777">
        <w:trPr>
          <w:trHeight w:val="432"/>
        </w:trPr>
        <w:tc>
          <w:tcPr>
            <w:tcW w:w="9180" w:type="dxa"/>
            <w:gridSpan w:val="11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043B4" w:rsidR="001B23B7" w:rsidP="000800FC" w:rsidRDefault="001B23B7" w14:paraId="049F31C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3CB2FA18" w14:textId="77777777"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2B4758FC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Preskúmanie účelnosti</w:t>
            </w:r>
          </w:p>
        </w:tc>
      </w:tr>
      <w:tr w:rsidRPr="00B043B4" w:rsidR="001B23B7" w:rsidTr="358AC768" w14:paraId="53128261" w14:textId="77777777">
        <w:tc>
          <w:tcPr>
            <w:tcW w:w="9180" w:type="dxa"/>
            <w:gridSpan w:val="11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0718" w:rsidR="00710B2C" w:rsidP="1BB663DC" w:rsidRDefault="009E0718" w14:paraId="4B99056E" w14:textId="3CFB7732">
            <w:pPr>
              <w:pStyle w:val="paragraph"/>
              <w:spacing w:before="0" w:beforeAutospacing="off" w:after="0" w:afterAutospacing="off"/>
              <w:textAlignment w:val="baseline"/>
              <w:rPr>
                <w:sz w:val="20"/>
                <w:szCs w:val="20"/>
              </w:rPr>
            </w:pPr>
            <w:r w:rsidRPr="1BB663DC" w:rsidR="009E0718">
              <w:rPr>
                <w:sz w:val="20"/>
                <w:szCs w:val="20"/>
              </w:rPr>
              <w:t>Účelnosť je každoročne vyhodnocovaná v rámci Správy o hodnotení investícií, ktorá</w:t>
            </w:r>
            <w:r w:rsidRPr="1BB663DC" w:rsidR="002E5832">
              <w:rPr>
                <w:sz w:val="20"/>
                <w:szCs w:val="20"/>
              </w:rPr>
              <w:t xml:space="preserve"> </w:t>
            </w:r>
            <w:r w:rsidRPr="1BB663DC" w:rsidR="002E5832">
              <w:rPr>
                <w:sz w:val="20"/>
                <w:szCs w:val="20"/>
              </w:rPr>
              <w:t>sumarizuje povinnosti a výsledky hodnotenia investícií</w:t>
            </w:r>
            <w:r w:rsidRPr="1BB663DC" w:rsidR="002E5832">
              <w:rPr>
                <w:sz w:val="20"/>
                <w:szCs w:val="20"/>
              </w:rPr>
              <w:t>.</w:t>
            </w:r>
            <w:r w:rsidRPr="1BB663DC" w:rsidR="009E0718">
              <w:rPr>
                <w:sz w:val="20"/>
                <w:szCs w:val="20"/>
              </w:rPr>
              <w:t xml:space="preserve"> </w:t>
            </w:r>
            <w:r w:rsidRPr="1BB663DC" w:rsidR="002E5832">
              <w:rPr>
                <w:sz w:val="20"/>
                <w:szCs w:val="20"/>
              </w:rPr>
              <w:t xml:space="preserve">Správa </w:t>
            </w:r>
            <w:r w:rsidRPr="1BB663DC" w:rsidR="009E0718">
              <w:rPr>
                <w:sz w:val="20"/>
                <w:szCs w:val="20"/>
              </w:rPr>
              <w:t>obsahuje informácie o počte hodnotených projektov a potenciálnej úspore.</w:t>
            </w:r>
          </w:p>
        </w:tc>
      </w:tr>
      <w:tr w:rsidRPr="00B043B4" w:rsidR="001B23B7" w:rsidTr="358AC768" w14:paraId="36E9202C" w14:textId="77777777">
        <w:tc>
          <w:tcPr>
            <w:tcW w:w="91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B043B4" w:rsidR="001B23B7" w:rsidP="000800FC" w:rsidRDefault="001B23B7" w14:paraId="1299C43A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  <w:p w:rsidRPr="00B043B4" w:rsidR="001B23B7" w:rsidP="000800FC" w:rsidRDefault="001B23B7" w14:paraId="4DDBEF00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  <w:p w:rsidRPr="00B043B4" w:rsidR="001B23B7" w:rsidP="000800FC" w:rsidRDefault="001B23B7" w14:paraId="2EB51A5C" w14:textId="77777777">
            <w:pPr>
              <w:ind w:left="142" w:hanging="142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 w14:paraId="4A5CBDC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.</w:t>
            </w:r>
          </w:p>
          <w:p w:rsidRPr="00B043B4" w:rsidR="001B23B7" w:rsidP="358AC768" w:rsidRDefault="001B23B7" w14:paraId="3CF2D8B6" w14:textId="1982C1FA">
            <w:pPr>
              <w:pStyle w:val="Normlny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Pr="00B043B4" w:rsidR="001B23B7" w:rsidTr="358AC768" w14:paraId="48A52AA0" w14:textId="77777777">
        <w:trPr>
          <w:trHeight w:val="283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  <w:tcMar/>
            <w:vAlign w:val="center"/>
          </w:tcPr>
          <w:p w:rsidRPr="00B043B4" w:rsidR="001B23B7" w:rsidP="000800FC" w:rsidRDefault="001B23B7" w14:paraId="1055411C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lastRenderedPageBreak/>
              <w:t>Vybrané vplyvy  materiálu</w:t>
            </w:r>
          </w:p>
        </w:tc>
      </w:tr>
      <w:tr w:rsidRPr="00B043B4" w:rsidR="001B23B7" w:rsidTr="358AC768" w14:paraId="1F3F6F66" w14:textId="77777777"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B043B4" w:rsidR="001B23B7" w:rsidP="000800FC" w:rsidRDefault="001B23B7" w14:paraId="45D669F4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tcMar/>
              </w:tcPr>
              <w:p w:rsidRPr="00B043B4" w:rsidR="001B23B7" w:rsidP="000800FC" w:rsidRDefault="003145AE" w14:paraId="4053F9D1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tcMar/>
          </w:tcPr>
          <w:p w:rsidRPr="00B043B4" w:rsidR="001B23B7" w:rsidP="000800FC" w:rsidRDefault="001B23B7" w14:paraId="5518024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color="auto" w:sz="4" w:space="0"/>
                  <w:left w:val="nil"/>
                  <w:bottom w:val="dotted" w:color="auto" w:sz="4" w:space="0"/>
                  <w:right w:val="nil"/>
                </w:tcBorders>
                <w:tcMar/>
              </w:tcPr>
              <w:p w:rsidRPr="00B043B4" w:rsidR="001B23B7" w:rsidP="000800FC" w:rsidRDefault="00593EE8" w14:paraId="6DCCF954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tcMar/>
          </w:tcPr>
          <w:p w:rsidRPr="00B043B4" w:rsidR="001B23B7" w:rsidP="000800FC" w:rsidRDefault="001B23B7" w14:paraId="5B5E7D2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color="auto" w:sz="4" w:space="0"/>
                  <w:left w:val="nil"/>
                  <w:bottom w:val="dotted" w:color="auto" w:sz="4" w:space="0"/>
                  <w:right w:val="nil"/>
                </w:tcBorders>
                <w:tcMar/>
              </w:tcPr>
              <w:p w:rsidRPr="00B043B4" w:rsidR="001B23B7" w:rsidP="000800FC" w:rsidRDefault="00203EE3" w14:paraId="14E8EB90" w14:textId="77777777">
                <w:pPr>
                  <w:ind w:left="-107" w:right="-10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</w:tcPr>
          <w:p w:rsidRPr="00B043B4" w:rsidR="001B23B7" w:rsidP="000800FC" w:rsidRDefault="001B23B7" w14:paraId="6BFBDD22" w14:textId="77777777">
            <w:pPr>
              <w:ind w:left="3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1B23B7" w:rsidTr="358AC768" w14:paraId="1745DA19" w14:textId="77777777">
        <w:tc>
          <w:tcPr>
            <w:tcW w:w="38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="00B84F87" w:rsidRDefault="00B84F87" w14:paraId="6F363D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 w:rsidR="001B23B7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Pr="00A340BB" w:rsidR="00A340BB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 w14:paraId="1DDBE5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 w:rsidR="001B23B7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Pr="00A340BB" w:rsidR="003145AE" w:rsidRDefault="00B84F87" w14:paraId="3EDA4F2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 w:rsidR="001B23B7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1B23B7" w:rsidP="00203EE3" w:rsidRDefault="003145AE" w14:paraId="351D0424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1B23B7" w:rsidP="00203EE3" w:rsidRDefault="001B23B7" w14:paraId="2B57EA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1B23B7" w:rsidP="00203EE3" w:rsidRDefault="00593EE8" w14:paraId="418A20AE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1B23B7" w:rsidP="00203EE3" w:rsidRDefault="001B23B7" w14:paraId="01F243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1B23B7" w:rsidP="00203EE3" w:rsidRDefault="00203EE3" w14:paraId="2027F543" w14:textId="77777777">
                <w:pPr>
                  <w:ind w:left="-107" w:right="-108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B043B4" w:rsidR="001B23B7" w:rsidP="00203EE3" w:rsidRDefault="001B23B7" w14:paraId="16BE5A77" w14:textId="77777777">
            <w:pPr>
              <w:ind w:left="34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Pr="00B043B4" w:rsidR="003145AE" w:rsidTr="358AC768" w14:paraId="108A5EDC" w14:textId="77777777">
        <w:tc>
          <w:tcPr>
            <w:tcW w:w="38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3145AE" w:rsidR="003145AE" w:rsidP="003145AE" w:rsidRDefault="003145AE" w14:paraId="60C05712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tcMar/>
              </w:tcPr>
              <w:p w:rsidRPr="00B043B4" w:rsidR="003145AE" w:rsidP="003145AE" w:rsidRDefault="003145AE" w14:paraId="7BF29469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</w:tcPr>
          <w:p w:rsidRPr="00B043B4" w:rsidR="003145AE" w:rsidP="003145AE" w:rsidRDefault="003145AE" w14:paraId="53F62CF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</w:tcPr>
              <w:p w:rsidRPr="00B043B4" w:rsidR="003145AE" w:rsidP="003145AE" w:rsidRDefault="00593EE8" w14:paraId="1AE392C3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</w:tcPr>
          <w:p w:rsidRPr="00B043B4" w:rsidR="003145AE" w:rsidP="003145AE" w:rsidRDefault="003145AE" w14:paraId="258524B3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</w:tcPr>
              <w:p w:rsidRPr="00B043B4" w:rsidR="003145AE" w:rsidP="003145AE" w:rsidRDefault="003145AE" w14:paraId="7C9F31AF" w14:textId="77777777">
                <w:pPr>
                  <w:ind w:left="-107" w:right="-10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</w:tcPr>
          <w:p w:rsidRPr="00B043B4" w:rsidR="003145AE" w:rsidP="003145AE" w:rsidRDefault="003145AE" w14:paraId="61659828" w14:textId="77777777">
            <w:pPr>
              <w:ind w:left="3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3145AE" w:rsidTr="358AC768" w14:paraId="5432FE2B" w14:textId="77777777">
        <w:tc>
          <w:tcPr>
            <w:tcW w:w="3812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E2E2E2"/>
            <w:tcMar/>
          </w:tcPr>
          <w:p w:rsidR="003145AE" w:rsidP="003145AE" w:rsidRDefault="003145AE" w14:paraId="0F6E5065" w14:textId="77777777">
            <w:pPr>
              <w:ind w:left="171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Pr="003145AE" w:rsidR="003145AE" w:rsidP="003145AE" w:rsidRDefault="003145AE" w14:paraId="69B9EC47" w14:textId="77777777">
            <w:pPr>
              <w:ind w:left="171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7D7B3579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11D404B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2DBDC598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6A7795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3DF819B1" w14:textId="77777777">
                <w:pPr>
                  <w:ind w:left="-107" w:right="-108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B043B4" w:rsidR="003145AE" w:rsidP="003145AE" w:rsidRDefault="003145AE" w14:paraId="4307C494" w14:textId="77777777">
            <w:pPr>
              <w:ind w:left="34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Pr="00B043B4" w:rsidR="003145AE" w:rsidTr="358AC768" w14:paraId="22748D66" w14:textId="77777777">
        <w:tc>
          <w:tcPr>
            <w:tcW w:w="3812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  <w:tcMar/>
          </w:tcPr>
          <w:p w:rsidRPr="00B043B4" w:rsidR="003145AE" w:rsidP="003145AE" w:rsidRDefault="003145AE" w14:paraId="6F6AD15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2ADA9296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27D6E434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593EE8" w14:paraId="49EA83AA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78DF6F72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0D01D3DE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B043B4" w:rsidR="003145AE" w:rsidP="003145AE" w:rsidRDefault="003145AE" w14:paraId="4EA8FA4D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3145AE" w:rsidTr="358AC768" w14:paraId="2D33CE14" w14:textId="77777777">
        <w:tc>
          <w:tcPr>
            <w:tcW w:w="381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E2E2E2"/>
            <w:tcMar/>
          </w:tcPr>
          <w:p w:rsidRPr="00B043B4" w:rsidR="003145AE" w:rsidP="003145AE" w:rsidRDefault="003145AE" w14:paraId="5FFA83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Pr="00B043B4" w:rsidR="003145AE" w:rsidP="003145AE" w:rsidRDefault="003145AE" w14:paraId="0FB7827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color="auto" w:sz="4" w:space="0"/>
                  <w:left w:val="single" w:color="000000" w:themeColor="text1" w:sz="4" w:space="0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6A3B6897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710BC9DB" w14:textId="77777777">
            <w:pPr>
              <w:ind w:right="-108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245270B7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233976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36205D4F" w14:textId="77777777">
                <w:pPr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B043B4" w:rsidR="003145AE" w:rsidP="003145AE" w:rsidRDefault="003145AE" w14:paraId="5898B82C" w14:textId="77777777">
            <w:pPr>
              <w:ind w:left="54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3145AE" w:rsidTr="358AC768" w14:paraId="2F67CB7D" w14:textId="77777777">
        <w:tc>
          <w:tcPr>
            <w:tcW w:w="3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/>
            <w:tcMar/>
          </w:tcPr>
          <w:p w:rsidR="003145AE" w:rsidP="003145AE" w:rsidRDefault="003145AE" w14:paraId="1ECA04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Pr="00B043B4" w:rsidR="003145AE" w:rsidP="003145AE" w:rsidRDefault="003145AE" w14:paraId="678AF2EB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48E0D061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14BBDF49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1FC39945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B043B4" w:rsidR="003145AE" w:rsidP="003145AE" w:rsidRDefault="003145AE" w14:paraId="0562CB0E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color="auto" w:sz="4" w:space="0"/>
                  <w:left w:val="nil"/>
                  <w:bottom w:val="single" w:color="auto" w:sz="4" w:space="0"/>
                  <w:right w:val="nil"/>
                </w:tcBorders>
                <w:tcMar/>
                <w:vAlign w:val="center"/>
              </w:tcPr>
              <w:p w:rsidRPr="00B043B4" w:rsidR="003145AE" w:rsidP="003145AE" w:rsidRDefault="003145AE" w14:paraId="02B5592F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043B4" w:rsidR="003145AE" w:rsidP="003145AE" w:rsidRDefault="003145AE" w14:paraId="266EB710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Pr="00B043B4" w:rsidR="003145AE" w:rsidTr="358AC768" w14:paraId="5314B9F0" w14:textId="77777777">
        <w:tc>
          <w:tcPr>
            <w:tcW w:w="381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3145AE" w:rsidP="003145AE" w:rsidRDefault="003145AE" w14:paraId="11C2384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27B61044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299E0C50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593EE8" w14:paraId="35F74D44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21395A86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501105B3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43B4" w:rsidR="003145AE" w:rsidP="003145AE" w:rsidRDefault="003145AE" w14:paraId="517DC3B6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3145AE" w:rsidTr="358AC768" w14:paraId="69818E25" w14:textId="77777777"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3145AE" w:rsidP="003145AE" w:rsidRDefault="003145AE" w14:paraId="35DAE7E2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45AEC62B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1AB829A3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593EE8" w14:paraId="3C542B2F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3A67DB5F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388EE0E5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43B4" w:rsidR="003145AE" w:rsidP="003145AE" w:rsidRDefault="003145AE" w14:paraId="5C697514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3145AE" w:rsidTr="358AC768" w14:paraId="04000468" w14:textId="77777777"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/>
            <w:tcMar/>
          </w:tcPr>
          <w:p w:rsidRPr="00B043B4" w:rsidR="003145AE" w:rsidP="003145AE" w:rsidRDefault="003145AE" w14:paraId="723F516E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719D89F3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7A8850F5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593EE8" w14:paraId="379A45F5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043B4" w:rsidR="003145AE" w:rsidP="003145AE" w:rsidRDefault="003145AE" w14:paraId="3543388E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B043B4" w:rsidR="003145AE" w:rsidP="003145AE" w:rsidRDefault="003145AE" w14:paraId="6B8C16CB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43B4" w:rsidR="003145AE" w:rsidP="003145AE" w:rsidRDefault="003145AE" w14:paraId="292FA4F5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Pr="00B043B4" w:rsidR="000F2BE9" w:rsidTr="000F2BE9" w14:paraId="59B79370" w14:textId="77777777"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</w:tcPr>
          <w:p w:rsidRPr="00B043B4" w:rsidR="000F2BE9" w:rsidP="000800FC" w:rsidRDefault="000F2BE9" w14:paraId="229148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B043B4" w:rsidR="000F2BE9" w:rsidP="000800FC" w:rsidRDefault="000F2BE9" w14:paraId="34CE0A41" w14:textId="777777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043B4" w:rsidR="000F2BE9" w:rsidP="000800FC" w:rsidRDefault="000F2BE9" w14:paraId="62EBF3C5" w14:textId="7777777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043B4" w:rsidR="000F2BE9" w:rsidP="000800FC" w:rsidRDefault="000F2BE9" w14:paraId="6D98A12B" w14:textId="777777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043B4" w:rsidR="000F2BE9" w:rsidP="000800FC" w:rsidRDefault="000F2BE9" w14:paraId="2946DB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043B4" w:rsidR="000F2BE9" w:rsidP="000800FC" w:rsidRDefault="000F2BE9" w14:paraId="5997CC1D" w14:textId="777777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043B4" w:rsidR="000F2BE9" w:rsidP="000800FC" w:rsidRDefault="000F2BE9" w14:paraId="110FFD37" w14:textId="77777777">
            <w:pPr>
              <w:spacing w:after="0" w:line="240" w:lineRule="auto"/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Pr="00B043B4" w:rsidR="000F2BE9" w:rsidTr="00B547F5" w14:paraId="28FE0876" w14:textId="77777777">
        <w:tc>
          <w:tcPr>
            <w:tcW w:w="38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</w:tcPr>
          <w:p w:rsidRPr="00B043B4" w:rsidR="000F2BE9" w:rsidP="000800FC" w:rsidRDefault="000F2BE9" w14:paraId="4ECD52C6" w14:textId="77777777">
            <w:pPr>
              <w:spacing w:after="0" w:line="240" w:lineRule="auto"/>
              <w:ind w:left="196" w:hanging="196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color="auto" w:sz="4" w:space="0"/>
                  <w:bottom w:val="dotted" w:color="auto" w:sz="4" w:space="0"/>
                  <w:right w:val="nil"/>
                </w:tcBorders>
                <w:shd w:val="clear" w:color="auto" w:fill="auto"/>
              </w:tcPr>
              <w:p w:rsidRPr="00B043B4" w:rsidR="000F2BE9" w:rsidP="00B547F5" w:rsidRDefault="0023360B" w14:paraId="299EC0C9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color="auto" w:sz="4" w:space="0"/>
              <w:right w:val="nil"/>
            </w:tcBorders>
            <w:shd w:val="clear" w:color="auto" w:fill="auto"/>
          </w:tcPr>
          <w:p w:rsidRPr="00B043B4" w:rsidR="000F2BE9" w:rsidP="00B547F5" w:rsidRDefault="000F2BE9" w14:paraId="78E60C0C" w14:textId="7777777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color="auto" w:sz="4" w:space="0"/>
                  <w:right w:val="nil"/>
                </w:tcBorders>
                <w:shd w:val="clear" w:color="auto" w:fill="auto"/>
              </w:tcPr>
              <w:p w:rsidRPr="00B043B4" w:rsidR="000F2BE9" w:rsidP="00B547F5" w:rsidRDefault="00593EE8" w14:paraId="4DC24B07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color="auto" w:sz="4" w:space="0"/>
              <w:right w:val="nil"/>
            </w:tcBorders>
            <w:shd w:val="clear" w:color="auto" w:fill="auto"/>
          </w:tcPr>
          <w:p w:rsidRPr="00B043B4" w:rsidR="000F2BE9" w:rsidP="00B547F5" w:rsidRDefault="000F2BE9" w14:paraId="4ADC15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color="auto" w:sz="4" w:space="0"/>
                  <w:right w:val="nil"/>
                </w:tcBorders>
                <w:shd w:val="clear" w:color="auto" w:fill="auto"/>
              </w:tcPr>
              <w:p w:rsidRPr="00B043B4" w:rsidR="000F2BE9" w:rsidP="00B547F5" w:rsidRDefault="0023360B" w14:paraId="672193E7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B043B4" w:rsidR="000F2BE9" w:rsidP="00B547F5" w:rsidRDefault="000F2BE9" w14:paraId="65226880" w14:textId="77777777">
            <w:pPr>
              <w:spacing w:after="0" w:line="240" w:lineRule="auto"/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Pr="00B043B4" w:rsidR="000F2BE9" w:rsidTr="00B547F5" w14:paraId="19825634" w14:textId="77777777">
        <w:tc>
          <w:tcPr>
            <w:tcW w:w="38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</w:tcPr>
          <w:p w:rsidRPr="00B043B4" w:rsidR="000F2BE9" w:rsidP="000800FC" w:rsidRDefault="000F2BE9" w14:paraId="14AE99AB" w14:textId="77777777">
            <w:pPr>
              <w:spacing w:after="0" w:line="240" w:lineRule="auto"/>
              <w:ind w:left="168" w:hanging="168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color="auto" w:sz="4" w:space="0"/>
                  <w:left w:val="single" w:color="auto" w:sz="4" w:space="0"/>
                  <w:bottom w:val="dotted" w:color="auto" w:sz="4" w:space="0"/>
                  <w:right w:val="nil"/>
                </w:tcBorders>
                <w:shd w:val="clear" w:color="auto" w:fill="auto"/>
                <w:vAlign w:val="center"/>
              </w:tcPr>
              <w:p w:rsidRPr="00B043B4" w:rsidR="000F2BE9" w:rsidP="00B547F5" w:rsidRDefault="0023360B" w14:paraId="5671D30D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</w:tcPr>
          <w:p w:rsidRPr="00B043B4" w:rsidR="000F2BE9" w:rsidP="00B547F5" w:rsidRDefault="000F2BE9" w14:paraId="6FAA39EF" w14:textId="7777777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shd w:val="clear" w:color="auto" w:fill="auto"/>
                <w:vAlign w:val="center"/>
              </w:tcPr>
              <w:p w:rsidRPr="00B043B4" w:rsidR="000F2BE9" w:rsidP="00B547F5" w:rsidRDefault="00593EE8" w14:paraId="4A14BC89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</w:tcPr>
          <w:p w:rsidRPr="00B043B4" w:rsidR="000F2BE9" w:rsidP="00B547F5" w:rsidRDefault="000F2BE9" w14:paraId="020410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color="auto" w:sz="4" w:space="0"/>
                  <w:left w:val="nil"/>
                  <w:bottom w:val="dotted" w:color="auto" w:sz="4" w:space="0"/>
                  <w:right w:val="nil"/>
                </w:tcBorders>
                <w:shd w:val="clear" w:color="auto" w:fill="auto"/>
                <w:vAlign w:val="center"/>
              </w:tcPr>
              <w:p w:rsidRPr="00B043B4" w:rsidR="000F2BE9" w:rsidP="00B547F5" w:rsidRDefault="0023360B" w14:paraId="49EE17A1" w14:textId="77777777">
                <w:pPr>
                  <w:spacing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043B4" w:rsidR="000F2BE9" w:rsidP="00B547F5" w:rsidRDefault="000F2BE9" w14:paraId="6E8B354F" w14:textId="77777777">
            <w:pPr>
              <w:spacing w:after="0" w:line="240" w:lineRule="auto"/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Pr="00B043B4" w:rsidR="00A340BB" w:rsidTr="0023360B" w14:paraId="1D653243" w14:textId="77777777">
        <w:tc>
          <w:tcPr>
            <w:tcW w:w="38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/>
          </w:tcPr>
          <w:p w:rsidRPr="00B043B4" w:rsidR="00A340BB" w:rsidP="00AA592B" w:rsidRDefault="00A340BB" w14:paraId="0F57D42D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nil"/>
                </w:tcBorders>
                <w:vAlign w:val="center"/>
              </w:tcPr>
              <w:p w:rsidRPr="00B043B4" w:rsidR="00A340BB" w:rsidP="0023360B" w:rsidRDefault="0023360B" w14:paraId="594833D8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B043B4" w:rsidR="00A340BB" w:rsidP="0023360B" w:rsidRDefault="00A340BB" w14:paraId="39508BA1" w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B043B4" w:rsidR="00A340BB" w:rsidP="0023360B" w:rsidRDefault="00593EE8" w14:paraId="6C119F65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B043B4" w:rsidR="00A340BB" w:rsidP="0023360B" w:rsidRDefault="00A340BB" w14:paraId="138708A1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 w:eastAsia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B043B4" w:rsidR="00A340BB" w:rsidP="0023360B" w:rsidRDefault="0023360B" w14:paraId="762905CD" w14:textId="77777777">
                <w:pPr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hint="eastAsia" w:ascii="MS Gothic" w:hAnsi="MS Gothic" w:eastAsia="MS Gothic" w:cs="Times New Roman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043B4" w:rsidR="00A340BB" w:rsidP="0023360B" w:rsidRDefault="00A340BB" w14:paraId="3175E257" w14:textId="77777777">
            <w:pPr>
              <w:ind w:left="5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Pr="00B043B4" w:rsidR="001B23B7" w:rsidP="001B23B7" w:rsidRDefault="001B23B7" w14:paraId="6B699379" w14:textId="77777777">
      <w:pPr>
        <w:spacing w:after="0" w:line="240" w:lineRule="auto"/>
        <w:ind w:right="141"/>
        <w:rPr>
          <w:rFonts w:ascii="Times New Roman" w:hAnsi="Times New Roman" w:eastAsia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Pr="00B043B4" w:rsidR="001B23B7" w:rsidTr="5805ECE6" w14:paraId="6DDCE740" w14:textId="77777777">
        <w:tc>
          <w:tcPr>
            <w:tcW w:w="91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2E2"/>
          </w:tcPr>
          <w:p w:rsidRPr="00B043B4" w:rsidR="001B23B7" w:rsidP="000800FC" w:rsidRDefault="001B23B7" w14:paraId="4E838B36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Poznámky</w:t>
            </w:r>
          </w:p>
        </w:tc>
      </w:tr>
      <w:tr w:rsidRPr="00B043B4" w:rsidR="001B23B7" w:rsidTr="5805ECE6" w14:paraId="2CCE7912" w14:textId="77777777">
        <w:trPr>
          <w:trHeight w:val="713"/>
        </w:trPr>
        <w:tc>
          <w:tcPr>
            <w:tcW w:w="9176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auto"/>
          </w:tcPr>
          <w:p w:rsidRPr="00EE2F0B" w:rsidR="001B23B7" w:rsidP="00593EE8" w:rsidRDefault="00593EE8" w14:paraId="7D6AD2EE" w14:textId="77777777">
            <w:pPr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EE2F0B"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  <w:t>Vplyv na rozpočet verejnej správy sa nepredpokladá vzhľadom na skutočnosť, že predkladaný materiál nezavádza nové povinnosti nad rámec existujúcej legislatívy a iných platných záväzných dokumentov.</w:t>
            </w:r>
          </w:p>
        </w:tc>
      </w:tr>
      <w:tr w:rsidRPr="00B043B4" w:rsidR="001B23B7" w:rsidTr="5805ECE6" w14:paraId="0D04297C" w14:textId="77777777">
        <w:tc>
          <w:tcPr>
            <w:tcW w:w="9176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</w:tcPr>
          <w:p w:rsidRPr="00B043B4" w:rsidR="001B23B7" w:rsidP="000800FC" w:rsidRDefault="001B23B7" w14:paraId="45C4D9BB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Kontakt na spracovateľa</w:t>
            </w:r>
          </w:p>
        </w:tc>
      </w:tr>
      <w:tr w:rsidRPr="00B043B4" w:rsidR="001B23B7" w:rsidTr="5805ECE6" w14:paraId="3DDE6BCD" w14:textId="77777777">
        <w:trPr>
          <w:trHeight w:val="586"/>
        </w:trPr>
        <w:tc>
          <w:tcPr>
            <w:tcW w:w="9176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93EE8" w:rsidP="00593EE8" w:rsidRDefault="00593EE8" w14:paraId="71D12ED3" w14:textId="7777777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Marián Bederka; Investičná autorita, Útvar hodnoty za peniaze, Ministerstvo financií SR</w:t>
            </w:r>
          </w:p>
          <w:p w:rsidR="00593EE8" w:rsidP="00593EE8" w:rsidRDefault="00593EE8" w14:paraId="1313DB61" w14:textId="7777777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tel: 02/5958 4443; mail: </w:t>
            </w:r>
            <w:r w:rsidRPr="00DB5BEF">
              <w:rPr>
                <w:rFonts w:ascii="Times" w:hAnsi="Times" w:cs="Times"/>
                <w:sz w:val="20"/>
                <w:szCs w:val="20"/>
              </w:rPr>
              <w:t>marian.bederka@mfsr.sk</w:t>
            </w:r>
          </w:p>
          <w:p w:rsidR="00593EE8" w:rsidP="00593EE8" w:rsidRDefault="00593EE8" w14:paraId="3FE9F23F" w14:textId="77777777">
            <w:pPr>
              <w:rPr>
                <w:rFonts w:ascii="Times" w:hAnsi="Times" w:cs="Times"/>
                <w:sz w:val="20"/>
                <w:szCs w:val="20"/>
              </w:rPr>
            </w:pPr>
          </w:p>
          <w:p w:rsidR="00593EE8" w:rsidP="00593EE8" w:rsidRDefault="00593EE8" w14:paraId="17D37C41" w14:textId="7777777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Ing. Peter Hronček, PhD.; Útvar hodnoty za peniaze, Ministerstvo financií SR</w:t>
            </w:r>
          </w:p>
          <w:p w:rsidRPr="00B043B4" w:rsidR="001B23B7" w:rsidP="00593EE8" w:rsidRDefault="00593EE8" w14:paraId="5A53E259" w14:textId="77777777"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tel: 02/5958 2426; mail: peter.hroncek@mfsr.sk</w:t>
            </w:r>
          </w:p>
        </w:tc>
      </w:tr>
      <w:tr w:rsidRPr="00B043B4" w:rsidR="001B23B7" w:rsidTr="5805ECE6" w14:paraId="080CABF9" w14:textId="77777777">
        <w:tc>
          <w:tcPr>
            <w:tcW w:w="9176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</w:tcPr>
          <w:p w:rsidRPr="00B043B4" w:rsidR="001B23B7" w:rsidP="000800FC" w:rsidRDefault="001B23B7" w14:paraId="70221BB6" w14:textId="7777777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Zdroje</w:t>
            </w:r>
          </w:p>
        </w:tc>
      </w:tr>
      <w:tr w:rsidRPr="00B043B4" w:rsidR="001B23B7" w:rsidTr="5805ECE6" w14:paraId="49F419B6" w14:textId="77777777">
        <w:trPr>
          <w:trHeight w:val="401"/>
        </w:trPr>
        <w:tc>
          <w:tcPr>
            <w:tcW w:w="9176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E264D" w:rsidR="00593EE8" w:rsidP="00593EE8" w:rsidRDefault="00593EE8" w14:paraId="5F7F54F4" w14:textId="77777777">
            <w:pPr>
              <w:pStyle w:val="Normlnywebov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</w:rPr>
            </w:pPr>
            <w:r w:rsidRPr="006E264D">
              <w:rPr>
                <w:rFonts w:ascii="Times" w:hAnsi="Times" w:cs="Times"/>
                <w:sz w:val="20"/>
                <w:szCs w:val="20"/>
              </w:rPr>
              <w:t>Programové vyhlásenie vlády Slovenskej republiky na obdobie rokov 2020 - 2024</w:t>
            </w:r>
          </w:p>
          <w:p w:rsidRPr="006E264D" w:rsidR="00593EE8" w:rsidP="00593EE8" w:rsidRDefault="00593EE8" w14:paraId="6885D0A1" w14:textId="77777777">
            <w:pPr>
              <w:pStyle w:val="Normlnywebov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</w:rPr>
            </w:pPr>
            <w:r w:rsidRPr="006E264D">
              <w:rPr>
                <w:rFonts w:ascii="Times" w:hAnsi="Times" w:cs="Times"/>
                <w:sz w:val="20"/>
                <w:szCs w:val="20"/>
              </w:rPr>
              <w:t>Metodické usmernenie Ministerstva financií SR č. MF/020541/2019-2974 o postupe pri príprave investícií a koncesií podliehajúcich hodnoteniu Ministerstva financií SR</w:t>
            </w:r>
          </w:p>
          <w:p w:rsidRPr="006E264D" w:rsidR="00593EE8" w:rsidP="00593EE8" w:rsidRDefault="00593EE8" w14:paraId="2DF4A2C8" w14:textId="77777777">
            <w:pPr>
              <w:pStyle w:val="Normlnywebov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</w:rPr>
            </w:pPr>
            <w:r w:rsidRPr="006E264D">
              <w:rPr>
                <w:rFonts w:ascii="Times" w:hAnsi="Times" w:cs="Times"/>
                <w:sz w:val="20"/>
                <w:szCs w:val="20"/>
              </w:rPr>
              <w:t>Metodický rámec pre vypracovanie Štúdie uskutočniteľnosti</w:t>
            </w:r>
          </w:p>
          <w:p w:rsidR="00593EE8" w:rsidP="00593EE8" w:rsidRDefault="00593EE8" w14:paraId="32F056F1" w14:textId="77777777">
            <w:pPr>
              <w:pStyle w:val="Normlnywebov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</w:rPr>
            </w:pPr>
            <w:r w:rsidRPr="006E264D">
              <w:rPr>
                <w:rFonts w:ascii="Times" w:hAnsi="Times" w:cs="Times"/>
                <w:sz w:val="20"/>
                <w:szCs w:val="20"/>
              </w:rPr>
              <w:t>Rámec na hodnotenie verejných investičných projektov v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6E264D">
              <w:rPr>
                <w:rFonts w:ascii="Times" w:hAnsi="Times" w:cs="Times"/>
                <w:sz w:val="20"/>
                <w:szCs w:val="20"/>
              </w:rPr>
              <w:t>SR</w:t>
            </w:r>
          </w:p>
          <w:p w:rsidRPr="00593EE8" w:rsidR="001B23B7" w:rsidP="00593EE8" w:rsidRDefault="00593EE8" w14:paraId="6BACC95C" w14:textId="77777777">
            <w:pPr>
              <w:pStyle w:val="Normlnywebov"/>
              <w:numPr>
                <w:ilvl w:val="0"/>
                <w:numId w:val="2"/>
              </w:numPr>
              <w:rPr>
                <w:rFonts w:ascii="Times" w:hAnsi="Times" w:cs="Times"/>
                <w:sz w:val="20"/>
                <w:szCs w:val="20"/>
              </w:rPr>
            </w:pPr>
            <w:r w:rsidRPr="00593EE8">
              <w:rPr>
                <w:rFonts w:ascii="Times" w:hAnsi="Times" w:cs="Times"/>
                <w:sz w:val="20"/>
                <w:szCs w:val="20"/>
              </w:rPr>
              <w:t>Uznesenie vlády SR č. 649/2020 zo 14. októbra 2020 k návrhu rozpočtu verejnej správy na roky 2021 až 2023</w:t>
            </w:r>
          </w:p>
        </w:tc>
      </w:tr>
      <w:tr w:rsidRPr="00B043B4" w:rsidR="001B23B7" w:rsidTr="5805ECE6" w14:paraId="684A8B78" w14:textId="77777777">
        <w:tc>
          <w:tcPr>
            <w:tcW w:w="9176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E2E2E2"/>
          </w:tcPr>
          <w:p w:rsidRPr="00B043B4" w:rsidR="001B23B7" w:rsidP="000800FC" w:rsidRDefault="001B23B7" w14:paraId="6804D88D" w14:textId="77777777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hAnsi="Calibri" w:eastAsia="Calibri" w:cs="Times New Roman"/>
              </w:rPr>
              <w:t xml:space="preserve"> </w:t>
            </w:r>
          </w:p>
          <w:p w:rsidRPr="00B043B4" w:rsidR="001B23B7" w:rsidP="000800FC" w:rsidRDefault="001B23B7" w14:paraId="7B1A4391" w14:textId="77777777">
            <w:pPr>
              <w:ind w:left="502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 w:eastAsia="Calibri" w:cs="Times New Roman"/>
              </w:rPr>
              <w:t>(v prípade, ak sa uskutočnilo v zmysle bodu 8.1 Jednotnej metodiky)</w:t>
            </w:r>
          </w:p>
        </w:tc>
      </w:tr>
      <w:tr w:rsidRPr="00B043B4" w:rsidR="001B23B7" w:rsidTr="5805ECE6" w14:paraId="2BAD347B" w14:textId="77777777">
        <w:trPr>
          <w:trHeight w:val="70"/>
        </w:trPr>
        <w:tc>
          <w:tcPr>
            <w:tcW w:w="9176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043B4" w:rsidR="001B23B7" w:rsidP="000800FC" w:rsidRDefault="001B23B7" w14:paraId="1F72F646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Pr="00B043B4" w:rsidR="001B23B7" w:rsidTr="5805ECE6" w14:paraId="5A052136" w14:textId="77777777">
              <w:trPr>
                <w:trHeight w:val="396"/>
              </w:trPr>
              <w:tc>
                <w:tcPr>
                  <w:tcW w:w="2552" w:type="dxa"/>
                </w:tcPr>
                <w:p w:rsidRPr="00B043B4" w:rsidR="001B23B7" w:rsidP="000800FC" w:rsidRDefault="002E5832" w14:paraId="56B4D47A" w14:textId="77777777">
                  <w:pP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Pr="00B043B4" w:rsidR="001B23B7" w:rsidP="000800FC" w:rsidRDefault="002E5832" w14:paraId="3DAE9AE0" w14:textId="77777777">
                  <w:pP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Pr="00B043B4" w:rsidR="001B23B7" w:rsidP="000800FC" w:rsidRDefault="002E5832" w14:paraId="6D57D2F3" w14:textId="77777777">
                  <w:pPr>
                    <w:ind w:right="459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Pr="00B043B4" w:rsidR="001B23B7" w:rsidP="000800FC" w:rsidRDefault="001B23B7" w14:paraId="61CDCEAD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Pr="00B043B4" w:rsidR="001B23B7" w:rsidTr="5805ECE6" w14:paraId="028C545B" w14:textId="77777777">
        <w:tblPrEx>
          <w:tblBorders>
            <w:insideH w:val="single" w:color="FFFFFF" w:sz="4" w:space="0"/>
            <w:insideV w:val="single" w:color="FFFFFF" w:sz="4" w:space="0"/>
          </w:tblBorders>
        </w:tblPrEx>
        <w:tc>
          <w:tcPr>
            <w:tcW w:w="9176" w:type="dxa"/>
            <w:tcBorders>
              <w:top w:val="single" w:color="auto" w:sz="4" w:space="0"/>
            </w:tcBorders>
            <w:shd w:val="clear" w:color="auto" w:fill="E2E2E2"/>
          </w:tcPr>
          <w:p w:rsidRPr="00B043B4" w:rsidR="001B23B7" w:rsidP="000800FC" w:rsidRDefault="001B23B7" w14:paraId="6C89CF24" w14:textId="77777777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B043B4">
              <w:rPr>
                <w:rFonts w:ascii="Times New Roman" w:hAnsi="Times New Roman" w:eastAsia="Calibri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hAnsi="Times New Roman" w:eastAsia="Calibri" w:cs="Times New Roman"/>
              </w:rPr>
              <w:t xml:space="preserve"> (v prípade, ak sa uskutočnilo v zmysle bodu 9.1. Jednotnej metodiky) </w:t>
            </w:r>
          </w:p>
        </w:tc>
      </w:tr>
      <w:tr w:rsidRPr="00B043B4" w:rsidR="001B23B7" w:rsidTr="5805ECE6" w14:paraId="463DD015" w14:textId="77777777">
        <w:tblPrEx>
          <w:tblBorders>
            <w:insideH w:val="single" w:color="FFFFFF" w:sz="4" w:space="0"/>
            <w:insideV w:val="single" w:color="FFFFFF" w:sz="4" w:space="0"/>
          </w:tblBorders>
        </w:tblPrEx>
        <w:tc>
          <w:tcPr>
            <w:tcW w:w="9176" w:type="dxa"/>
            <w:shd w:val="clear" w:color="auto" w:fill="FFFFFF" w:themeFill="background1"/>
          </w:tcPr>
          <w:p w:rsidRPr="00B043B4" w:rsidR="001B23B7" w:rsidP="000800FC" w:rsidRDefault="001B23B7" w14:paraId="6BB9E253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Pr="00B043B4" w:rsidR="001B23B7" w:rsidTr="5805ECE6" w14:paraId="3287256C" w14:textId="77777777">
              <w:trPr>
                <w:trHeight w:val="396"/>
              </w:trPr>
              <w:tc>
                <w:tcPr>
                  <w:tcW w:w="2552" w:type="dxa"/>
                </w:tcPr>
                <w:p w:rsidRPr="00B043B4" w:rsidR="001B23B7" w:rsidP="000800FC" w:rsidRDefault="002E5832" w14:paraId="714312B2" w14:textId="77777777">
                  <w:pP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Pr="00B043B4" w:rsidR="001B23B7" w:rsidP="000800FC" w:rsidRDefault="002E5832" w14:paraId="39BC087C" w14:textId="77777777">
                  <w:pP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Pr="00B043B4" w:rsidR="001B23B7" w:rsidP="000800FC" w:rsidRDefault="002E5832" w14:paraId="7870A3FC" w14:textId="77777777">
                  <w:pPr>
                    <w:ind w:right="459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hint="eastAsia" w:ascii="MS Gothic" w:hAnsi="MS Gothic" w:eastAsia="MS Gothic" w:cs="Times New Roman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 w:rsidR="001B23B7"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Pr="00B043B4" w:rsidR="001B23B7" w:rsidP="000800FC" w:rsidRDefault="001B23B7" w14:paraId="52E56223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2E5832" w14:paraId="07547A01" w14:textId="77777777"/>
    <w:sectPr w:rsidR="00274130" w:rsidSect="001E3562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AF" w:rsidP="001B23B7" w:rsidRDefault="00564FAF" w14:paraId="5043CB0F" w14:textId="77777777">
      <w:pPr>
        <w:spacing w:after="0" w:line="240" w:lineRule="auto"/>
      </w:pPr>
      <w:r>
        <w:separator/>
      </w:r>
    </w:p>
  </w:endnote>
  <w:endnote w:type="continuationSeparator" w:id="0">
    <w:p w:rsidR="00564FAF" w:rsidP="001B23B7" w:rsidRDefault="00564FAF" w14:paraId="07459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045CB" w:rsidR="001B23B7" w:rsidP="001B23B7" w:rsidRDefault="008B222D" w14:paraId="7D7F6B08" w14:textId="7E5562A2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 w:rsidR="001B2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8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 w14:paraId="70DF9E56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AF" w:rsidP="001B23B7" w:rsidRDefault="00564FAF" w14:paraId="6537F28F" w14:textId="77777777">
      <w:pPr>
        <w:spacing w:after="0" w:line="240" w:lineRule="auto"/>
      </w:pPr>
      <w:r>
        <w:separator/>
      </w:r>
    </w:p>
  </w:footnote>
  <w:footnote w:type="continuationSeparator" w:id="0">
    <w:p w:rsidR="00564FAF" w:rsidP="001B23B7" w:rsidRDefault="00564FAF" w14:paraId="6DFB9E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045CB" w:rsidR="001B23B7" w:rsidP="001B23B7" w:rsidRDefault="001B23B7" w14:paraId="55178FF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eastAsia="Times New Roman" w:cs="Times New Roman"/>
        <w:sz w:val="24"/>
        <w:szCs w:val="24"/>
        <w:lang w:eastAsia="sk-SK"/>
      </w:rPr>
    </w:pPr>
    <w:r w:rsidRPr="006045CB">
      <w:rPr>
        <w:rFonts w:ascii="Times New Roman" w:hAnsi="Times New Roman" w:eastAsia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hAnsi="Times New Roman" w:eastAsia="Times New Roman" w:cs="Times New Roman"/>
        <w:sz w:val="24"/>
        <w:szCs w:val="24"/>
        <w:lang w:eastAsia="sk-SK"/>
      </w:rPr>
      <w:t>1</w:t>
    </w:r>
  </w:p>
  <w:p w:rsidR="001B23B7" w:rsidRDefault="001B23B7" w14:paraId="44E871BC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14DEF"/>
    <w:multiLevelType w:val="hybridMultilevel"/>
    <w:tmpl w:val="0D4437D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478B6"/>
    <w:rsid w:val="001B23B7"/>
    <w:rsid w:val="001E3562"/>
    <w:rsid w:val="00203EE3"/>
    <w:rsid w:val="00214798"/>
    <w:rsid w:val="0023360B"/>
    <w:rsid w:val="00243652"/>
    <w:rsid w:val="002833BB"/>
    <w:rsid w:val="002E5832"/>
    <w:rsid w:val="003145AE"/>
    <w:rsid w:val="003A057B"/>
    <w:rsid w:val="0049476D"/>
    <w:rsid w:val="004A4383"/>
    <w:rsid w:val="004C6831"/>
    <w:rsid w:val="00531554"/>
    <w:rsid w:val="00564FAF"/>
    <w:rsid w:val="00585E90"/>
    <w:rsid w:val="00591EC6"/>
    <w:rsid w:val="00593EE8"/>
    <w:rsid w:val="005E39EA"/>
    <w:rsid w:val="006203EA"/>
    <w:rsid w:val="006F678E"/>
    <w:rsid w:val="006F6B62"/>
    <w:rsid w:val="00710B2C"/>
    <w:rsid w:val="00720322"/>
    <w:rsid w:val="0075197E"/>
    <w:rsid w:val="00761208"/>
    <w:rsid w:val="007B40C1"/>
    <w:rsid w:val="00865E81"/>
    <w:rsid w:val="008801B5"/>
    <w:rsid w:val="008B222D"/>
    <w:rsid w:val="008C79B7"/>
    <w:rsid w:val="009431E3"/>
    <w:rsid w:val="009475F5"/>
    <w:rsid w:val="009717F5"/>
    <w:rsid w:val="009C424C"/>
    <w:rsid w:val="009E0718"/>
    <w:rsid w:val="009E09F7"/>
    <w:rsid w:val="009F4832"/>
    <w:rsid w:val="00A340BB"/>
    <w:rsid w:val="00AC30D6"/>
    <w:rsid w:val="00B547F5"/>
    <w:rsid w:val="00B84F87"/>
    <w:rsid w:val="00BA2BF4"/>
    <w:rsid w:val="00CE6AAE"/>
    <w:rsid w:val="00CF1A25"/>
    <w:rsid w:val="00D2313B"/>
    <w:rsid w:val="00D50F1E"/>
    <w:rsid w:val="00DF357C"/>
    <w:rsid w:val="00ED1AC0"/>
    <w:rsid w:val="00EE2F0B"/>
    <w:rsid w:val="00F87681"/>
    <w:rsid w:val="00FA02DB"/>
    <w:rsid w:val="00FE51C5"/>
    <w:rsid w:val="1BB663DC"/>
    <w:rsid w:val="358AC768"/>
    <w:rsid w:val="47B6BB0A"/>
    <w:rsid w:val="5805ECE6"/>
    <w:rsid w:val="630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FEC3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1B23B7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1" w:customStyle="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593E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paragraph" w:customStyle="1">
    <w:name w:val="paragraph"/>
    <w:basedOn w:val="Normlny"/>
    <w:rsid w:val="00EE2F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ormaltextrun" w:customStyle="1">
    <w:name w:val="normaltextrun"/>
    <w:basedOn w:val="Predvolenpsmoodseku"/>
    <w:rsid w:val="00EE2F0B"/>
  </w:style>
  <w:style w:type="character" w:styleId="eop" w:customStyle="1">
    <w:name w:val="eop"/>
    <w:basedOn w:val="Predvolenpsmoodseku"/>
    <w:rsid w:val="00EE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029a16ee7284c0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a39e1-8179-417c-8e02-0092299aa833}"/>
      </w:docPartPr>
      <w:docPartBody>
        <w:p w14:paraId="6DC911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FE088E-BDDD-4037-8AEB-DF1F0FE45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eb985e83-3d52-42ad-b155-d29f26040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6A96C-89C6-482B-974C-AC6AD958F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7D6F2-1E59-496A-85EB-043B32C1AC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ea311a-6349-4f16-a6ad-3d7e64363659"/>
    <ds:schemaRef ds:uri="eb985e83-3d52-42ad-b155-d29f26040be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421E2D5-7017-4D01-8E29-E7F3ABA873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hospodárstva Slovenskej republiky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Drienikova Kristina</dc:creator>
  <keywords/>
  <dc:description/>
  <lastModifiedBy>Vranova Zuzana</lastModifiedBy>
  <revision>18</revision>
  <dcterms:created xsi:type="dcterms:W3CDTF">2023-06-14T07:51:00.0000000Z</dcterms:created>
  <dcterms:modified xsi:type="dcterms:W3CDTF">2023-06-21T08:26:20.8078837Z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0x010100DC345D5AA583624FBE4499852B5726D5</vt:lpwstr>
  </property>
</Properties>
</file>