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93C7F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4C42CC79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39AB0CDB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1911A9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6C77402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6CBA550E" w14:textId="77777777"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35DDC3E" w14:textId="77777777" w:rsidR="007D5748" w:rsidRPr="007D5748" w:rsidRDefault="007D5748" w:rsidP="00877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D0A24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14:paraId="078E2186" w14:textId="77777777" w:rsidTr="00561D7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02D70E9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0F56949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14:paraId="30F4D873" w14:textId="77777777" w:rsidTr="00561D7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72A8C78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FFC5D10" w14:textId="46318DD4" w:rsidR="007D5748" w:rsidRPr="007D5748" w:rsidRDefault="00593FB5" w:rsidP="0098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8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F8B1DEF" w14:textId="761AC9FD" w:rsidR="007D5748" w:rsidRPr="007D5748" w:rsidRDefault="00593FB5" w:rsidP="0098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8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7081B9D" w14:textId="7CC3F627" w:rsidR="007D5748" w:rsidRPr="007D5748" w:rsidRDefault="00593FB5" w:rsidP="0098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8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D181BF1" w14:textId="04C73121" w:rsidR="007D5748" w:rsidRPr="007D5748" w:rsidRDefault="00593FB5" w:rsidP="0098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8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7D5748" w:rsidRPr="007D5748" w14:paraId="75688D3B" w14:textId="77777777" w:rsidTr="00561D7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C207CD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561D50A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536BC6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FE7424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5E60C0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4275D57D" w14:textId="77777777" w:rsidTr="00561D7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46FF1A1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43983EA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A8F1F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56CA3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98C97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bookmarkStart w:id="1" w:name="_GoBack"/>
        <w:bookmarkEnd w:id="1"/>
      </w:tr>
      <w:tr w:rsidR="007D5748" w:rsidRPr="007D5748" w14:paraId="1F2102E5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D8BEE8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3C4AB43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8F18A6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556C5F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CF571F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14:paraId="2C58F5E8" w14:textId="77777777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078C4A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41D6D7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FC976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489D2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C212D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5B6186" w14:paraId="43AEDCCE" w14:textId="77777777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BDE832B" w14:textId="77777777" w:rsidR="00C51FD4" w:rsidRPr="005B6186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B61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525B0A2C" w14:textId="77777777" w:rsidR="00C51FD4" w:rsidRPr="005B618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5B6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A21613" w14:textId="77777777" w:rsidR="00C51FD4" w:rsidRPr="005B618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5B6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359372" w14:textId="77777777" w:rsidR="00C51FD4" w:rsidRPr="005B618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5B6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664D43" w14:textId="77777777" w:rsidR="00C51FD4" w:rsidRPr="005B618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5B61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051A40F8" w14:textId="77777777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659A008" w14:textId="77777777"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575D1A8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CFEC7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B02E6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F1321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07FE75B0" w14:textId="77777777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B3B239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6D0315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02A5C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9DEFA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007E6A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212038E9" w14:textId="77777777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F597D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3CFB23B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F55D1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05AF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AFD23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629BB19F" w14:textId="77777777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C340D9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3F98C7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8E2611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57318A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14736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42CFD" w:rsidRPr="007D5748" w14:paraId="69303B9C" w14:textId="77777777" w:rsidTr="00973DDF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9FA08FE" w14:textId="77777777" w:rsidR="00D42CFD" w:rsidRPr="007D5748" w:rsidRDefault="00D42CFD" w:rsidP="00D4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8379EC9" w14:textId="448957B4" w:rsidR="00D42CFD" w:rsidRPr="007D5748" w:rsidRDefault="00385365" w:rsidP="00BB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1 151 008</w:t>
            </w:r>
          </w:p>
        </w:tc>
        <w:tc>
          <w:tcPr>
            <w:tcW w:w="1267" w:type="dxa"/>
            <w:shd w:val="clear" w:color="auto" w:fill="C0C0C0"/>
            <w:noWrap/>
          </w:tcPr>
          <w:p w14:paraId="68D36CCB" w14:textId="63F67ABE" w:rsidR="00D42CFD" w:rsidRPr="007D5748" w:rsidRDefault="00385365" w:rsidP="00407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267" w:type="dxa"/>
            <w:shd w:val="clear" w:color="auto" w:fill="C0C0C0"/>
            <w:noWrap/>
          </w:tcPr>
          <w:p w14:paraId="1201978B" w14:textId="01CFA983" w:rsidR="00D42CFD" w:rsidRPr="007D5748" w:rsidRDefault="00385365" w:rsidP="00407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267" w:type="dxa"/>
            <w:shd w:val="clear" w:color="auto" w:fill="C0C0C0"/>
            <w:noWrap/>
          </w:tcPr>
          <w:p w14:paraId="621F6345" w14:textId="16A6BBF1" w:rsidR="00D42CFD" w:rsidRPr="007D5748" w:rsidRDefault="00385365" w:rsidP="00407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1 127 850</w:t>
            </w:r>
          </w:p>
        </w:tc>
      </w:tr>
      <w:tr w:rsidR="00D42CFD" w:rsidRPr="007D5748" w14:paraId="1FCCD687" w14:textId="77777777" w:rsidTr="00973DD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A6BBEF0" w14:textId="77777777" w:rsidR="00D42CFD" w:rsidRPr="007D5748" w:rsidRDefault="00D42CFD" w:rsidP="00D4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</w:t>
            </w:r>
          </w:p>
        </w:tc>
        <w:tc>
          <w:tcPr>
            <w:tcW w:w="1267" w:type="dxa"/>
            <w:noWrap/>
            <w:vAlign w:val="center"/>
          </w:tcPr>
          <w:p w14:paraId="1288F347" w14:textId="77777777" w:rsidR="00D42CFD" w:rsidRPr="007D5748" w:rsidRDefault="00D42CFD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</w:tcPr>
          <w:p w14:paraId="2AE9A876" w14:textId="77777777" w:rsidR="00D42CFD" w:rsidRPr="007D5748" w:rsidRDefault="00D42CFD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</w:tcPr>
          <w:p w14:paraId="60F07D26" w14:textId="77777777" w:rsidR="00D42CFD" w:rsidRPr="007D5748" w:rsidRDefault="00D42CFD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</w:tcPr>
          <w:p w14:paraId="04FE032F" w14:textId="77777777" w:rsidR="00D42CFD" w:rsidRPr="007D5748" w:rsidRDefault="00D42CFD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93FB5" w:rsidRPr="004C0FAD" w14:paraId="42A53506" w14:textId="77777777" w:rsidTr="00561D7D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EB237" w14:textId="77777777" w:rsidR="00593FB5" w:rsidRPr="005C6CBB" w:rsidRDefault="00593FB5" w:rsidP="0059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MŽP SR/program 075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B229" w14:textId="1584CC9F" w:rsidR="00593FB5" w:rsidRPr="004430C8" w:rsidRDefault="005B6186" w:rsidP="00BD0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23 15</w:t>
            </w:r>
            <w:r w:rsidR="00732F62" w:rsidRPr="0098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AA1FD" w14:textId="77777777" w:rsidR="00593FB5" w:rsidRPr="00385365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519D" w14:textId="77777777" w:rsidR="00593FB5" w:rsidRPr="00385365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89A52" w14:textId="77777777" w:rsidR="00593FB5" w:rsidRPr="00385365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53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42CFD" w:rsidRPr="009A5FD9" w14:paraId="4B2075AF" w14:textId="77777777" w:rsidTr="00973DDF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FFCF9" w14:textId="0F898AAC" w:rsidR="00D42CFD" w:rsidRPr="005C6CBB" w:rsidRDefault="00385365" w:rsidP="00D4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C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MV SR/program 0D6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B579" w14:textId="4AE688B1" w:rsidR="00D42CFD" w:rsidRPr="00984E5E" w:rsidRDefault="00385365" w:rsidP="00D42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sk-SK"/>
              </w:rPr>
            </w:pPr>
            <w:r w:rsidRPr="00984E5E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6B4B4" w14:textId="057C6FAA" w:rsidR="00D42CFD" w:rsidRPr="00984E5E" w:rsidRDefault="00385365" w:rsidP="00644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F3DBF" w14:textId="2F2BBEB4" w:rsidR="00D42CFD" w:rsidRPr="00984E5E" w:rsidRDefault="00385365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0B8DA" w14:textId="5B625FA2" w:rsidR="00D42CFD" w:rsidRPr="00984E5E" w:rsidRDefault="00385365" w:rsidP="00644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1 127 850</w:t>
            </w:r>
          </w:p>
        </w:tc>
      </w:tr>
      <w:tr w:rsidR="00593FB5" w:rsidRPr="007D5748" w14:paraId="7CEB6103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74FA965" w14:textId="77777777" w:rsidR="00593FB5" w:rsidRPr="007D5748" w:rsidRDefault="00593FB5" w:rsidP="0059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062253F9" w14:textId="77777777" w:rsidR="00593FB5" w:rsidRPr="00984E5E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DFC277C" w14:textId="77777777" w:rsidR="00593FB5" w:rsidRPr="00984E5E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D83AA71" w14:textId="77777777" w:rsidR="00593FB5" w:rsidRPr="00984E5E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F2EAE8E" w14:textId="77777777" w:rsidR="00593FB5" w:rsidRPr="00984E5E" w:rsidRDefault="00593FB5" w:rsidP="00593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C7388" w:rsidRPr="007D5748" w14:paraId="786BF457" w14:textId="77777777" w:rsidTr="00973DD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CF5B1B7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8AF9C9D" w14:textId="7A15123B" w:rsidR="005C7388" w:rsidRPr="00984E5E" w:rsidRDefault="00385365" w:rsidP="00BB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84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1 151 008</w:t>
            </w:r>
          </w:p>
        </w:tc>
        <w:tc>
          <w:tcPr>
            <w:tcW w:w="1267" w:type="dxa"/>
            <w:noWrap/>
          </w:tcPr>
          <w:p w14:paraId="7417F27F" w14:textId="156969A8" w:rsidR="005C7388" w:rsidRPr="00984E5E" w:rsidRDefault="00385365" w:rsidP="00644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267" w:type="dxa"/>
            <w:noWrap/>
          </w:tcPr>
          <w:p w14:paraId="55BEEC92" w14:textId="08070E34" w:rsidR="005C7388" w:rsidRPr="00984E5E" w:rsidRDefault="00385365" w:rsidP="00644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267" w:type="dxa"/>
            <w:noWrap/>
          </w:tcPr>
          <w:p w14:paraId="18866F63" w14:textId="11B88EE6" w:rsidR="005C7388" w:rsidRPr="00984E5E" w:rsidRDefault="00385365" w:rsidP="00644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</w:tr>
      <w:tr w:rsidR="005C7388" w:rsidRPr="005B6186" w14:paraId="09A8A7ED" w14:textId="77777777" w:rsidTr="00973DD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089A377" w14:textId="77777777" w:rsidR="005C7388" w:rsidRPr="005B6186" w:rsidRDefault="005C7388" w:rsidP="005C738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B61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B5101CC" w14:textId="2368B2A3" w:rsidR="005C7388" w:rsidRPr="005B6186" w:rsidRDefault="00385365" w:rsidP="00BB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8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1 151 008</w:t>
            </w:r>
          </w:p>
        </w:tc>
        <w:tc>
          <w:tcPr>
            <w:tcW w:w="1267" w:type="dxa"/>
            <w:noWrap/>
          </w:tcPr>
          <w:p w14:paraId="0DBEA25D" w14:textId="0299D782" w:rsidR="005C7388" w:rsidRPr="005B6186" w:rsidRDefault="00385365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267" w:type="dxa"/>
            <w:noWrap/>
          </w:tcPr>
          <w:p w14:paraId="6567868D" w14:textId="62ED43DB" w:rsidR="005C7388" w:rsidRPr="005B6186" w:rsidRDefault="00385365" w:rsidP="00644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267" w:type="dxa"/>
            <w:noWrap/>
          </w:tcPr>
          <w:p w14:paraId="4FA1B4FA" w14:textId="43511A27" w:rsidR="005C7388" w:rsidRPr="005B6186" w:rsidRDefault="00385365" w:rsidP="00644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</w:tr>
      <w:tr w:rsidR="005C7388" w:rsidRPr="007D5748" w14:paraId="7C1E425C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63EDF0E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54FFD927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3A886D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90C6F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2CE37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00FEF5C3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E4BB3C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74EFB15A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73D19E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3D610E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C13AF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1068B5B8" w14:textId="77777777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026F4E2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18D610A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D080E5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ED96E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C1F1DF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25E2CC8A" w14:textId="77777777" w:rsidTr="00561D7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C100A6E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E6CF118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6A00B9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AA709F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AF3075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2A9DC56B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8CD85A1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F8C2D8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BA9AA9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CC1558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5BA38A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3B2B8848" w14:textId="77777777" w:rsidTr="00561D7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1AB5D03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61BE5FA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7526FE8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09BD7B8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5AF8FC7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08C4BBC2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017F479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20A6FEC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74596B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974FEA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E1A005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2BBAFE42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E63B014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</w:t>
            </w:r>
            <w:r w:rsidRPr="00C73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obce</w:t>
            </w:r>
          </w:p>
        </w:tc>
        <w:tc>
          <w:tcPr>
            <w:tcW w:w="1267" w:type="dxa"/>
            <w:noWrap/>
            <w:vAlign w:val="center"/>
          </w:tcPr>
          <w:p w14:paraId="5166EEB8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E0E1A2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3CE70E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78F0CF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03597DA1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FB8E146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2A71638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0C2960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9C2936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E5AE39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1297244D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B353074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29096FF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FDB21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A5129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C5F6BB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4717BC11" w14:textId="77777777" w:rsidTr="00561D7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B585292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6649883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C3B9B87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5CA5DE4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F80B11F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5470D16F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496AECA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3BC7AAF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BB7CCC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AF3CD5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BD7CFD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2F831405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71F777A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D37493A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0121F8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80F027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89BF77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6650C3CC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2A3CAD9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0A9C829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70CB39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312D23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9D72FA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0F0F2599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74674A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3AB5739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3E21A4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9D54B0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C6C20D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6ACBA858" w14:textId="77777777" w:rsidTr="00973DD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3220CE3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C55440B" w14:textId="06A4444F" w:rsidR="005C7388" w:rsidRPr="004D2A1C" w:rsidRDefault="00385365" w:rsidP="00BB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1 151 008</w:t>
            </w:r>
          </w:p>
        </w:tc>
        <w:tc>
          <w:tcPr>
            <w:tcW w:w="1267" w:type="dxa"/>
            <w:shd w:val="clear" w:color="auto" w:fill="C0C0C0"/>
            <w:noWrap/>
          </w:tcPr>
          <w:p w14:paraId="4E204332" w14:textId="0605BBAF" w:rsidR="005C7388" w:rsidRPr="004D2A1C" w:rsidRDefault="00385365" w:rsidP="00644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1 127 85</w:t>
            </w:r>
            <w:r w:rsidR="007E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14:paraId="46BEAFE7" w14:textId="4DD79356" w:rsidR="005C7388" w:rsidRPr="00CD0A24" w:rsidRDefault="00385365" w:rsidP="000F0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 w:rsidRPr="0038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1 127 85</w:t>
            </w:r>
            <w:r w:rsidR="007E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14:paraId="1C6F097C" w14:textId="678EBF6D" w:rsidR="005C7388" w:rsidRPr="00CD0A24" w:rsidRDefault="00385365" w:rsidP="000F0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</w:pPr>
            <w:r w:rsidRPr="00385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1 127 85</w:t>
            </w:r>
            <w:r w:rsidR="007E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6A565192" w14:textId="77777777" w:rsidTr="00561D7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206310E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</w:t>
            </w:r>
          </w:p>
        </w:tc>
        <w:tc>
          <w:tcPr>
            <w:tcW w:w="1267" w:type="dxa"/>
            <w:noWrap/>
            <w:vAlign w:val="center"/>
          </w:tcPr>
          <w:p w14:paraId="6294ADF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CE1D7CE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F20F131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DD1F2A4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C7388" w:rsidRPr="004C0FAD" w14:paraId="638FD584" w14:textId="77777777" w:rsidTr="00561D7D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3FA2" w14:textId="77777777" w:rsidR="005C7388" w:rsidRPr="005C6CBB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MŽP SR/program 075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EB6A" w14:textId="66DD2C31" w:rsidR="005C7388" w:rsidRPr="005B6186" w:rsidRDefault="005B6186" w:rsidP="001E2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B6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23 15</w:t>
            </w:r>
            <w:r w:rsidR="0073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918DF" w14:textId="77777777" w:rsidR="005C7388" w:rsidRPr="00561D7D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C1B45" w14:textId="77777777" w:rsidR="005C7388" w:rsidRPr="00561D7D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1470" w14:textId="77777777" w:rsidR="005C7388" w:rsidRPr="00561D7D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D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4C0FAD" w14:paraId="04EAD85F" w14:textId="77777777" w:rsidTr="00973DDF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F1813" w14:textId="77777777" w:rsidR="005C7388" w:rsidRPr="005C6CBB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SR/program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0D6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52B1" w14:textId="4DF5350F" w:rsidR="005C7388" w:rsidRPr="00CD0A24" w:rsidRDefault="00385365" w:rsidP="00BB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38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1 127 850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01636" w14:textId="53015172" w:rsidR="005C7388" w:rsidRPr="00CD0A24" w:rsidRDefault="00385365" w:rsidP="0044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0DB27" w14:textId="749E69D0" w:rsidR="005C7388" w:rsidRPr="00CD0A24" w:rsidRDefault="0038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43038" w14:textId="7C4E43E0" w:rsidR="005C7388" w:rsidRPr="00CD0A24" w:rsidRDefault="0038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1 127 850</w:t>
            </w:r>
          </w:p>
        </w:tc>
      </w:tr>
      <w:tr w:rsidR="005C7388" w:rsidRPr="007D5748" w14:paraId="061E57B0" w14:textId="77777777" w:rsidTr="00561D7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07B6A16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9A1A2F6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8F59075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FB3B137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BA28D94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C7388" w:rsidRPr="007D5748" w14:paraId="02C376F6" w14:textId="77777777" w:rsidTr="00561D7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5516A426" w14:textId="77777777" w:rsidR="005C7388" w:rsidRPr="007D5748" w:rsidRDefault="005C7388" w:rsidP="005C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0A41BE5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2CF1515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D6887E5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E3217B0" w14:textId="77777777" w:rsidR="005C7388" w:rsidRPr="007D5748" w:rsidRDefault="005C7388" w:rsidP="005C7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14:paraId="1FB75B70" w14:textId="77777777" w:rsidR="007E2631" w:rsidRDefault="007E2631" w:rsidP="007E26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3BA7A3" w14:textId="77777777" w:rsidR="001C72C6" w:rsidRDefault="001C72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039B01CB" w14:textId="77777777" w:rsidR="007D5748" w:rsidRPr="007D5748" w:rsidRDefault="007D5748" w:rsidP="007E26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6CA07999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6365CCE7" w14:textId="40856788" w:rsidR="007D5748" w:rsidRDefault="00FD661B" w:rsidP="001566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Vyhlásením </w:t>
      </w:r>
      <w:r w:rsidR="003C70C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hraníc a </w:t>
      </w:r>
      <w:r w:rsidR="005B618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zón </w:t>
      </w:r>
      <w:r w:rsidR="004D71B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Národného parku </w:t>
      </w:r>
      <w:r w:rsidR="00BB4559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(NP) </w:t>
      </w:r>
      <w:r w:rsidR="005B6186">
        <w:rPr>
          <w:rFonts w:ascii="Times New Roman" w:eastAsia="Times New Roman" w:hAnsi="Times New Roman"/>
          <w:bCs/>
          <w:sz w:val="24"/>
          <w:szCs w:val="24"/>
          <w:lang w:eastAsia="sk-SK"/>
        </w:rPr>
        <w:t>Slovenský kras</w:t>
      </w:r>
      <w:r w:rsidR="004D71B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</w:t>
      </w:r>
      <w:r w:rsidR="003C70C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 hraníc jeho </w:t>
      </w:r>
      <w:r w:rsidR="004D71BB">
        <w:rPr>
          <w:rFonts w:ascii="Times New Roman" w:eastAsia="Times New Roman" w:hAnsi="Times New Roman"/>
          <w:bCs/>
          <w:sz w:val="24"/>
          <w:szCs w:val="24"/>
          <w:lang w:eastAsia="sk-SK"/>
        </w:rPr>
        <w:t>ochranného pásma</w:t>
      </w:r>
      <w:r w:rsidR="00B6756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dôjde 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 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>rok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och 202</w:t>
      </w:r>
      <w:r w:rsidR="00984E5E">
        <w:rPr>
          <w:rFonts w:ascii="Times New Roman" w:eastAsia="Times New Roman" w:hAnsi="Times New Roman"/>
          <w:bCs/>
          <w:sz w:val="24"/>
          <w:szCs w:val="24"/>
          <w:lang w:eastAsia="sk-SK"/>
        </w:rPr>
        <w:t>4</w:t>
      </w:r>
      <w:r w:rsidR="005B618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– 202</w:t>
      </w:r>
      <w:r w:rsidR="00984E5E">
        <w:rPr>
          <w:rFonts w:ascii="Times New Roman" w:eastAsia="Times New Roman" w:hAnsi="Times New Roman"/>
          <w:bCs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k zvýšeniu výdavkov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v rozpočte verejnej správy.</w:t>
      </w:r>
    </w:p>
    <w:p w14:paraId="5372B087" w14:textId="65687CE6" w:rsidR="00FD661B" w:rsidRDefault="00FD661B" w:rsidP="001825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Finančné prostriedky vo výške </w:t>
      </w:r>
      <w:r w:rsidR="005B61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23 15</w:t>
      </w:r>
      <w:r w:rsidR="00732F6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4D71BB" w:rsidRPr="008773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14315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€ </w:t>
      </w:r>
      <w:r w:rsidR="005B61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(</w:t>
      </w:r>
      <w:proofErr w:type="spellStart"/>
      <w:r w:rsidR="005B61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jednorázovo</w:t>
      </w:r>
      <w:proofErr w:type="spellEnd"/>
      <w:r w:rsidR="005B61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na rok 202</w:t>
      </w:r>
      <w:r w:rsidR="00984E5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4</w:t>
      </w:r>
      <w:r w:rsidR="00604EFC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) </w:t>
      </w:r>
      <w:r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sú potrebné na označenie </w:t>
      </w:r>
      <w:r w:rsidR="004D71BB" w:rsidRPr="008773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chráneného územia</w:t>
      </w:r>
      <w:r w:rsidR="00B6756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podľa vyhlášky </w:t>
      </w:r>
      <w:r w:rsidRPr="00034682">
        <w:rPr>
          <w:rFonts w:ascii="Times New Roman" w:eastAsia="Times New Roman" w:hAnsi="Times New Roman"/>
          <w:bCs/>
          <w:sz w:val="24"/>
          <w:szCs w:val="24"/>
          <w:lang w:eastAsia="sk-SK"/>
        </w:rPr>
        <w:t>Ministerstva životného prostredia Slovenskej republiky č. 170/2021 Z. z., ktorou sa vykonáva zákon č. 543/2002 Z. z. o ochrane prírody a krajiny v znení neskorších predpisov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(ďalej len „vyhláška č.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170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>/20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21</w:t>
      </w:r>
      <w:r w:rsidRPr="00523A6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Z. z.“)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. Tieto f</w:t>
      </w:r>
      <w:r w:rsidRPr="003F558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inančné prostriedky sú zabezpečené v rozpočte kapitoly Ministerstva životného prostredia Slovenskej republiky (MŽP SR), a to </w:t>
      </w:r>
      <w:r w:rsidR="00604EFC">
        <w:rPr>
          <w:rFonts w:ascii="Times New Roman" w:eastAsia="Times New Roman" w:hAnsi="Times New Roman"/>
          <w:bCs/>
          <w:sz w:val="24"/>
          <w:szCs w:val="24"/>
          <w:lang w:eastAsia="sk-SK"/>
        </w:rPr>
        <w:t>organizácii ochrany prírody a krajiny (</w:t>
      </w:r>
      <w:r w:rsidRPr="003F5587">
        <w:rPr>
          <w:rFonts w:ascii="Times New Roman" w:eastAsia="Times New Roman" w:hAnsi="Times New Roman"/>
          <w:bCs/>
          <w:sz w:val="24"/>
          <w:szCs w:val="24"/>
          <w:lang w:eastAsia="sk-SK"/>
        </w:rPr>
        <w:t>príspevkovej  organizácii v zriaďovateľskej pôsobnosti MŽP SR</w:t>
      </w:r>
      <w:r w:rsidR="00604EFC">
        <w:rPr>
          <w:rFonts w:ascii="Times New Roman" w:eastAsia="Times New Roman" w:hAnsi="Times New Roman"/>
          <w:bCs/>
          <w:sz w:val="24"/>
          <w:szCs w:val="24"/>
          <w:lang w:eastAsia="sk-SK"/>
        </w:rPr>
        <w:t>)</w:t>
      </w:r>
      <w:r w:rsidRPr="003F5587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2CB65EC7" w14:textId="6E707626" w:rsidR="000A6F41" w:rsidRDefault="00385365" w:rsidP="003C7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DA4B2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Na náhradu za obmedzenie bežného obhospodarovania má nárok správca štátnych pozemkov v navrhovanej zóne A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  (§ 61e) ods. 4 zákona 543/2002 Z. z.)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vo výške</w:t>
      </w:r>
      <w:r w:rsidRPr="00DA4B2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1 127 849,92 €/rok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A6F41">
        <w:rPr>
          <w:rFonts w:ascii="Times New Roman" w:hAnsi="Times New Roman" w:cs="Times New Roman"/>
          <w:sz w:val="24"/>
          <w:szCs w:val="24"/>
          <w:lang w:eastAsia="sk-SK"/>
        </w:rPr>
        <w:t>(podrobnejšie v kapitole 2.2.4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Po vyhlásení zón národného parku bude správcom </w:t>
      </w:r>
      <w:r w:rsidRPr="005C744B">
        <w:rPr>
          <w:rFonts w:ascii="Times New Roman" w:hAnsi="Times New Roman" w:cs="Times New Roman"/>
          <w:sz w:val="24"/>
          <w:szCs w:val="24"/>
        </w:rPr>
        <w:t xml:space="preserve">štátnych pozemkov </w:t>
      </w:r>
      <w:r>
        <w:rPr>
          <w:rFonts w:ascii="Times New Roman" w:hAnsi="Times New Roman" w:cs="Times New Roman"/>
          <w:sz w:val="24"/>
          <w:szCs w:val="24"/>
        </w:rPr>
        <w:t xml:space="preserve">v národnom parku podľa § 65b ods. 6 zákona č. 543/2002 Z. z. </w:t>
      </w:r>
      <w:r w:rsidRPr="00C733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Správa Národného parku Slovenský kras so sídlom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C733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Brzotíne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ktorá</w:t>
      </w:r>
      <w:r w:rsidRPr="00C733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si nárok na finančnú náhradu neplánuje uplatňovať.</w:t>
      </w:r>
    </w:p>
    <w:p w14:paraId="4705A937" w14:textId="6B71751B" w:rsidR="003C70CD" w:rsidRDefault="007E5B2C" w:rsidP="003C7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A4B25">
        <w:rPr>
          <w:rFonts w:ascii="Times New Roman" w:hAnsi="Times New Roman" w:cs="Times New Roman"/>
          <w:b/>
          <w:sz w:val="24"/>
          <w:szCs w:val="24"/>
        </w:rPr>
        <w:t xml:space="preserve">ávrhom </w:t>
      </w:r>
      <w:proofErr w:type="spellStart"/>
      <w:r w:rsidRPr="00DA4B25">
        <w:rPr>
          <w:rFonts w:ascii="Times New Roman" w:hAnsi="Times New Roman" w:cs="Times New Roman"/>
          <w:b/>
          <w:sz w:val="24"/>
          <w:szCs w:val="24"/>
        </w:rPr>
        <w:t>zonácie</w:t>
      </w:r>
      <w:proofErr w:type="spellEnd"/>
      <w:r w:rsidRPr="00DA4B25">
        <w:rPr>
          <w:rFonts w:ascii="Times New Roman" w:hAnsi="Times New Roman" w:cs="Times New Roman"/>
          <w:b/>
          <w:sz w:val="24"/>
          <w:szCs w:val="24"/>
        </w:rPr>
        <w:t xml:space="preserve"> nedochádza k navýšeniu 5. stupňa ochrany u</w:t>
      </w:r>
      <w:r>
        <w:rPr>
          <w:rFonts w:ascii="Times New Roman" w:hAnsi="Times New Roman" w:cs="Times New Roman"/>
          <w:b/>
          <w:sz w:val="24"/>
          <w:szCs w:val="24"/>
        </w:rPr>
        <w:t> neštátnych subjektov, čo znamená, že</w:t>
      </w:r>
      <w:r w:rsidRPr="00DA4B25">
        <w:rPr>
          <w:rFonts w:ascii="Times New Roman" w:hAnsi="Times New Roman" w:cs="Times New Roman"/>
          <w:b/>
          <w:sz w:val="24"/>
          <w:szCs w:val="24"/>
        </w:rPr>
        <w:t xml:space="preserve"> nedochádza k</w:t>
      </w:r>
      <w:r w:rsidR="00F1567A">
        <w:rPr>
          <w:rFonts w:ascii="Times New Roman" w:hAnsi="Times New Roman" w:cs="Times New Roman"/>
          <w:b/>
          <w:sz w:val="24"/>
          <w:szCs w:val="24"/>
        </w:rPr>
        <w:t> navýšeniu obmedzenia</w:t>
      </w:r>
      <w:r w:rsidRPr="00DA4B25">
        <w:rPr>
          <w:rFonts w:ascii="Times New Roman" w:hAnsi="Times New Roman" w:cs="Times New Roman"/>
          <w:b/>
          <w:sz w:val="24"/>
          <w:szCs w:val="24"/>
        </w:rPr>
        <w:t xml:space="preserve"> oproti súčasnému právnemu stavu</w:t>
      </w:r>
      <w:r w:rsidR="006279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62797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="00E33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pôsob výpočtu </w:t>
      </w:r>
      <w:r w:rsidR="009826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predpokladanej </w:t>
      </w:r>
      <w:r w:rsidR="00F156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</w:t>
      </w:r>
      <w:r w:rsidRPr="00F156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ina</w:t>
      </w:r>
      <w:r w:rsidR="00F156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nčnej náhrady</w:t>
      </w:r>
      <w:r w:rsidRPr="00F156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156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zohľadňujúci návrh </w:t>
      </w:r>
      <w:proofErr w:type="spellStart"/>
      <w:r w:rsidR="00F156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zonácie</w:t>
      </w:r>
      <w:proofErr w:type="spellEnd"/>
      <w:r w:rsidR="00F156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NP </w:t>
      </w:r>
      <w:r w:rsidR="00E33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uvedený v časti 2.2.4</w:t>
      </w:r>
      <w:r w:rsidR="00F156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35EBA560" w14:textId="372743A2" w:rsidR="00E414F7" w:rsidRDefault="008A46F1" w:rsidP="00E414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984E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Negatívny vplyv na rozpočet dotknutých obcí sa v r. 202</w:t>
      </w:r>
      <w:r w:rsidR="00984E5E" w:rsidRPr="00984E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984E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202</w:t>
      </w:r>
      <w:r w:rsidR="00984E5E" w:rsidRPr="00984E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984E5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nepredpokladá. Zmena kategórie z hospodárskych lesov je navrhovaná pri príprave programov starostlivosti o lesy, pričom v NP Slovenský kras sú platné programy starostlivosti o lesy na roky 2022 – 203</w:t>
      </w:r>
      <w:r w:rsidR="00E414F7" w:rsidRPr="001430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114B89" w:rsidRP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Vyhlásenie lesov osobitného určenia nie je viazané na </w:t>
      </w:r>
      <w:r w:rsid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vyhlásenie stupňa územnej</w:t>
      </w:r>
      <w:r w:rsidR="00114B89" w:rsidRP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ochrany, nakoľko prijatím navrhovaného nariadenia vlády </w:t>
      </w:r>
      <w:r w:rsid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Slovenskej republiky</w:t>
      </w:r>
      <w:r w:rsidR="00114B89" w:rsidRP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nemení kategória lesov. K</w:t>
      </w:r>
      <w:r w:rsid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zmene kategórie</w:t>
      </w:r>
      <w:r w:rsidR="00114B89" w:rsidRP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hospodárskych lesov môže dôjsť až na základe rozhodnutia príslušného lesného pozemkového orgánu. </w:t>
      </w:r>
      <w:r w:rsid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114B89" w:rsidRP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odľa § 6 ods. 1 písm. d) zákona č. 582/2004 Z. z. o miestnych daniach a miestnom poplatku za komunálne odpady a drobné stavebné odpady sú predmetom dane lesné pozemky, na ktorých </w:t>
      </w:r>
      <w:r w:rsid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 hospodárske lesy. Až po zmene</w:t>
      </w:r>
      <w:r w:rsidR="00114B89" w:rsidRP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kategórie </w:t>
      </w:r>
      <w:r w:rsid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hospodárskych lesov </w:t>
      </w:r>
      <w:r w:rsidR="005B48F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žiadosť príslušného správcu lesných pozemkov</w:t>
      </w:r>
      <w:r w:rsid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14B89" w:rsidRPr="00114B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lesy osobitného určenia dotknuté pozemky nebudú predmetom dane z pozemkov.</w:t>
      </w:r>
    </w:p>
    <w:p w14:paraId="633DA035" w14:textId="77777777" w:rsidR="00FD661B" w:rsidRDefault="00FD661B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37FC5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4D7EBA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77FD91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6847A1B4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F136450" w14:textId="77777777" w:rsidR="007D5748" w:rsidRPr="004D2A1C" w:rsidRDefault="007D5748" w:rsidP="0015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A1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45FC1672" w14:textId="77777777" w:rsidR="007D5748" w:rsidRPr="00577806" w:rsidRDefault="007D5748" w:rsidP="00BC6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F5F4E5" w14:textId="518B02CA" w:rsidR="00710790" w:rsidRPr="00A72687" w:rsidRDefault="00152462" w:rsidP="00C50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Nariadením vlády</w:t>
      </w:r>
      <w:r w:rsidR="00BB45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FA6415" w:rsidRPr="00FA6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sa </w:t>
      </w:r>
      <w:r w:rsidR="00984E5E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</w:t>
      </w:r>
      <w:r w:rsidR="00FA6415" w:rsidRPr="00FA6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Národný park Slovenský kras</w:t>
      </w:r>
      <w:r w:rsidR="0098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FA6415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jeho zóny a ochranné pásmo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dochádza k zmene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doterajš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ieho 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eho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stav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uvedenému 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predpisoch, ktorými </w:t>
      </w:r>
      <w:r w:rsidR="002D7D6A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boli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časti prírody a krajiny </w:t>
      </w:r>
      <w:r w:rsidR="00183551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vyhlásené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chránené</w:t>
      </w:r>
      <w:r w:rsidR="002D7D6A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predovšetkým 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</w:t>
      </w:r>
      <w:r w:rsidR="002D7D6A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vlády Slovenskej republiky č. </w:t>
      </w:r>
      <w:r w:rsidR="00E3333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101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E3333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2002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ktor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vyhlasuje 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Národný park </w:t>
      </w:r>
      <w:r w:rsidR="00E3333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Slovenský kras</w:t>
      </w:r>
      <w:r w:rsidR="002D7D6A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576FD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1EA1444D" w14:textId="77777777" w:rsidR="003C70CD" w:rsidRDefault="003C70CD" w:rsidP="00BB4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202C1" w14:textId="4C036050" w:rsidR="00C20260" w:rsidRDefault="00C20260" w:rsidP="00BB4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Účelom </w:t>
      </w:r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návrhu </w:t>
      </w:r>
      <w:r w:rsidR="00710790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zabezpečenie ochrany prírodných procesov </w:t>
      </w:r>
      <w:r w:rsidR="0062797F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podstatnej časti územia, </w:t>
      </w:r>
      <w:r w:rsidR="00710790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ochrany biotopov, </w:t>
      </w:r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druhov </w:t>
      </w:r>
      <w:r w:rsidR="00710790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rastlín</w:t>
      </w:r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710790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živočíchov národného aj európskeho významu</w:t>
      </w:r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Medzi hodnoty </w:t>
      </w:r>
      <w:r w:rsidR="00710790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to</w:t>
      </w:r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710790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to prírodne</w:t>
      </w:r>
      <w:r w:rsidR="002A328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mimoriadne </w:t>
      </w:r>
      <w:r w:rsidR="00710790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hodnotn</w:t>
      </w:r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ého </w:t>
      </w:r>
      <w:r w:rsidR="00710790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územ</w:t>
      </w:r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 patria lúčne spoločenstvá, ktoré sa tu zachovali </w:t>
      </w:r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vďaka nepretržitému obhospodarovaniu a abiotické javy. Slovenský kras predstavuje najrozsiahlejšie krasové územie </w:t>
      </w:r>
      <w:proofErr w:type="spellStart"/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planinového</w:t>
      </w:r>
      <w:proofErr w:type="spellEnd"/>
      <w:r w:rsidR="00946FB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typu v strednej Európe.</w:t>
      </w:r>
      <w:r w:rsidR="00A72687">
        <w:t xml:space="preserve"> </w:t>
      </w:r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Navrhovaná </w:t>
      </w:r>
      <w:proofErr w:type="spellStart"/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zonácia</w:t>
      </w:r>
      <w:proofErr w:type="spellEnd"/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</w:t>
      </w:r>
      <w:r w:rsidR="002D7D6A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3337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Slovenský kras</w:t>
      </w:r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vyplýva z vládou schválenej </w:t>
      </w:r>
      <w:proofErr w:type="spellStart"/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Envirostratégie</w:t>
      </w:r>
      <w:proofErr w:type="spellEnd"/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2030, ako aj </w:t>
      </w:r>
      <w:r w:rsidR="0056017E"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984E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19 a </w:t>
      </w:r>
      <w:r w:rsidRPr="00A72687">
        <w:rPr>
          <w:rFonts w:ascii="Times New Roman" w:eastAsia="Times New Roman" w:hAnsi="Times New Roman" w:cs="Times New Roman"/>
          <w:sz w:val="24"/>
          <w:szCs w:val="24"/>
          <w:lang w:eastAsia="sk-SK"/>
        </w:rPr>
        <w:t>30 zákona č. 543/2002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z.</w:t>
      </w:r>
      <w:r w:rsidR="003C70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ochrane prírody v znení neskorších predpisov (ďalej len „zákon č. 543/2002 Z. z.“).</w:t>
      </w:r>
    </w:p>
    <w:p w14:paraId="1F509A8E" w14:textId="77777777" w:rsidR="00946FB7" w:rsidRDefault="00946FB7" w:rsidP="00BB4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45F766" w14:textId="3E096778" w:rsidR="005C7388" w:rsidRDefault="00710790" w:rsidP="004D2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Predkladaný materiál </w:t>
      </w:r>
      <w:r w:rsidR="00A576FD" w:rsidRPr="00A576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predpokladá financovanie z</w:t>
      </w:r>
      <w:r w:rsidR="002A328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576FD" w:rsidRPr="00A576FD">
        <w:rPr>
          <w:rFonts w:ascii="Times New Roman" w:eastAsia="Times New Roman" w:hAnsi="Times New Roman" w:cs="Times New Roman"/>
          <w:sz w:val="24"/>
          <w:szCs w:val="24"/>
          <w:lang w:eastAsia="sk-SK"/>
        </w:rPr>
        <w:t>kapitol</w:t>
      </w:r>
      <w:r w:rsidR="00946FB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2A32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Ministerstva životného prostredia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(tabuľka </w:t>
      </w:r>
      <w:r w:rsidR="00F2157F">
        <w:rPr>
          <w:rFonts w:ascii="Times New Roman" w:eastAsia="Times New Roman" w:hAnsi="Times New Roman" w:cs="Times New Roman"/>
          <w:sz w:val="24"/>
          <w:szCs w:val="24"/>
          <w:lang w:eastAsia="sk-SK"/>
        </w:rPr>
        <w:t>č.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1).</w:t>
      </w:r>
    </w:p>
    <w:p w14:paraId="0130FEA4" w14:textId="77777777" w:rsidR="00E5375E" w:rsidRDefault="00E5375E" w:rsidP="004D2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A59359" w14:textId="77777777" w:rsidR="007D5748" w:rsidRPr="007D5748" w:rsidRDefault="007D5748" w:rsidP="004D2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E1298E6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806D2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BE80A1F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FD90D6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54E3B621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ECEF30B" w14:textId="77777777" w:rsidR="007D5748" w:rsidRPr="007D5748" w:rsidRDefault="00561D7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561D7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</w:t>
      </w:r>
    </w:p>
    <w:p w14:paraId="244ECBC8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EC88E0" w14:textId="77777777" w:rsidR="005E5DCF" w:rsidRDefault="005E5DCF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4BF5A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B1CFB3C" w14:textId="77777777" w:rsidR="005E5DCF" w:rsidRDefault="005E5DCF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DF23B6" w14:textId="77777777" w:rsidR="007D5748" w:rsidRPr="004D2A1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A1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869BAB5" w14:textId="77777777" w:rsidR="007D5748" w:rsidRPr="007D5748" w:rsidRDefault="007D5748" w:rsidP="00B86EEC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602D323D" w14:textId="77777777" w:rsidTr="00561D7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3B2C976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8BA5A76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14:paraId="37D6C236" w14:textId="77777777" w:rsidTr="00561D7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40ED320A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A58857" w14:textId="5CF6F29F" w:rsidR="007D5748" w:rsidRPr="007D5748" w:rsidRDefault="00597B5E" w:rsidP="00984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8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6C6238" w14:textId="08C6A58B" w:rsidR="007D5748" w:rsidRPr="007D5748" w:rsidRDefault="00597B5E" w:rsidP="00984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8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400FEC6" w14:textId="47C96890" w:rsidR="007D5748" w:rsidRPr="007D5748" w:rsidRDefault="00597B5E" w:rsidP="00984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8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3AB24C" w14:textId="14BD3674" w:rsidR="007D5748" w:rsidRPr="007D5748" w:rsidRDefault="00597B5E" w:rsidP="00984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8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7D5748" w:rsidRPr="007D5748" w14:paraId="2B5305B6" w14:textId="77777777" w:rsidTr="00561D7D">
        <w:trPr>
          <w:trHeight w:val="70"/>
        </w:trPr>
        <w:tc>
          <w:tcPr>
            <w:tcW w:w="4530" w:type="dxa"/>
          </w:tcPr>
          <w:p w14:paraId="44E558B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2D899982" w14:textId="77777777"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14:paraId="12D2E413" w14:textId="77777777"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14:paraId="3F846A32" w14:textId="77777777"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5EAC9F8" w14:textId="77777777"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7D5748" w:rsidRPr="007D5748" w14:paraId="38263AD6" w14:textId="77777777" w:rsidTr="00561D7D">
        <w:trPr>
          <w:trHeight w:val="70"/>
        </w:trPr>
        <w:tc>
          <w:tcPr>
            <w:tcW w:w="4530" w:type="dxa"/>
          </w:tcPr>
          <w:p w14:paraId="2B0EF00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71C3A3A" w14:textId="77777777"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14:paraId="10F2A78D" w14:textId="77777777"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14:paraId="48129607" w14:textId="77777777"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14:paraId="0C12612A" w14:textId="77777777" w:rsidR="007D5748" w:rsidRPr="002D7D6A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7D5748" w:rsidRPr="007D5748" w14:paraId="4BCA9BE7" w14:textId="77777777" w:rsidTr="00561D7D">
        <w:trPr>
          <w:trHeight w:val="70"/>
        </w:trPr>
        <w:tc>
          <w:tcPr>
            <w:tcW w:w="4530" w:type="dxa"/>
          </w:tcPr>
          <w:p w14:paraId="2DABEE86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37EA48CC" w14:textId="77777777"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14:paraId="31F783D7" w14:textId="77777777"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14:paraId="7F899EC0" w14:textId="77777777"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134" w:type="dxa"/>
          </w:tcPr>
          <w:p w14:paraId="5D9C2F2C" w14:textId="77777777" w:rsidR="007D5748" w:rsidRPr="001F4076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</w:tr>
    </w:tbl>
    <w:p w14:paraId="36CBBC7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0B03D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A02A2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417EC19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D65F87" w14:textId="77777777" w:rsidR="007D5748" w:rsidRPr="004D2A1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D2A1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591BA06C" w14:textId="77777777" w:rsidR="009B4770" w:rsidRDefault="009B4770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E63C09" w14:textId="2CF9E308" w:rsidR="00DA4B25" w:rsidRDefault="00B9594C" w:rsidP="00B9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Ekonomické zhodnotenie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vplyvu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návrhu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nariadenia vlády Slovenskej republiky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obsahuje jednak predpoklad ekonomickej kvantifikácie dopadov pri uplatňovaní obmedzení vyplývajúcich zo zákona pre jednotlivé stupne ochrany v zmysle § 61 zákona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č. 543/2002 Z. z.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a nariadenia vlády Slovenskej republiky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č. 7 /2014 Z. z. o podrobnostiach o obsahu žiadosti o vyplatenie finančnej náhrady, spôsobe výpočtu finančnej náhrady a spôsobe určenia výšky nájomného a výšky odplaty za zmluvnú starostlivosť pri náhradách za obmedzenie bežného obhospodarovania pozemku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a jednak náklady spojené s označením novovzniknutého chráneného územia.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Ak dochádza v dôsledku obmedzení a opatrení vyplývajúcich zo zákazov a iných podmienok ochrany prírody a krajiny ustanovených zákonom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č. 543/2002 Z. z.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alebo na jeho základe k obmedzeniu bežného obhospodarovania, patrí vlastníkovi za podmienok ustanovených týmto zákonom náhrada, ktorou sa rozumie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zámena pozemku za iný vhodn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ý pozemok vo vlastníctve štátu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(§ 61a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zákona </w:t>
      </w:r>
      <w:r>
        <w:rPr>
          <w:rFonts w:ascii="Times New Roman" w:hAnsi="Times New Roman" w:cs="Times New Roman"/>
          <w:sz w:val="24"/>
          <w:szCs w:val="24"/>
          <w:lang w:eastAsia="sk-SK"/>
        </w:rPr>
        <w:t>č. 543/2002 Z. z.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),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nájom pozemku (§ 61b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zákona </w:t>
      </w:r>
      <w:r>
        <w:rPr>
          <w:rFonts w:ascii="Times New Roman" w:hAnsi="Times New Roman" w:cs="Times New Roman"/>
          <w:sz w:val="24"/>
          <w:szCs w:val="24"/>
          <w:lang w:eastAsia="sk-SK"/>
        </w:rPr>
        <w:t>č. 543/2002 Z. z.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),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výkup pozemkov do vlastníctva štátu (§ 61c zákona </w:t>
      </w:r>
      <w:r>
        <w:rPr>
          <w:rFonts w:ascii="Times New Roman" w:hAnsi="Times New Roman" w:cs="Times New Roman"/>
          <w:sz w:val="24"/>
          <w:szCs w:val="24"/>
          <w:lang w:eastAsia="sk-SK"/>
        </w:rPr>
        <w:t>č. 543/2002 Z. z.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),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zmluvná starostlivosť (§ 61d zákona </w:t>
      </w:r>
      <w:r>
        <w:rPr>
          <w:rFonts w:ascii="Times New Roman" w:hAnsi="Times New Roman" w:cs="Times New Roman"/>
          <w:sz w:val="24"/>
          <w:szCs w:val="24"/>
          <w:lang w:eastAsia="sk-SK"/>
        </w:rPr>
        <w:t>č. 543/2002 Z. z.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) alebo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 xml:space="preserve">finančná náhrada (§ 61e zákona </w:t>
      </w:r>
      <w:r>
        <w:rPr>
          <w:rFonts w:ascii="Times New Roman" w:hAnsi="Times New Roman" w:cs="Times New Roman"/>
          <w:sz w:val="24"/>
          <w:szCs w:val="24"/>
          <w:lang w:eastAsia="sk-SK"/>
        </w:rPr>
        <w:t>č. 543/2002 Z. z.</w:t>
      </w:r>
      <w:r w:rsidRPr="00B9594C">
        <w:rPr>
          <w:rFonts w:ascii="Times New Roman" w:hAnsi="Times New Roman" w:cs="Times New Roman"/>
          <w:sz w:val="24"/>
          <w:szCs w:val="24"/>
          <w:lang w:eastAsia="sk-SK"/>
        </w:rPr>
        <w:t>).</w:t>
      </w:r>
      <w:r w:rsidR="00DA4B25" w:rsidRPr="00DA4B25">
        <w:rPr>
          <w:rFonts w:ascii="Times New Roman" w:hAnsi="Times New Roman" w:cs="Times New Roman"/>
          <w:sz w:val="24"/>
          <w:szCs w:val="24"/>
          <w:lang w:eastAsia="sk-SK"/>
        </w:rPr>
        <w:t>V N</w:t>
      </w:r>
      <w:r w:rsidR="003C70CD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="00DA4B25"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Slovenský kras sa navrhuje </w:t>
      </w:r>
      <w:r w:rsidR="00946FB7">
        <w:rPr>
          <w:rFonts w:ascii="Times New Roman" w:hAnsi="Times New Roman" w:cs="Times New Roman"/>
          <w:sz w:val="24"/>
          <w:szCs w:val="24"/>
          <w:lang w:eastAsia="sk-SK"/>
        </w:rPr>
        <w:t xml:space="preserve">tak ako dosiaľ </w:t>
      </w:r>
      <w:r w:rsidR="00DA4B25"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použiť </w:t>
      </w:r>
      <w:r w:rsidR="00DA4B25" w:rsidRPr="00DA4B25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náhradu za obmedzenie bežného obhospodarovania </w:t>
      </w:r>
      <w:r w:rsidR="00DA4B25" w:rsidRPr="00DA4B25">
        <w:rPr>
          <w:rFonts w:ascii="Times New Roman" w:hAnsi="Times New Roman" w:cs="Times New Roman"/>
          <w:b/>
          <w:sz w:val="24"/>
          <w:szCs w:val="24"/>
        </w:rPr>
        <w:t>vo forme finančnej náhrady</w:t>
      </w:r>
      <w:r w:rsidR="00946FB7">
        <w:rPr>
          <w:rFonts w:ascii="Times New Roman" w:hAnsi="Times New Roman" w:cs="Times New Roman"/>
          <w:sz w:val="24"/>
          <w:szCs w:val="24"/>
        </w:rPr>
        <w:t xml:space="preserve">, resp. na malej výmere, aj vo </w:t>
      </w:r>
      <w:r w:rsidR="00946FB7" w:rsidRPr="00946FB7">
        <w:rPr>
          <w:rFonts w:ascii="Times New Roman" w:hAnsi="Times New Roman" w:cs="Times New Roman"/>
          <w:b/>
          <w:sz w:val="24"/>
          <w:szCs w:val="24"/>
        </w:rPr>
        <w:t>forme nájmu</w:t>
      </w:r>
      <w:r w:rsidR="00946FB7">
        <w:rPr>
          <w:rFonts w:ascii="Times New Roman" w:hAnsi="Times New Roman" w:cs="Times New Roman"/>
          <w:sz w:val="24"/>
          <w:szCs w:val="24"/>
        </w:rPr>
        <w:t xml:space="preserve"> </w:t>
      </w:r>
      <w:r w:rsidR="00DA4B25" w:rsidRPr="00DA4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B25" w:rsidRPr="00DA4B25">
        <w:rPr>
          <w:rFonts w:ascii="Times New Roman" w:hAnsi="Times New Roman" w:cs="Times New Roman"/>
          <w:sz w:val="24"/>
          <w:szCs w:val="24"/>
        </w:rPr>
        <w:t>(</w:t>
      </w:r>
      <w:r w:rsidR="00DA4B25" w:rsidRPr="00DA4B25">
        <w:rPr>
          <w:rFonts w:ascii="Times New Roman" w:hAnsi="Times New Roman" w:cs="Times New Roman"/>
          <w:sz w:val="24"/>
          <w:szCs w:val="24"/>
          <w:lang w:eastAsia="sk-SK"/>
        </w:rPr>
        <w:t>§ 61</w:t>
      </w:r>
      <w:r w:rsidR="00946FB7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DA4B25" w:rsidRPr="00DA4B25">
        <w:rPr>
          <w:rFonts w:ascii="Times New Roman" w:hAnsi="Times New Roman" w:cs="Times New Roman"/>
          <w:sz w:val="24"/>
          <w:szCs w:val="24"/>
          <w:lang w:eastAsia="sk-SK"/>
        </w:rPr>
        <w:t>, § 61</w:t>
      </w:r>
      <w:r w:rsidR="00946FB7">
        <w:rPr>
          <w:rFonts w:ascii="Times New Roman" w:hAnsi="Times New Roman" w:cs="Times New Roman"/>
          <w:sz w:val="24"/>
          <w:szCs w:val="24"/>
          <w:lang w:eastAsia="sk-SK"/>
        </w:rPr>
        <w:t>b</w:t>
      </w:r>
      <w:r w:rsidR="00DA4B25"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A4B25" w:rsidRPr="00DA4B25">
        <w:rPr>
          <w:rFonts w:ascii="Times New Roman" w:hAnsi="Times New Roman" w:cs="Times New Roman"/>
          <w:sz w:val="24"/>
          <w:szCs w:val="24"/>
        </w:rPr>
        <w:t>zákona č. 543/2002 Z. z.).</w:t>
      </w:r>
      <w:r w:rsidR="005A4190" w:rsidRPr="005A4190">
        <w:t xml:space="preserve"> </w:t>
      </w:r>
      <w:r w:rsidR="005A4190">
        <w:rPr>
          <w:rFonts w:ascii="Times New Roman" w:hAnsi="Times New Roman" w:cs="Times New Roman"/>
          <w:sz w:val="24"/>
          <w:szCs w:val="24"/>
        </w:rPr>
        <w:t>Táto skutočnosť nevylučuje, aby si dotknutý vlastník nenárokoval inú formu náhrady za obmedzenie bežného obhospodarovania podľa § 61 zákona č. 543/2002 Z. z.</w:t>
      </w:r>
      <w:r w:rsidR="00DA4B25" w:rsidRPr="00DA4B25" w:rsidDel="00245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9CEDC" w14:textId="77777777" w:rsidR="00946FB7" w:rsidRPr="00DA4B25" w:rsidRDefault="00946FB7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17A21" w14:textId="24E0974F" w:rsidR="00DA4B25" w:rsidRPr="00DA4B25" w:rsidRDefault="00DA4B25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Podkladom pre výpočet odhadu výšky </w:t>
      </w:r>
      <w:r w:rsidRPr="00DA4B25">
        <w:rPr>
          <w:rFonts w:ascii="Times New Roman" w:hAnsi="Times New Roman" w:cs="Times New Roman"/>
          <w:b/>
          <w:sz w:val="24"/>
          <w:szCs w:val="24"/>
          <w:lang w:eastAsia="sk-SK"/>
        </w:rPr>
        <w:t>finančnej náhrady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za obmedzenie bežného obhospodarovania bola aktuálna zásoba za konkrétny porast, vek a rastová fáza. Odhadovaná výška náhrady je stanovená na základe nariadenia vlády Slovenskej republiky č. 7/2014 Z. z. o podrobnostiach o obsahu žiadosti o vyplatenie finančnej náhrady, spôsobe výpočtu finančnej náhrady a spôsobe určenia výšky nájomného a výšky odplaty za zmluvnú starostlivosť pri náhradách za obmedzenie bežného obhospodarovania pozemku v znení neskorších predpisov, ako rozdiel</w:t>
      </w:r>
      <w:r w:rsidRPr="00DA4B25">
        <w:rPr>
          <w:rFonts w:ascii="Times New Roman" w:hAnsi="Times New Roman" w:cs="Times New Roman"/>
          <w:sz w:val="24"/>
          <w:szCs w:val="24"/>
        </w:rPr>
        <w:t xml:space="preserve"> celkových výnosov z ťažby dreva a nákladov ťažbovej činnosti (tzv. čistý zisk) za príslušný objem</w:t>
      </w:r>
      <w:r w:rsidRPr="00DA4B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4B25">
        <w:rPr>
          <w:rFonts w:ascii="Times New Roman" w:hAnsi="Times New Roman" w:cs="Times New Roman"/>
          <w:sz w:val="24"/>
          <w:szCs w:val="24"/>
        </w:rPr>
        <w:t>drevnej hmoty pri ťažbovom percente 10 %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>.  Postup výpočtu vychádzal z  predpokladu, že za 10 rokov sa vyťaží 10 % zo zásoby príslušného porastu, tak odhadovaná finančná náhrada predstavuje rozdiel priemernej ceny dreva za m</w:t>
      </w:r>
      <w:r w:rsidRPr="00DA4B25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(dub, buk, hrab, javor, jaseň, lipa – cena listnatého dreva surového) určeného Národným lesníckym centrom a zverejneného v Informačnom liste za 4. štvrťrok 2022 (</w:t>
      </w:r>
      <w:hyperlink r:id="rId12" w:history="1">
        <w:r w:rsidR="00B86EEC" w:rsidRPr="00120621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https://www.forestportal.sk/wp-content/uploads/2023/02/4q2022.pdf</w:t>
        </w:r>
      </w:hyperlink>
      <w:r w:rsidRPr="00DA4B25">
        <w:rPr>
          <w:rFonts w:ascii="Times New Roman" w:hAnsi="Times New Roman" w:cs="Times New Roman"/>
          <w:sz w:val="24"/>
          <w:szCs w:val="24"/>
          <w:lang w:eastAsia="sk-SK"/>
        </w:rPr>
        <w:t>), t.</w:t>
      </w:r>
      <w:r w:rsidR="003C70C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>j. 72,46 eur/m</w:t>
      </w:r>
      <w:r w:rsidRPr="00DA4B25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3 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>a odhadovaných nákladov na ťažbovú činnosť 20 eur/m</w:t>
      </w:r>
      <w:r w:rsidRPr="00DA4B25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3 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>, t.</w:t>
      </w:r>
      <w:r w:rsidR="003C70C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>j. 52,46 eur/m</w:t>
      </w:r>
      <w:r w:rsidRPr="00DA4B25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vynásobená príslušným objemom ťažby 10 % zo zásoby konkrétneho porastu. Presná výška náhrady bude stanovená znaleckým posudkom.</w:t>
      </w:r>
    </w:p>
    <w:p w14:paraId="0AD72447" w14:textId="77777777" w:rsidR="00DA4B25" w:rsidRPr="00DA4B25" w:rsidRDefault="00DA4B25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A976B91" w14:textId="2A2454BE" w:rsidR="00DA4B25" w:rsidRDefault="00DA4B25" w:rsidP="00667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73345">
        <w:rPr>
          <w:rFonts w:ascii="Times New Roman" w:hAnsi="Times New Roman" w:cs="Times New Roman"/>
          <w:sz w:val="24"/>
          <w:szCs w:val="24"/>
          <w:lang w:eastAsia="sk-SK"/>
        </w:rPr>
        <w:t xml:space="preserve">Pri subjekte Lesy Jasov </w:t>
      </w:r>
      <w:proofErr w:type="spellStart"/>
      <w:r w:rsidRPr="00C73345">
        <w:rPr>
          <w:rFonts w:ascii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C73345">
        <w:rPr>
          <w:rFonts w:ascii="Times New Roman" w:hAnsi="Times New Roman" w:cs="Times New Roman"/>
          <w:sz w:val="24"/>
          <w:szCs w:val="24"/>
          <w:lang w:eastAsia="sk-SK"/>
        </w:rPr>
        <w:t xml:space="preserve">. sa predpokladaná výška finančnej náhrady </w:t>
      </w:r>
      <w:r w:rsidR="00D72A60" w:rsidRPr="00C73345">
        <w:rPr>
          <w:rFonts w:ascii="Times New Roman" w:hAnsi="Times New Roman" w:cs="Times New Roman"/>
          <w:sz w:val="24"/>
          <w:szCs w:val="24"/>
          <w:lang w:eastAsia="sk-SK"/>
        </w:rPr>
        <w:t>stanovuje</w:t>
      </w:r>
      <w:r w:rsidRPr="00C73345">
        <w:rPr>
          <w:rFonts w:ascii="Times New Roman" w:hAnsi="Times New Roman" w:cs="Times New Roman"/>
          <w:sz w:val="24"/>
          <w:szCs w:val="24"/>
          <w:lang w:eastAsia="sk-SK"/>
        </w:rPr>
        <w:t xml:space="preserve"> podľa vypracovaného znaleckého posudku, ktorý bol zohľadnený pri už priznanej  finančnej náhrade (na základe rozhodnutia Okresného úradu Košice v sídle kraja).</w:t>
      </w:r>
      <w:r w:rsidR="00946FB7" w:rsidRPr="00C73345">
        <w:rPr>
          <w:rFonts w:ascii="Times New Roman" w:hAnsi="Times New Roman" w:cs="Times New Roman"/>
          <w:sz w:val="24"/>
          <w:szCs w:val="24"/>
          <w:lang w:eastAsia="sk-SK"/>
        </w:rPr>
        <w:t xml:space="preserve"> Uvedenému subjektu boli </w:t>
      </w:r>
      <w:r w:rsidR="00D72A60" w:rsidRPr="00C73345">
        <w:rPr>
          <w:rFonts w:ascii="Times New Roman" w:hAnsi="Times New Roman" w:cs="Times New Roman"/>
          <w:sz w:val="24"/>
          <w:szCs w:val="24"/>
          <w:lang w:eastAsia="sk-SK"/>
        </w:rPr>
        <w:t>za obmedzenie bežného obhospodarovania v území</w:t>
      </w:r>
      <w:r w:rsidR="00946FB7" w:rsidRPr="00C7334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6784D" w:rsidRPr="00C73345">
        <w:rPr>
          <w:rFonts w:ascii="Times New Roman" w:hAnsi="Times New Roman" w:cs="Times New Roman"/>
          <w:sz w:val="24"/>
          <w:szCs w:val="24"/>
          <w:lang w:eastAsia="sk-SK"/>
        </w:rPr>
        <w:t xml:space="preserve">národnej prírodnej rezervácie Jasovské dubiny </w:t>
      </w:r>
      <w:r w:rsidR="00946FB7" w:rsidRPr="00C73345">
        <w:rPr>
          <w:rFonts w:ascii="Times New Roman" w:hAnsi="Times New Roman" w:cs="Times New Roman"/>
          <w:sz w:val="24"/>
          <w:szCs w:val="24"/>
          <w:lang w:eastAsia="sk-SK"/>
        </w:rPr>
        <w:t>vyplatené náhrady v r.</w:t>
      </w:r>
      <w:r w:rsidR="009826F0" w:rsidRPr="00C7334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6784D" w:rsidRPr="00C73345">
        <w:rPr>
          <w:rFonts w:ascii="Times New Roman" w:hAnsi="Times New Roman" w:cs="Times New Roman"/>
          <w:sz w:val="24"/>
          <w:szCs w:val="24"/>
          <w:lang w:eastAsia="sk-SK"/>
        </w:rPr>
        <w:t>2016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6784D">
        <w:rPr>
          <w:rFonts w:ascii="Times New Roman" w:hAnsi="Times New Roman" w:cs="Times New Roman"/>
          <w:sz w:val="24"/>
          <w:szCs w:val="24"/>
          <w:lang w:eastAsia="sk-SK"/>
        </w:rPr>
        <w:t>vo výške 154 142,89 €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66784D">
        <w:rPr>
          <w:rFonts w:ascii="Times New Roman" w:hAnsi="Times New Roman" w:cs="Times New Roman"/>
          <w:sz w:val="24"/>
          <w:szCs w:val="24"/>
          <w:lang w:eastAsia="sk-SK"/>
        </w:rPr>
        <w:t xml:space="preserve"> v rokoch 2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>017</w:t>
      </w:r>
      <w:r w:rsidR="0066784D">
        <w:rPr>
          <w:rFonts w:ascii="Times New Roman" w:hAnsi="Times New Roman" w:cs="Times New Roman"/>
          <w:sz w:val="24"/>
          <w:szCs w:val="24"/>
          <w:lang w:eastAsia="sk-SK"/>
        </w:rPr>
        <w:t xml:space="preserve"> až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6784D">
        <w:rPr>
          <w:rFonts w:ascii="Times New Roman" w:hAnsi="Times New Roman" w:cs="Times New Roman"/>
          <w:sz w:val="24"/>
          <w:szCs w:val="24"/>
          <w:lang w:eastAsia="sk-SK"/>
        </w:rPr>
        <w:t>2021 vo výške 32 242,12 € za každý rok a v roku 2022 vo výške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 xml:space="preserve"> 61 184,61</w:t>
      </w:r>
      <w:r w:rsidR="0066784D">
        <w:rPr>
          <w:rFonts w:ascii="Times New Roman" w:hAnsi="Times New Roman" w:cs="Times New Roman"/>
          <w:sz w:val="24"/>
          <w:szCs w:val="24"/>
          <w:lang w:eastAsia="sk-SK"/>
        </w:rPr>
        <w:t xml:space="preserve"> €. V roku 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 xml:space="preserve">2023 </w:t>
      </w:r>
      <w:r w:rsidR="0066784D">
        <w:rPr>
          <w:rFonts w:ascii="Times New Roman" w:hAnsi="Times New Roman" w:cs="Times New Roman"/>
          <w:sz w:val="24"/>
          <w:szCs w:val="24"/>
          <w:lang w:eastAsia="sk-SK"/>
        </w:rPr>
        <w:t xml:space="preserve">bola subjektu Lesy Jasov </w:t>
      </w:r>
      <w:proofErr w:type="spellStart"/>
      <w:r w:rsidR="0066784D">
        <w:rPr>
          <w:rFonts w:ascii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="0066784D">
        <w:rPr>
          <w:rFonts w:ascii="Times New Roman" w:hAnsi="Times New Roman" w:cs="Times New Roman"/>
          <w:sz w:val="24"/>
          <w:szCs w:val="24"/>
          <w:lang w:eastAsia="sk-SK"/>
        </w:rPr>
        <w:t>. priznaná finančná náhrada vo výške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 xml:space="preserve"> 59</w:t>
      </w:r>
      <w:r w:rsidR="0066784D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>634</w:t>
      </w:r>
      <w:r w:rsidR="0066784D">
        <w:rPr>
          <w:rFonts w:ascii="Times New Roman" w:hAnsi="Times New Roman" w:cs="Times New Roman"/>
          <w:sz w:val="24"/>
          <w:szCs w:val="24"/>
          <w:lang w:eastAsia="sk-SK"/>
        </w:rPr>
        <w:t xml:space="preserve"> €</w:t>
      </w:r>
      <w:r w:rsidR="0066784D" w:rsidRPr="0066784D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1E068739" w14:textId="77777777" w:rsidR="00417AA3" w:rsidRDefault="00417AA3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B7E5EC2" w14:textId="625138A5" w:rsidR="00417AA3" w:rsidRPr="00DA4B25" w:rsidRDefault="00417AA3" w:rsidP="00417A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tabuľke č. 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3 je zoznam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neštátnych 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pozemkov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, ktoré sú v súčasnosti v 5. stupni ochrany a sú súčasťou navrhovanej zóny A. Dotknuté neštátne subjekty majú aj naďalej nárok na 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náhrad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za obmedzenie bežného obhospodarovania (</w:t>
      </w:r>
      <w:proofErr w:type="spellStart"/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bezzásah</w:t>
      </w:r>
      <w:proofErr w:type="spellEnd"/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to na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všetky formy náhrad (zámena, výkup, nájom, zmluvná starostlivosť, finančná náhrada).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Predkladateľ predpokladá finančnú náhradu. 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Prehľad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dotknutých 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neštátnych subjektov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je uvedený v tabuľke č. 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predpokladanou formou náhrady je finančná náhrada</w:t>
      </w:r>
      <w:r w:rsidRPr="00DA4B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A063C80" w14:textId="77777777" w:rsidR="00417AA3" w:rsidRPr="00DA4B25" w:rsidRDefault="00417AA3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C4BD671" w14:textId="3291840F" w:rsidR="00D060BB" w:rsidRDefault="00D060BB" w:rsidP="00D060BB">
      <w:pPr>
        <w:keepNext/>
        <w:spacing w:before="240" w:after="0"/>
        <w:rPr>
          <w:i/>
          <w:iCs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3</w:t>
      </w:r>
      <w:r w:rsidRPr="00167D3F">
        <w:t xml:space="preserve"> </w:t>
      </w:r>
      <w:r w:rsidRPr="00167D3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Zoznam pozemkov navrhovaných na riešenie náhrad za obmedzenie bežného obhospodarovania na neštátnych pozemkoch - </w:t>
      </w:r>
      <w:r w:rsidR="00984E5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navrhovaná </w:t>
      </w:r>
      <w:r w:rsidRPr="00167D3F">
        <w:rPr>
          <w:rFonts w:ascii="Times New Roman" w:eastAsia="Times New Roman" w:hAnsi="Times New Roman" w:cs="Times New Roman"/>
          <w:sz w:val="20"/>
          <w:szCs w:val="20"/>
          <w:lang w:eastAsia="sk-SK"/>
        </w:rPr>
        <w:t>zóna A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085"/>
        <w:gridCol w:w="709"/>
        <w:gridCol w:w="991"/>
        <w:gridCol w:w="849"/>
        <w:gridCol w:w="561"/>
        <w:gridCol w:w="1568"/>
        <w:gridCol w:w="992"/>
        <w:gridCol w:w="850"/>
        <w:gridCol w:w="863"/>
      </w:tblGrid>
      <w:tr w:rsidR="00D060BB" w:rsidRPr="0062219D" w14:paraId="70A76DCE" w14:textId="77777777" w:rsidTr="004567F0">
        <w:trPr>
          <w:trHeight w:val="630"/>
        </w:trPr>
        <w:tc>
          <w:tcPr>
            <w:tcW w:w="970" w:type="dxa"/>
            <w:shd w:val="clear" w:color="000000" w:fill="BFBFBF" w:themeFill="background1" w:themeFillShade="BF"/>
            <w:noWrap/>
            <w:vAlign w:val="center"/>
            <w:hideMark/>
          </w:tcPr>
          <w:p w14:paraId="246E5BA8" w14:textId="77777777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1085" w:type="dxa"/>
            <w:shd w:val="clear" w:color="000000" w:fill="BFBFBF" w:themeFill="background1" w:themeFillShade="BF"/>
            <w:vAlign w:val="center"/>
            <w:hideMark/>
          </w:tcPr>
          <w:p w14:paraId="38BF151F" w14:textId="77777777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katastrálne územie</w:t>
            </w:r>
          </w:p>
        </w:tc>
        <w:tc>
          <w:tcPr>
            <w:tcW w:w="709" w:type="dxa"/>
            <w:shd w:val="clear" w:color="000000" w:fill="BFBFBF" w:themeFill="background1" w:themeFillShade="BF"/>
            <w:vAlign w:val="center"/>
            <w:hideMark/>
          </w:tcPr>
          <w:p w14:paraId="159A1EFB" w14:textId="77777777" w:rsidR="00D060BB" w:rsidRPr="0062219D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parcela KN-C</w:t>
            </w:r>
          </w:p>
        </w:tc>
        <w:tc>
          <w:tcPr>
            <w:tcW w:w="991" w:type="dxa"/>
            <w:shd w:val="clear" w:color="000000" w:fill="BFBFBF" w:themeFill="background1" w:themeFillShade="BF"/>
            <w:vAlign w:val="center"/>
            <w:hideMark/>
          </w:tcPr>
          <w:p w14:paraId="54A3390E" w14:textId="77777777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druh pozemku</w:t>
            </w:r>
          </w:p>
        </w:tc>
        <w:tc>
          <w:tcPr>
            <w:tcW w:w="849" w:type="dxa"/>
            <w:shd w:val="clear" w:color="000000" w:fill="BFBFBF" w:themeFill="background1" w:themeFillShade="BF"/>
            <w:vAlign w:val="center"/>
          </w:tcPr>
          <w:p w14:paraId="14D0BEEE" w14:textId="5B66C6BC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000000" w:fill="BFBFBF" w:themeFill="background1" w:themeFillShade="BF"/>
            <w:vAlign w:val="center"/>
            <w:hideMark/>
          </w:tcPr>
          <w:p w14:paraId="27397911" w14:textId="77777777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číslo LV</w:t>
            </w:r>
          </w:p>
        </w:tc>
        <w:tc>
          <w:tcPr>
            <w:tcW w:w="1568" w:type="dxa"/>
            <w:shd w:val="clear" w:color="000000" w:fill="BFBFBF" w:themeFill="background1" w:themeFillShade="BF"/>
            <w:noWrap/>
            <w:vAlign w:val="center"/>
            <w:hideMark/>
          </w:tcPr>
          <w:p w14:paraId="62E65B63" w14:textId="77777777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vlastník</w:t>
            </w:r>
          </w:p>
        </w:tc>
        <w:tc>
          <w:tcPr>
            <w:tcW w:w="992" w:type="dxa"/>
            <w:shd w:val="clear" w:color="000000" w:fill="BFBFBF" w:themeFill="background1" w:themeFillShade="BF"/>
            <w:vAlign w:val="center"/>
            <w:hideMark/>
          </w:tcPr>
          <w:p w14:paraId="3A4CD97B" w14:textId="77777777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lesný celok</w:t>
            </w:r>
          </w:p>
        </w:tc>
        <w:tc>
          <w:tcPr>
            <w:tcW w:w="850" w:type="dxa"/>
            <w:shd w:val="clear" w:color="000000" w:fill="BFBFBF" w:themeFill="background1" w:themeFillShade="BF"/>
            <w:vAlign w:val="center"/>
            <w:hideMark/>
          </w:tcPr>
          <w:p w14:paraId="31400878" w14:textId="77777777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JPRL</w:t>
            </w:r>
          </w:p>
        </w:tc>
        <w:tc>
          <w:tcPr>
            <w:tcW w:w="863" w:type="dxa"/>
            <w:shd w:val="clear" w:color="000000" w:fill="BFBFBF" w:themeFill="background1" w:themeFillShade="BF"/>
            <w:noWrap/>
            <w:vAlign w:val="center"/>
            <w:hideMark/>
          </w:tcPr>
          <w:p w14:paraId="0091B3B2" w14:textId="77777777" w:rsidR="00D060BB" w:rsidRPr="0062219D" w:rsidRDefault="00D060BB" w:rsidP="006279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2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forma náhrady</w:t>
            </w:r>
          </w:p>
        </w:tc>
      </w:tr>
      <w:tr w:rsidR="00D060BB" w:rsidRPr="00167D3F" w14:paraId="44A26981" w14:textId="77777777" w:rsidTr="004567F0">
        <w:trPr>
          <w:trHeight w:val="449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622C763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5EC0F80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F7CD4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1092/1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5C8BFBF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14EB370" w14:textId="10E302AD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3468EB4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04DD600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B9497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Plešivec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44A6D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1237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AC2221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7F467AF5" w14:textId="77777777" w:rsidTr="004567F0">
        <w:trPr>
          <w:trHeight w:val="401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25B6469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5CBEE8B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1C65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1092/1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3052AAA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E68D713" w14:textId="6FEA5B4B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70FE605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47F819D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405418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AE9BE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 časť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D9F9C9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6C92AF54" w14:textId="77777777" w:rsidTr="004567F0">
        <w:trPr>
          <w:trHeight w:val="494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4DE7F4C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56A54B6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9BC1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0DC11E1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AB1AA3" w14:textId="0CBD5225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329BC59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232B9A1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C2623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3E5189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7CADD2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5AE6CE46" w14:textId="77777777" w:rsidTr="004567F0">
        <w:trPr>
          <w:trHeight w:val="319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525D100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573C55E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B745D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1078/1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51FF56A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BABD65A" w14:textId="56051FB2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A4B0F71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4C9C263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73B0E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555C7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7C9FC7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5E675A47" w14:textId="77777777" w:rsidTr="004567F0">
        <w:trPr>
          <w:trHeight w:val="489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63842EF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610B9EC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68C8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62DA3A9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9076084" w14:textId="1D9DC9BB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B0E8CBB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5839C789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A8B84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B31A2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BFFC64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1E188B78" w14:textId="77777777" w:rsidTr="004567F0">
        <w:trPr>
          <w:trHeight w:val="441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3DFF3B9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039F16D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3BBB9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1091/1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5397DA3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39AFB00" w14:textId="4950CB26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B9BD702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549467C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5E277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1CE8D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71CFCB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2162ED23" w14:textId="77777777" w:rsidTr="004567F0">
        <w:trPr>
          <w:trHeight w:val="500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2EAB45E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7BA5511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248C3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6524D28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AC909B" w14:textId="3B8E3DD5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73459D0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7E66295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04C27C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9FA46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B7422A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623564D4" w14:textId="77777777" w:rsidTr="004567F0">
        <w:trPr>
          <w:trHeight w:val="418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6B302A9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31DE9249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9ED39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6228E06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351233" w14:textId="5AE6E3BA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0081F5E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02A8481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E3813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DFE39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E29BC9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283C78BF" w14:textId="77777777" w:rsidTr="004567F0">
        <w:trPr>
          <w:trHeight w:val="371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356A0B5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404282F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62C1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4BF5842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4DCCA28" w14:textId="66BB3E1F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45441428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5FC6222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18903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61D00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F77211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176B36D5" w14:textId="77777777" w:rsidTr="004567F0">
        <w:trPr>
          <w:trHeight w:val="431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32F0FC9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6218334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75257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0A2BB9F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8A5A93" w14:textId="384B062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38C1A06E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77346C6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30BB5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8EAF9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DF2672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3B063C11" w14:textId="77777777" w:rsidTr="004567F0">
        <w:trPr>
          <w:trHeight w:val="443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072334B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6CA91D5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D6EDB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1091/2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066B5DC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FF96745" w14:textId="3137C64F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7DFBA2F2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39A718C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6F1FC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21FA3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 časť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68803C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32942E0F" w14:textId="77777777" w:rsidTr="004567F0">
        <w:trPr>
          <w:trHeight w:val="441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793B304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6EB87819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E4429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1092/2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10DC00F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31DB03C" w14:textId="43BF8AC2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4FEE9F5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42620EA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6D914C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FEF6A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 časť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0492EC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66EBB05B" w14:textId="77777777" w:rsidTr="004567F0">
        <w:trPr>
          <w:trHeight w:val="614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79B7BDE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18FD399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Drienovec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5F97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479/7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259128B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CD4F649" w14:textId="263B07F3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0F932A0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773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1317F16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Rímskokatolícka cirkev Biskupstvo Rožňava, </w:t>
            </w:r>
            <w:proofErr w:type="spellStart"/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Nám.Baníkov</w:t>
            </w:r>
            <w:proofErr w:type="spellEnd"/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20, Rožňava, PSČ 048 01, SR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93D42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Zvyšok JMPŠ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3DD12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450, 451, 453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08E875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3FC496B7" w14:textId="77777777" w:rsidTr="004567F0">
        <w:trPr>
          <w:trHeight w:val="479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7AD98E6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07386B6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Honce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7DC0A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6554F699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785384F" w14:textId="41ACB61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CCDD152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1EE3E71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2649C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EA50D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249, 254, 255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B2CC66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708C2A32" w14:textId="77777777" w:rsidTr="004567F0">
        <w:trPr>
          <w:trHeight w:val="484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73D6CBE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1258A26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Jasov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5B0249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1289/1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5773A58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AA2F5F5" w14:textId="19D26EC5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8C2626A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1501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44464F0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Rád premonštrátov - Opátstvo Jasov, Podzámok 166/28, Jasov, PSČ 044 23, SR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51B2A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Lesy Jasov </w:t>
            </w:r>
            <w:proofErr w:type="spellStart"/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40847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523 časť, 524, 525, 534 časť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326BF7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73247993" w14:textId="77777777" w:rsidTr="004567F0">
        <w:trPr>
          <w:trHeight w:val="293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4C3BA49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Košice-okolie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272537C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Jasov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DA873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1250/2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2F83323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72A0F8B" w14:textId="38F029F3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03A31DBE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1501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23B8B82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Rád premonštrátov - Opátstvo Jasov, Podzámok 166/28, Jasov, PSČ 044 23, SR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7C5CA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Lesy Jasov </w:t>
            </w:r>
            <w:proofErr w:type="spellStart"/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FB088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283BE3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19C0EA34" w14:textId="77777777" w:rsidTr="004567F0">
        <w:trPr>
          <w:trHeight w:val="397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5958EE7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43C0509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Rožňavské Bystré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DFE3F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7F39E01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A5685E7" w14:textId="70861376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145BEDED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25C34C0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4790F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911BF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158, 159 časť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DEA8A1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29260D91" w14:textId="77777777" w:rsidTr="004567F0">
        <w:trPr>
          <w:trHeight w:val="441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18E58FC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39CA8D2E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Plešivec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96F22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1834/1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7BD4B73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853B74" w14:textId="62A57AF2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446AAD4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3614711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44472B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Plešivec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6B0A1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547, 562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46F33E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6859EE02" w14:textId="77777777" w:rsidTr="004567F0">
        <w:trPr>
          <w:trHeight w:val="491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33E32A7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2CE04F2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Rožňavské Bystré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948A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7A76404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8CFAC7" w14:textId="016A711B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2C7D5812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5FA871B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1F8F1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C21B4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E9C9701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479818CF" w14:textId="77777777" w:rsidTr="004567F0">
        <w:trPr>
          <w:trHeight w:val="443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5D0CAB1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4A0CDF4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Rožňavské Bystré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DC68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591559C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321ADD0" w14:textId="6B81CE74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E15D6D5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06DF9428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A436FC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Brzotín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246723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159 časť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4795598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  <w:tr w:rsidR="00D060BB" w:rsidRPr="00167D3F" w14:paraId="530C6D19" w14:textId="77777777" w:rsidTr="004567F0">
        <w:trPr>
          <w:trHeight w:val="679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30FCA0B5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66ADFB9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Rožňavské Bystré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9AE19F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3FCE68F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9D2A76" w14:textId="6DDA3A71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6472D831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24DCBC39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32DAA2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E66786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71E5E1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nájom</w:t>
            </w:r>
          </w:p>
        </w:tc>
      </w:tr>
      <w:tr w:rsidR="00D060BB" w:rsidRPr="00167D3F" w14:paraId="542B083E" w14:textId="77777777" w:rsidTr="004567F0">
        <w:trPr>
          <w:trHeight w:val="419"/>
        </w:trPr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1EC242A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14:paraId="1D82FF92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Slavec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338CA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460/1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14:paraId="3BF6726D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8909FA7" w14:textId="6800E1A2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14:paraId="5F49C4A0" w14:textId="77777777" w:rsidR="00D060BB" w:rsidRPr="00167D3F" w:rsidRDefault="00D060BB" w:rsidP="006279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8" w:type="dxa"/>
            <w:shd w:val="clear" w:color="auto" w:fill="auto"/>
            <w:vAlign w:val="bottom"/>
            <w:hideMark/>
          </w:tcPr>
          <w:p w14:paraId="2C090AD0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založeného listu vlastníctva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F09B7C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Plešivec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89E0A7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181, 191, 192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27C4334" w14:textId="77777777" w:rsidR="00D060BB" w:rsidRPr="00167D3F" w:rsidRDefault="00D060BB" w:rsidP="00627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finančná náhrada</w:t>
            </w:r>
          </w:p>
        </w:tc>
      </w:tr>
    </w:tbl>
    <w:p w14:paraId="11E81103" w14:textId="77777777" w:rsidR="00D060BB" w:rsidRPr="00DA4B25" w:rsidRDefault="00D060BB" w:rsidP="00D06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7901D" w14:textId="77777777" w:rsidR="00DA4B25" w:rsidRPr="00C73345" w:rsidRDefault="0062219D" w:rsidP="00167D3F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Tabuľka č. 4</w:t>
      </w:r>
      <w:r w:rsidR="00167D3F" w:rsidRPr="00C7334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167D3F" w:rsidRPr="00167D3F">
        <w:rPr>
          <w:rFonts w:ascii="Times New Roman" w:eastAsia="Times New Roman" w:hAnsi="Times New Roman" w:cs="Times New Roman"/>
          <w:sz w:val="20"/>
          <w:szCs w:val="20"/>
          <w:lang w:eastAsia="sk-SK"/>
        </w:rPr>
        <w:t>Prehľad neštátnych obhospodarovateľov lesa s</w:t>
      </w:r>
      <w:r w:rsidR="00D060B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167D3F" w:rsidRPr="00167D3F">
        <w:rPr>
          <w:rFonts w:ascii="Times New Roman" w:eastAsia="Times New Roman" w:hAnsi="Times New Roman" w:cs="Times New Roman"/>
          <w:sz w:val="20"/>
          <w:szCs w:val="20"/>
          <w:lang w:eastAsia="sk-SK"/>
        </w:rPr>
        <w:t>riešením náhrad za obmedzenie bežného obhospodarovania formou finančnej náhrady</w:t>
      </w:r>
      <w:r w:rsidR="00167D3F" w:rsidRPr="00C7334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5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3686"/>
        <w:gridCol w:w="1781"/>
      </w:tblGrid>
      <w:tr w:rsidR="00B86EEC" w:rsidRPr="00B86EEC" w14:paraId="35AE65AC" w14:textId="77777777" w:rsidTr="00B86EEC">
        <w:trPr>
          <w:trHeight w:val="890"/>
          <w:jc w:val="right"/>
        </w:trPr>
        <w:tc>
          <w:tcPr>
            <w:tcW w:w="3119" w:type="dxa"/>
            <w:shd w:val="clear" w:color="000000" w:fill="BFBFBF" w:themeFill="background1" w:themeFillShade="BF"/>
            <w:noWrap/>
            <w:vAlign w:val="center"/>
            <w:hideMark/>
          </w:tcPr>
          <w:p w14:paraId="52808DFD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Obhospodarovateľ lesa</w:t>
            </w:r>
          </w:p>
        </w:tc>
        <w:tc>
          <w:tcPr>
            <w:tcW w:w="992" w:type="dxa"/>
            <w:shd w:val="clear" w:color="000000" w:fill="BFBFBF" w:themeFill="background1" w:themeFillShade="BF"/>
            <w:vAlign w:val="center"/>
            <w:hideMark/>
          </w:tcPr>
          <w:p w14:paraId="28D3FAA7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Výmera JPRL v A zóne (ha)</w:t>
            </w:r>
          </w:p>
        </w:tc>
        <w:tc>
          <w:tcPr>
            <w:tcW w:w="3686" w:type="dxa"/>
            <w:shd w:val="clear" w:color="000000" w:fill="BFBFBF" w:themeFill="background1" w:themeFillShade="BF"/>
            <w:vAlign w:val="center"/>
            <w:hideMark/>
          </w:tcPr>
          <w:p w14:paraId="6743A70A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Predpokladaná výška finančnej náhrady na obdobie </w:t>
            </w:r>
            <w:proofErr w:type="spellStart"/>
            <w:r w:rsidRPr="00B8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PSoL</w:t>
            </w:r>
            <w:proofErr w:type="spellEnd"/>
            <w:r w:rsidRPr="00B8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pri ťažbovom percente 10 % (€) pri priem. nákladoch na ťažbu 20 €/m</w:t>
            </w:r>
            <w:r w:rsidRPr="00B86EE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B8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 priem. cenách dreva za rok 2022*</w:t>
            </w:r>
          </w:p>
        </w:tc>
        <w:tc>
          <w:tcPr>
            <w:tcW w:w="1781" w:type="dxa"/>
            <w:shd w:val="clear" w:color="000000" w:fill="BFBFBF" w:themeFill="background1" w:themeFillShade="BF"/>
            <w:vAlign w:val="center"/>
            <w:hideMark/>
          </w:tcPr>
          <w:p w14:paraId="296C2AB0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Predpokladaná výška finančnej náhrady na 1 rok (€)</w:t>
            </w:r>
          </w:p>
        </w:tc>
      </w:tr>
      <w:tr w:rsidR="00DA4B25" w:rsidRPr="00167D3F" w14:paraId="49C54A7D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7F591D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Urbárske a pasienkové pozemkové spoločenstvo Rožňavské Bystré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AA15F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11.93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F5DB2D2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16745.23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08A1FF21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1674.52</w:t>
            </w:r>
          </w:p>
        </w:tc>
      </w:tr>
      <w:tr w:rsidR="00DA4B25" w:rsidRPr="00167D3F" w14:paraId="24E55D85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0C76B69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Pôschové</w:t>
            </w:r>
            <w:proofErr w:type="spellEnd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pozemkové spoločenstvo Brzotín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0785A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62.14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EC61367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116592.35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5FE30FE3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11659.24</w:t>
            </w:r>
          </w:p>
        </w:tc>
      </w:tr>
      <w:tr w:rsidR="00DA4B25" w:rsidRPr="00167D3F" w14:paraId="177E2782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4179EE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Ceter</w:t>
            </w:r>
            <w:proofErr w:type="spellEnd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s.r.o</w:t>
            </w:r>
            <w:proofErr w:type="spellEnd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F654C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B0DD32C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91070.56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5C6B3286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9107.06</w:t>
            </w:r>
          </w:p>
        </w:tc>
      </w:tr>
      <w:tr w:rsidR="00DA4B25" w:rsidRPr="00167D3F" w14:paraId="3664996C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BE5E1F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Lesy Jasov, </w:t>
            </w:r>
            <w:proofErr w:type="spellStart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s.r.o</w:t>
            </w:r>
            <w:proofErr w:type="spellEnd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DB86E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35.49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40946C0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455970.28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02EC1815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45597.03</w:t>
            </w:r>
          </w:p>
        </w:tc>
      </w:tr>
      <w:tr w:rsidR="00DA4B25" w:rsidRPr="00167D3F" w14:paraId="673B4FDD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5E9C21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Združenie lesných spoločností, PS Honce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86AF0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64B67EE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27976.92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55DF0122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2797.69</w:t>
            </w:r>
          </w:p>
        </w:tc>
      </w:tr>
      <w:tr w:rsidR="00DA4B25" w:rsidRPr="00167D3F" w14:paraId="4D529B87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973BB4E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Pozemkové spoločenstvo urbariát - </w:t>
            </w:r>
            <w:proofErr w:type="spellStart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Kónyárt</w:t>
            </w:r>
            <w:proofErr w:type="spellEnd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Plešivec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E5A05D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100.06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F45E161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70217.71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16E43F07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7021.77</w:t>
            </w:r>
          </w:p>
        </w:tc>
      </w:tr>
      <w:tr w:rsidR="00DA4B25" w:rsidRPr="00167D3F" w14:paraId="5B4ED3E1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525556B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Urbárne</w:t>
            </w:r>
            <w:proofErr w:type="spellEnd"/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pasienkové pozemkové spoločenstvo Brzotín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ADFBC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130.42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775FE7F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160475.14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4B127C0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16047.51</w:t>
            </w:r>
          </w:p>
        </w:tc>
      </w:tr>
      <w:tr w:rsidR="00DA4B25" w:rsidRPr="00167D3F" w14:paraId="4B853916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A23447D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Lesné a pasienkové pozemkové spoločenstvo Slavec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0762E0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148.61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46901C4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146641.41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5B75A69A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14664.14</w:t>
            </w:r>
          </w:p>
        </w:tc>
      </w:tr>
      <w:tr w:rsidR="00DA4B25" w:rsidRPr="00167D3F" w14:paraId="1CD88175" w14:textId="77777777" w:rsidTr="00B86EEC">
        <w:trPr>
          <w:trHeight w:val="300"/>
          <w:jc w:val="right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0EBE459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A3FEA1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593.34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26C273A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1085689.60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2A29B383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7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108568.96</w:t>
            </w:r>
          </w:p>
        </w:tc>
      </w:tr>
    </w:tbl>
    <w:p w14:paraId="38EB2951" w14:textId="721D376F" w:rsidR="00DA4B25" w:rsidRPr="00167D3F" w:rsidRDefault="00DA4B25" w:rsidP="00DA4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67D3F">
        <w:rPr>
          <w:rFonts w:ascii="Times New Roman" w:hAnsi="Times New Roman" w:cs="Times New Roman"/>
          <w:b/>
          <w:sz w:val="20"/>
          <w:szCs w:val="24"/>
        </w:rPr>
        <w:t>*</w:t>
      </w:r>
      <w:r w:rsidRPr="00167D3F">
        <w:rPr>
          <w:rFonts w:ascii="Times New Roman" w:hAnsi="Times New Roman" w:cs="Times New Roman"/>
          <w:sz w:val="20"/>
          <w:szCs w:val="24"/>
        </w:rPr>
        <w:t xml:space="preserve">   Skutočná výška náhrady sa môže líšiť od predpokladanej</w:t>
      </w:r>
      <w:r w:rsidR="00E414F7">
        <w:rPr>
          <w:rFonts w:ascii="Times New Roman" w:hAnsi="Times New Roman" w:cs="Times New Roman"/>
          <w:sz w:val="20"/>
          <w:szCs w:val="24"/>
        </w:rPr>
        <w:t>, nakoľko táto je určená znaleckým posudkom</w:t>
      </w:r>
      <w:r w:rsidRPr="00167D3F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309CCAAA" w14:textId="04DCE2F1" w:rsidR="00DA4B25" w:rsidRPr="00167D3F" w:rsidRDefault="00DA4B25" w:rsidP="00DA4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67D3F">
        <w:rPr>
          <w:rFonts w:ascii="Times New Roman" w:hAnsi="Times New Roman" w:cs="Times New Roman"/>
          <w:sz w:val="20"/>
          <w:szCs w:val="24"/>
        </w:rPr>
        <w:t>**  Pri tomto subjekte je uvedená skutočná finančná náhrada stanovená znalcom, keďže o finančnú náhradu už bolo požiadané a za roky 2021 a 2022 bola priznaná na základe rozhodnutia okresného úradu v</w:t>
      </w:r>
      <w:r w:rsidR="001569C3">
        <w:rPr>
          <w:rFonts w:ascii="Times New Roman" w:hAnsi="Times New Roman" w:cs="Times New Roman"/>
          <w:sz w:val="20"/>
          <w:szCs w:val="24"/>
        </w:rPr>
        <w:t> </w:t>
      </w:r>
      <w:r w:rsidRPr="00FB4AA3">
        <w:rPr>
          <w:rFonts w:ascii="Times New Roman" w:hAnsi="Times New Roman" w:cs="Times New Roman"/>
          <w:sz w:val="20"/>
          <w:szCs w:val="24"/>
        </w:rPr>
        <w:t>sídle</w:t>
      </w:r>
      <w:r w:rsidR="001569C3" w:rsidRPr="00FB4AA3">
        <w:rPr>
          <w:rFonts w:ascii="Times New Roman" w:hAnsi="Times New Roman" w:cs="Times New Roman"/>
          <w:sz w:val="20"/>
          <w:szCs w:val="24"/>
        </w:rPr>
        <w:t xml:space="preserve"> kraja</w:t>
      </w:r>
      <w:r w:rsidRPr="00FB4AA3">
        <w:rPr>
          <w:rFonts w:ascii="Times New Roman" w:hAnsi="Times New Roman" w:cs="Times New Roman"/>
          <w:sz w:val="20"/>
          <w:szCs w:val="24"/>
        </w:rPr>
        <w:t>.</w:t>
      </w:r>
    </w:p>
    <w:p w14:paraId="0A17A51E" w14:textId="77777777" w:rsidR="00DA4B25" w:rsidRPr="00DA4B25" w:rsidRDefault="00DA4B25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8261CB5" w14:textId="2041449F" w:rsidR="00DA4B25" w:rsidRPr="00DA4B25" w:rsidRDefault="00DA4B25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b/>
          <w:sz w:val="24"/>
          <w:szCs w:val="24"/>
          <w:u w:val="single"/>
        </w:rPr>
        <w:t>Finančná náhrada</w:t>
      </w:r>
      <w:r w:rsidRPr="00DA4B25">
        <w:rPr>
          <w:rFonts w:ascii="Times New Roman" w:hAnsi="Times New Roman" w:cs="Times New Roman"/>
          <w:sz w:val="24"/>
          <w:szCs w:val="24"/>
        </w:rPr>
        <w:t xml:space="preserve"> je </w:t>
      </w:r>
      <w:r w:rsidRPr="00DA4B25">
        <w:rPr>
          <w:rFonts w:ascii="Times New Roman" w:hAnsi="Times New Roman" w:cs="Times New Roman"/>
          <w:b/>
          <w:sz w:val="24"/>
          <w:szCs w:val="24"/>
        </w:rPr>
        <w:t>v prípade neštátnych subjektov</w:t>
      </w:r>
      <w:r w:rsidRPr="00DA4B25">
        <w:rPr>
          <w:rFonts w:ascii="Times New Roman" w:hAnsi="Times New Roman" w:cs="Times New Roman"/>
          <w:sz w:val="24"/>
          <w:szCs w:val="24"/>
        </w:rPr>
        <w:t xml:space="preserve"> (§ 61e, ods. 4 písm. b) a c) zákona č. 543/2002 Z. z.) </w:t>
      </w:r>
      <w:r w:rsidR="00C73345">
        <w:rPr>
          <w:rFonts w:ascii="Times New Roman" w:hAnsi="Times New Roman" w:cs="Times New Roman"/>
          <w:sz w:val="24"/>
          <w:szCs w:val="24"/>
        </w:rPr>
        <w:t xml:space="preserve">vyčíslená na </w:t>
      </w:r>
      <w:r w:rsidRPr="00E33337">
        <w:rPr>
          <w:rFonts w:ascii="Times New Roman" w:hAnsi="Times New Roman" w:cs="Times New Roman"/>
          <w:b/>
          <w:sz w:val="24"/>
          <w:szCs w:val="24"/>
        </w:rPr>
        <w:t>108 568,96</w:t>
      </w:r>
      <w:r w:rsidRPr="00DA4B25">
        <w:rPr>
          <w:rFonts w:ascii="Times New Roman" w:hAnsi="Times New Roman" w:cs="Times New Roman"/>
          <w:b/>
          <w:sz w:val="24"/>
          <w:szCs w:val="24"/>
        </w:rPr>
        <w:t xml:space="preserve"> € ročne</w:t>
      </w:r>
      <w:r w:rsidR="003C70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70CD">
        <w:rPr>
          <w:rFonts w:ascii="Times New Roman" w:hAnsi="Times New Roman" w:cs="Times New Roman"/>
          <w:sz w:val="24"/>
          <w:szCs w:val="24"/>
        </w:rPr>
        <w:t>I</w:t>
      </w:r>
      <w:r w:rsidRPr="00DA4B25">
        <w:rPr>
          <w:rFonts w:ascii="Times New Roman" w:hAnsi="Times New Roman" w:cs="Times New Roman"/>
          <w:sz w:val="24"/>
          <w:szCs w:val="24"/>
        </w:rPr>
        <w:t xml:space="preserve">de o  </w:t>
      </w:r>
      <w:r w:rsidR="003C70CD">
        <w:rPr>
          <w:rFonts w:ascii="Times New Roman" w:hAnsi="Times New Roman" w:cs="Times New Roman"/>
          <w:sz w:val="24"/>
          <w:szCs w:val="24"/>
        </w:rPr>
        <w:t xml:space="preserve">- </w:t>
      </w:r>
      <w:r w:rsidRPr="00DA4B25">
        <w:rPr>
          <w:rFonts w:ascii="Times New Roman" w:hAnsi="Times New Roman" w:cs="Times New Roman"/>
          <w:sz w:val="24"/>
          <w:szCs w:val="24"/>
        </w:rPr>
        <w:t xml:space="preserve">odhad predpokladanej výšky náhrady upravený podľa vyššie uvedeného </w:t>
      </w:r>
      <w:r w:rsidR="003C70CD">
        <w:rPr>
          <w:rFonts w:ascii="Times New Roman" w:hAnsi="Times New Roman" w:cs="Times New Roman"/>
          <w:sz w:val="24"/>
          <w:szCs w:val="24"/>
        </w:rPr>
        <w:t xml:space="preserve">výpočtu a </w:t>
      </w:r>
      <w:r w:rsidRPr="00DA4B25">
        <w:rPr>
          <w:rFonts w:ascii="Times New Roman" w:hAnsi="Times New Roman" w:cs="Times New Roman"/>
          <w:sz w:val="24"/>
          <w:szCs w:val="24"/>
        </w:rPr>
        <w:t>cenníka Národného lesníckeho centra (</w:t>
      </w:r>
      <w:r w:rsidR="003C70CD" w:rsidRPr="00DA4B25">
        <w:rPr>
          <w:rFonts w:ascii="Times New Roman" w:hAnsi="Times New Roman" w:cs="Times New Roman"/>
          <w:sz w:val="24"/>
          <w:szCs w:val="24"/>
        </w:rPr>
        <w:t>v projekte ochrany bo</w:t>
      </w:r>
      <w:r w:rsidR="003C70CD">
        <w:rPr>
          <w:rFonts w:ascii="Times New Roman" w:hAnsi="Times New Roman" w:cs="Times New Roman"/>
          <w:sz w:val="24"/>
          <w:szCs w:val="24"/>
        </w:rPr>
        <w:t xml:space="preserve">l </w:t>
      </w:r>
      <w:r w:rsidRPr="00DA4B25">
        <w:rPr>
          <w:rFonts w:ascii="Times New Roman" w:hAnsi="Times New Roman" w:cs="Times New Roman"/>
          <w:sz w:val="24"/>
          <w:szCs w:val="24"/>
        </w:rPr>
        <w:t xml:space="preserve">pôvodne uvedený odhad  </w:t>
      </w:r>
      <w:r w:rsidRPr="00DA4B25">
        <w:rPr>
          <w:rFonts w:ascii="Times New Roman" w:hAnsi="Times New Roman" w:cs="Times New Roman"/>
          <w:b/>
          <w:sz w:val="24"/>
          <w:szCs w:val="24"/>
        </w:rPr>
        <w:t>83 794,10</w:t>
      </w:r>
      <w:r w:rsidRPr="00DA4B25">
        <w:rPr>
          <w:rFonts w:ascii="Times New Roman" w:hAnsi="Times New Roman" w:cs="Times New Roman"/>
          <w:sz w:val="24"/>
          <w:szCs w:val="24"/>
        </w:rPr>
        <w:t xml:space="preserve"> </w:t>
      </w:r>
      <w:r w:rsidRPr="00DA4B25">
        <w:rPr>
          <w:rFonts w:ascii="Times New Roman" w:hAnsi="Times New Roman" w:cs="Times New Roman"/>
          <w:b/>
          <w:sz w:val="24"/>
          <w:szCs w:val="24"/>
        </w:rPr>
        <w:t>€ ročne).</w:t>
      </w:r>
      <w:r w:rsidRPr="00DA4B25">
        <w:rPr>
          <w:rFonts w:ascii="Times New Roman" w:hAnsi="Times New Roman" w:cs="Times New Roman"/>
          <w:sz w:val="24"/>
          <w:szCs w:val="24"/>
        </w:rPr>
        <w:t xml:space="preserve"> </w:t>
      </w:r>
      <w:r w:rsidR="00C73345" w:rsidRPr="00DA4B25">
        <w:rPr>
          <w:rFonts w:ascii="Times New Roman" w:hAnsi="Times New Roman" w:cs="Times New Roman"/>
          <w:sz w:val="24"/>
          <w:szCs w:val="24"/>
        </w:rPr>
        <w:t xml:space="preserve">Súčasne je potrebné uviesť, že </w:t>
      </w:r>
      <w:r w:rsidR="00C73345" w:rsidRPr="00DA4B25">
        <w:rPr>
          <w:rFonts w:ascii="Times New Roman" w:hAnsi="Times New Roman" w:cs="Times New Roman"/>
          <w:b/>
          <w:sz w:val="24"/>
          <w:szCs w:val="24"/>
        </w:rPr>
        <w:t xml:space="preserve">návrhom </w:t>
      </w:r>
      <w:proofErr w:type="spellStart"/>
      <w:r w:rsidR="00C73345" w:rsidRPr="00DA4B25">
        <w:rPr>
          <w:rFonts w:ascii="Times New Roman" w:hAnsi="Times New Roman" w:cs="Times New Roman"/>
          <w:b/>
          <w:sz w:val="24"/>
          <w:szCs w:val="24"/>
        </w:rPr>
        <w:t>zonácie</w:t>
      </w:r>
      <w:proofErr w:type="spellEnd"/>
      <w:r w:rsidR="00C73345" w:rsidRPr="00DA4B25">
        <w:rPr>
          <w:rFonts w:ascii="Times New Roman" w:hAnsi="Times New Roman" w:cs="Times New Roman"/>
          <w:b/>
          <w:sz w:val="24"/>
          <w:szCs w:val="24"/>
        </w:rPr>
        <w:t xml:space="preserve"> nedochádza k navýšeniu 5. stupňa ochrany u neštátnych subjektov, t. j. nedochádza k obmedzeniu oproti súčasnému právnemu stavu</w:t>
      </w:r>
      <w:r w:rsidR="00C73345">
        <w:rPr>
          <w:rFonts w:ascii="Times New Roman" w:hAnsi="Times New Roman" w:cs="Times New Roman"/>
          <w:b/>
          <w:sz w:val="24"/>
          <w:szCs w:val="24"/>
        </w:rPr>
        <w:t xml:space="preserve"> a preto uvedené finančné prostriedky nie sú uvádzané v tab. č. 1</w:t>
      </w:r>
      <w:r w:rsidR="00C73345" w:rsidRPr="00DA4B25">
        <w:rPr>
          <w:rFonts w:ascii="Times New Roman" w:hAnsi="Times New Roman" w:cs="Times New Roman"/>
          <w:b/>
          <w:sz w:val="24"/>
          <w:szCs w:val="24"/>
        </w:rPr>
        <w:t>.</w:t>
      </w:r>
      <w:r w:rsidR="00C73345" w:rsidRPr="00DA4B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28170E" w14:textId="77777777" w:rsidR="00DA4B25" w:rsidRPr="00DA4B25" w:rsidRDefault="00DA4B25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962FC" w14:textId="535E4BF6" w:rsidR="00DA4B25" w:rsidRPr="00C73345" w:rsidRDefault="00DA4B25" w:rsidP="00DA4B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2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Na náhradu za obmedzenie bežného obhospodarovania má nárok aj správca štátnych pozemkov v navrhovanej zóne A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  (§ 61e) ods. 4 zákona 543/2002 Z. z. ) </w:t>
      </w:r>
      <w:r w:rsidRPr="00DA4B2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pre územie o výmere 7 962,68 ha. </w:t>
      </w:r>
      <w:r w:rsidR="008C493A">
        <w:rPr>
          <w:rFonts w:ascii="Times New Roman" w:hAnsi="Times New Roman" w:cs="Times New Roman"/>
          <w:bCs/>
          <w:sz w:val="24"/>
          <w:szCs w:val="24"/>
          <w:lang w:eastAsia="sk-SK"/>
        </w:rPr>
        <w:t>N</w:t>
      </w:r>
      <w:r w:rsidRPr="00DA4B2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avrhované </w:t>
      </w:r>
      <w:r w:rsidRPr="00DA4B2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rozšírenie 5. stupňa ochrany (zóny A) na štátnych pozemkoch</w:t>
      </w:r>
      <w:r w:rsidR="008C493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C493A" w:rsidRPr="008C493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v správe Lesov SR, </w:t>
      </w:r>
      <w:proofErr w:type="spellStart"/>
      <w:r w:rsidR="008C493A" w:rsidRPr="008C493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š.p</w:t>
      </w:r>
      <w:proofErr w:type="spellEnd"/>
      <w:r w:rsidR="008C493A" w:rsidRPr="008C493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. sa týka výmery 6194,57 ha, z toho lesné porasty tvoria 6049,33 ha. Zvyšok tvoria </w:t>
      </w:r>
      <w:proofErr w:type="spellStart"/>
      <w:r w:rsidR="008C493A" w:rsidRPr="008C493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neporastové</w:t>
      </w:r>
      <w:proofErr w:type="spellEnd"/>
      <w:r w:rsidR="008C493A" w:rsidRPr="008C493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plochy bez plánovanej ťažby dreva</w:t>
      </w:r>
      <w:r w:rsidRPr="00DA4B2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Pr="00DA4B2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Náhrada bola </w:t>
      </w:r>
      <w:r w:rsidRPr="00DA4B2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vyčíslená na 1 127 849,92 €/rok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(odhadovaná priemerná výška náhrady 141,64 </w:t>
      </w:r>
      <w:r w:rsidRPr="00DA4B2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€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/ha/rok). </w:t>
      </w:r>
      <w:r w:rsidRPr="00DA4B25">
        <w:rPr>
          <w:rFonts w:ascii="Times New Roman" w:hAnsi="Times New Roman" w:cs="Times New Roman"/>
          <w:sz w:val="24"/>
          <w:szCs w:val="24"/>
        </w:rPr>
        <w:t>Postup výpočtu vychádzal z predpokladu, že v priemere 30 m</w:t>
      </w:r>
      <w:r w:rsidRPr="00DA4B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4B25">
        <w:rPr>
          <w:rFonts w:ascii="Times New Roman" w:hAnsi="Times New Roman" w:cs="Times New Roman"/>
          <w:sz w:val="24"/>
          <w:szCs w:val="24"/>
        </w:rPr>
        <w:t xml:space="preserve"> dreva/ha je určených na ťažbu na obdobie 10 rokov, to predstavuje 3 m</w:t>
      </w:r>
      <w:r w:rsidRPr="00DA4B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4B25">
        <w:rPr>
          <w:rFonts w:ascii="Times New Roman" w:hAnsi="Times New Roman" w:cs="Times New Roman"/>
          <w:sz w:val="24"/>
          <w:szCs w:val="24"/>
        </w:rPr>
        <w:t xml:space="preserve"> dreva/ha/rok. Priemerný objem ťažby sa určil podľa všeobecnej časti príslušných programov starostlivosti o lesy. Čistý zisk z 1 m</w:t>
      </w:r>
      <w:r w:rsidRPr="00DA4B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4B25">
        <w:rPr>
          <w:rFonts w:ascii="Times New Roman" w:hAnsi="Times New Roman" w:cs="Times New Roman"/>
          <w:sz w:val="24"/>
          <w:szCs w:val="24"/>
        </w:rPr>
        <w:t xml:space="preserve"> dreva je 52,46 eur (vyššie uvedený zdroj: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hyperlink r:id="rId13" w:history="1">
        <w:r w:rsidR="00D060BB" w:rsidRPr="00120621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https://www.forestportal.sk/wp-content/uploads/2023/02/4q2022.pdf</w:t>
        </w:r>
      </w:hyperlink>
      <w:r w:rsidRPr="00DA4B25">
        <w:rPr>
          <w:rFonts w:ascii="Times New Roman" w:hAnsi="Times New Roman" w:cs="Times New Roman"/>
          <w:sz w:val="24"/>
          <w:szCs w:val="24"/>
        </w:rPr>
        <w:t xml:space="preserve">), t. j. 157,38 eur/ha. Súčasne bol použitý koeficient 0,90, keďže predpokladáme 90 % zastúpenie porastov s plánovanou ťažbou. </w:t>
      </w:r>
      <w:r w:rsidR="008C493A">
        <w:rPr>
          <w:rFonts w:ascii="Times New Roman" w:hAnsi="Times New Roman" w:cs="Times New Roman"/>
          <w:sz w:val="24"/>
          <w:szCs w:val="24"/>
        </w:rPr>
        <w:t xml:space="preserve">Po vyhlásení zón </w:t>
      </w:r>
      <w:r w:rsidR="00984E5E">
        <w:rPr>
          <w:rFonts w:ascii="Times New Roman" w:hAnsi="Times New Roman" w:cs="Times New Roman"/>
          <w:sz w:val="24"/>
          <w:szCs w:val="24"/>
        </w:rPr>
        <w:t>NP Slovenský kras</w:t>
      </w:r>
      <w:r w:rsidR="008C493A">
        <w:rPr>
          <w:rFonts w:ascii="Times New Roman" w:hAnsi="Times New Roman" w:cs="Times New Roman"/>
          <w:sz w:val="24"/>
          <w:szCs w:val="24"/>
        </w:rPr>
        <w:t xml:space="preserve"> </w:t>
      </w:r>
      <w:r w:rsidR="005C744B">
        <w:rPr>
          <w:rFonts w:ascii="Times New Roman" w:hAnsi="Times New Roman" w:cs="Times New Roman"/>
          <w:sz w:val="24"/>
          <w:szCs w:val="24"/>
        </w:rPr>
        <w:t xml:space="preserve">bude správcom </w:t>
      </w:r>
      <w:r w:rsidR="005C744B" w:rsidRPr="005C744B">
        <w:rPr>
          <w:rFonts w:ascii="Times New Roman" w:hAnsi="Times New Roman" w:cs="Times New Roman"/>
          <w:sz w:val="24"/>
          <w:szCs w:val="24"/>
        </w:rPr>
        <w:t xml:space="preserve">štátnych pozemkov </w:t>
      </w:r>
      <w:r w:rsidR="005C744B">
        <w:rPr>
          <w:rFonts w:ascii="Times New Roman" w:hAnsi="Times New Roman" w:cs="Times New Roman"/>
          <w:sz w:val="24"/>
          <w:szCs w:val="24"/>
        </w:rPr>
        <w:t xml:space="preserve">v národnom parku </w:t>
      </w:r>
      <w:r w:rsidR="00385365">
        <w:rPr>
          <w:rFonts w:ascii="Times New Roman" w:hAnsi="Times New Roman" w:cs="Times New Roman"/>
          <w:sz w:val="24"/>
          <w:szCs w:val="24"/>
        </w:rPr>
        <w:t xml:space="preserve">podľa § 65b ods. 6 zákona č. 543/2002 Z. z. </w:t>
      </w:r>
      <w:r w:rsidR="009826F0" w:rsidRPr="00C733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Správa Národného parku Slovenský kras so sídlom v</w:t>
      </w:r>
      <w:r w:rsidR="005C74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="009826F0" w:rsidRPr="00C733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Brzotíne</w:t>
      </w:r>
      <w:r w:rsidR="005C74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ktorá</w:t>
      </w:r>
      <w:r w:rsidR="009826F0" w:rsidRPr="00C733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si nárok na finančnú náhradu neplánuje uplatňovať</w:t>
      </w:r>
      <w:r w:rsidR="00C733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C73345">
        <w:rPr>
          <w:rFonts w:ascii="Times New Roman" w:eastAsia="Times New Roman" w:hAnsi="Times New Roman" w:cs="Times New Roman"/>
          <w:sz w:val="24"/>
          <w:szCs w:val="24"/>
          <w:lang w:eastAsia="sk-SK"/>
        </w:rPr>
        <w:t>preto tieto finančné prostriedky nie sú uvedené v tab. č.</w:t>
      </w:r>
      <w:r w:rsidR="00C73345" w:rsidRPr="0014300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9826F0" w:rsidRPr="0014300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C74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CEC6066" w14:textId="77777777" w:rsidR="009826F0" w:rsidRDefault="009826F0" w:rsidP="00982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4DF400" w14:textId="6394EBB7" w:rsidR="009826F0" w:rsidRDefault="009826F0" w:rsidP="00982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26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ostatných lesných pozemkoch (mimo 5. stupňa ochrany) v národnom parku je podľa § 14 ods. 1 písm. l) zákona č. 543/2002 Z. z. možné realizovať len prírode blízke obhospodarovanie lesa.</w:t>
      </w:r>
      <w:r w:rsidRPr="00686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Toto sa uplatňuje pri obhospodarovaní lesov v národných parkoch už </w:t>
      </w:r>
      <w:r w:rsidRPr="0068607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 súčasnosti a je to aj vyhovujúci model hospodárenia v 3. </w:t>
      </w:r>
      <w:r w:rsidRPr="00C733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stupni ochrany aj po schválení </w:t>
      </w:r>
      <w:proofErr w:type="spellStart"/>
      <w:r w:rsidRPr="00C73345">
        <w:rPr>
          <w:rFonts w:ascii="Times New Roman" w:eastAsia="Times New Roman" w:hAnsi="Times New Roman" w:cs="Times New Roman"/>
          <w:sz w:val="24"/>
          <w:szCs w:val="24"/>
          <w:lang w:eastAsia="sk-SK"/>
        </w:rPr>
        <w:t>zonácie</w:t>
      </w:r>
      <w:proofErr w:type="spellEnd"/>
      <w:r w:rsidRPr="00C733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</w:t>
      </w:r>
      <w:r w:rsidR="003C70CD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C733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Slovenský kras.</w:t>
      </w:r>
    </w:p>
    <w:p w14:paraId="25E0F63A" w14:textId="166B3414" w:rsidR="009826F0" w:rsidRDefault="009826F0" w:rsidP="00982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D4B3DD" w14:textId="6323B308" w:rsidR="009826F0" w:rsidRPr="0087581C" w:rsidRDefault="009826F0" w:rsidP="00982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Rovnako ani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Pr="007B16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bmedzenie bežného obhospodarovania na nelesných pozemkoch z dôvodu </w:t>
      </w:r>
      <w:proofErr w:type="spellStart"/>
      <w:r w:rsidRPr="007B16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zonácie</w:t>
      </w:r>
      <w:proofErr w:type="spellEnd"/>
      <w:r w:rsidRPr="007B16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4300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NP Slovenský kras</w:t>
      </w:r>
      <w:r w:rsidRPr="007B16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nie je plánované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29B99C10" w14:textId="77777777" w:rsidR="009826F0" w:rsidRDefault="009826F0" w:rsidP="00982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BCDD52" w14:textId="3D64532D" w:rsidR="009826F0" w:rsidRPr="00DA4B25" w:rsidRDefault="009826F0" w:rsidP="00982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 </w:t>
      </w:r>
      <w:r w:rsidR="00A72687">
        <w:rPr>
          <w:rFonts w:ascii="Times New Roman" w:hAnsi="Times New Roman" w:cs="Times New Roman"/>
          <w:sz w:val="24"/>
          <w:szCs w:val="24"/>
          <w:lang w:eastAsia="sk-SK"/>
        </w:rPr>
        <w:t>malej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časti územia sa predpokladá riešenie náhrady formou nájm</w:t>
      </w:r>
      <w:r w:rsidR="00A72687">
        <w:rPr>
          <w:rFonts w:ascii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9826F0">
        <w:rPr>
          <w:rFonts w:ascii="Times New Roman" w:hAnsi="Times New Roman" w:cs="Times New Roman"/>
          <w:b/>
          <w:sz w:val="24"/>
          <w:szCs w:val="24"/>
          <w:lang w:eastAsia="sk-SK"/>
        </w:rPr>
        <w:t>odhadovaná výška nájmu je stanovená na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A4B25">
        <w:rPr>
          <w:rFonts w:ascii="Times New Roman" w:hAnsi="Times New Roman" w:cs="Times New Roman"/>
          <w:b/>
          <w:sz w:val="24"/>
          <w:szCs w:val="24"/>
          <w:lang w:eastAsia="sk-SK"/>
        </w:rPr>
        <w:t>30</w:t>
      </w:r>
      <w:r w:rsidRPr="00DA4B2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A4B25">
        <w:rPr>
          <w:rFonts w:ascii="Times New Roman" w:hAnsi="Times New Roman" w:cs="Times New Roman"/>
          <w:b/>
          <w:sz w:val="24"/>
          <w:szCs w:val="24"/>
        </w:rPr>
        <w:t>€ na ha/rok</w:t>
      </w:r>
      <w:r w:rsidRPr="00DA4B25">
        <w:rPr>
          <w:rFonts w:ascii="Times New Roman" w:hAnsi="Times New Roman" w:cs="Times New Roman"/>
          <w:sz w:val="24"/>
          <w:szCs w:val="24"/>
        </w:rPr>
        <w:t xml:space="preserve">, čo predstavuje v prípade neštátnych subjektov </w:t>
      </w:r>
      <w:r w:rsidRPr="00DA4B25">
        <w:rPr>
          <w:rFonts w:ascii="Times New Roman" w:hAnsi="Times New Roman" w:cs="Times New Roman"/>
          <w:b/>
          <w:sz w:val="24"/>
          <w:szCs w:val="24"/>
        </w:rPr>
        <w:t>37,94</w:t>
      </w:r>
      <w:r w:rsidRPr="00DA4B25">
        <w:rPr>
          <w:rFonts w:ascii="Times New Roman" w:hAnsi="Times New Roman" w:cs="Times New Roman"/>
          <w:sz w:val="24"/>
          <w:szCs w:val="24"/>
        </w:rPr>
        <w:t xml:space="preserve"> </w:t>
      </w:r>
      <w:r w:rsidRPr="00DA4B25">
        <w:rPr>
          <w:rFonts w:ascii="Times New Roman" w:hAnsi="Times New Roman" w:cs="Times New Roman"/>
          <w:b/>
          <w:sz w:val="24"/>
          <w:szCs w:val="24"/>
        </w:rPr>
        <w:t xml:space="preserve">€ ročne. </w:t>
      </w:r>
      <w:r w:rsidRPr="00DA4B25">
        <w:rPr>
          <w:rFonts w:ascii="Times New Roman" w:hAnsi="Times New Roman" w:cs="Times New Roman"/>
          <w:sz w:val="24"/>
          <w:szCs w:val="24"/>
        </w:rPr>
        <w:t xml:space="preserve">Ide o skalné biotopy v rámci existujúcej prírodnej rezervácie </w:t>
      </w:r>
      <w:proofErr w:type="spellStart"/>
      <w:r w:rsidRPr="00DA4B25">
        <w:rPr>
          <w:rFonts w:ascii="Times New Roman" w:hAnsi="Times New Roman" w:cs="Times New Roman"/>
          <w:sz w:val="24"/>
          <w:szCs w:val="24"/>
        </w:rPr>
        <w:t>Gerlašské</w:t>
      </w:r>
      <w:proofErr w:type="spellEnd"/>
      <w:r w:rsidRPr="00DA4B25">
        <w:rPr>
          <w:rFonts w:ascii="Times New Roman" w:hAnsi="Times New Roman" w:cs="Times New Roman"/>
          <w:sz w:val="24"/>
          <w:szCs w:val="24"/>
        </w:rPr>
        <w:t xml:space="preserve"> skaly, v ktorej už teraz platí 5. stupeň ochrany.</w:t>
      </w:r>
      <w:r>
        <w:rPr>
          <w:rFonts w:ascii="Times New Roman" w:hAnsi="Times New Roman" w:cs="Times New Roman"/>
          <w:sz w:val="24"/>
          <w:szCs w:val="24"/>
        </w:rPr>
        <w:t xml:space="preserve"> Ďalšie údaje sú v tabuľke č. 5.</w:t>
      </w:r>
    </w:p>
    <w:p w14:paraId="0D270A6F" w14:textId="77777777" w:rsidR="00DA4B25" w:rsidRPr="0062219D" w:rsidRDefault="0062219D" w:rsidP="0062219D">
      <w:pPr>
        <w:keepNext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5</w:t>
      </w:r>
      <w:r w:rsidR="00167D3F" w:rsidRPr="00167D3F">
        <w:t xml:space="preserve"> </w:t>
      </w:r>
      <w:r w:rsidR="00167D3F" w:rsidRPr="00167D3F">
        <w:rPr>
          <w:rFonts w:ascii="Times New Roman" w:eastAsia="Times New Roman" w:hAnsi="Times New Roman" w:cs="Times New Roman"/>
          <w:sz w:val="20"/>
          <w:szCs w:val="20"/>
          <w:lang w:eastAsia="sk-SK"/>
        </w:rPr>
        <w:t>Prehľad neštátnych vlastníkov s riešením náhrad za obmedzenie bežného obhospodarovania formou nájmu</w:t>
      </w:r>
    </w:p>
    <w:tbl>
      <w:tblPr>
        <w:tblW w:w="9072" w:type="dxa"/>
        <w:tblInd w:w="-23" w:type="dxa"/>
        <w:tblBorders>
          <w:top w:val="single" w:sz="4" w:space="0" w:color="3F3F3F"/>
          <w:left w:val="single" w:sz="4" w:space="0" w:color="3F3F3F"/>
          <w:bottom w:val="single" w:sz="4" w:space="0" w:color="3F3F3F"/>
          <w:right w:val="single" w:sz="4" w:space="0" w:color="3F3F3F"/>
          <w:insideH w:val="single" w:sz="4" w:space="0" w:color="3F3F3F"/>
          <w:insideV w:val="single" w:sz="4" w:space="0" w:color="3F3F3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68"/>
        <w:gridCol w:w="1276"/>
        <w:gridCol w:w="851"/>
        <w:gridCol w:w="974"/>
        <w:gridCol w:w="1666"/>
        <w:gridCol w:w="1452"/>
      </w:tblGrid>
      <w:tr w:rsidR="00B86EEC" w:rsidRPr="00B86EEC" w14:paraId="132307D3" w14:textId="77777777" w:rsidTr="00D060BB">
        <w:trPr>
          <w:trHeight w:val="555"/>
        </w:trPr>
        <w:tc>
          <w:tcPr>
            <w:tcW w:w="851" w:type="dxa"/>
            <w:shd w:val="clear" w:color="000000" w:fill="BFBFBF" w:themeFill="background1" w:themeFillShade="BF"/>
            <w:noWrap/>
            <w:vAlign w:val="center"/>
            <w:hideMark/>
          </w:tcPr>
          <w:p w14:paraId="2DC7F03C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okres</w:t>
            </w:r>
          </w:p>
        </w:tc>
        <w:tc>
          <w:tcPr>
            <w:tcW w:w="1134" w:type="dxa"/>
            <w:shd w:val="clear" w:color="000000" w:fill="BFBFBF" w:themeFill="background1" w:themeFillShade="BF"/>
            <w:vAlign w:val="center"/>
            <w:hideMark/>
          </w:tcPr>
          <w:p w14:paraId="6A57F234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katastrálne územie</w:t>
            </w:r>
          </w:p>
        </w:tc>
        <w:tc>
          <w:tcPr>
            <w:tcW w:w="868" w:type="dxa"/>
            <w:shd w:val="clear" w:color="000000" w:fill="BFBFBF" w:themeFill="background1" w:themeFillShade="BF"/>
            <w:vAlign w:val="center"/>
            <w:hideMark/>
          </w:tcPr>
          <w:p w14:paraId="4AF3AEE0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parcela KN-C</w:t>
            </w:r>
          </w:p>
        </w:tc>
        <w:tc>
          <w:tcPr>
            <w:tcW w:w="1276" w:type="dxa"/>
            <w:shd w:val="clear" w:color="000000" w:fill="BFBFBF" w:themeFill="background1" w:themeFillShade="BF"/>
            <w:vAlign w:val="center"/>
            <w:hideMark/>
          </w:tcPr>
          <w:p w14:paraId="01889621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druh pozemku</w:t>
            </w:r>
          </w:p>
        </w:tc>
        <w:tc>
          <w:tcPr>
            <w:tcW w:w="851" w:type="dxa"/>
            <w:shd w:val="clear" w:color="000000" w:fill="BFBFBF" w:themeFill="background1" w:themeFillShade="BF"/>
            <w:vAlign w:val="center"/>
            <w:hideMark/>
          </w:tcPr>
          <w:p w14:paraId="6FF41FCA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výmera (m</w:t>
            </w:r>
            <w:r w:rsidRPr="00C733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sk-SK"/>
              </w:rPr>
              <w:t>2</w:t>
            </w: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)</w:t>
            </w:r>
          </w:p>
        </w:tc>
        <w:tc>
          <w:tcPr>
            <w:tcW w:w="974" w:type="dxa"/>
            <w:shd w:val="clear" w:color="000000" w:fill="BFBFBF" w:themeFill="background1" w:themeFillShade="BF"/>
            <w:vAlign w:val="center"/>
            <w:hideMark/>
          </w:tcPr>
          <w:p w14:paraId="0374843F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číslo LV</w:t>
            </w:r>
          </w:p>
        </w:tc>
        <w:tc>
          <w:tcPr>
            <w:tcW w:w="1666" w:type="dxa"/>
            <w:shd w:val="clear" w:color="000000" w:fill="BFBFBF" w:themeFill="background1" w:themeFillShade="BF"/>
            <w:noWrap/>
            <w:vAlign w:val="center"/>
            <w:hideMark/>
          </w:tcPr>
          <w:p w14:paraId="28020748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vlastník</w:t>
            </w:r>
          </w:p>
        </w:tc>
        <w:tc>
          <w:tcPr>
            <w:tcW w:w="1452" w:type="dxa"/>
            <w:shd w:val="clear" w:color="000000" w:fill="BFBFBF" w:themeFill="background1" w:themeFillShade="BF"/>
            <w:vAlign w:val="bottom"/>
            <w:hideMark/>
          </w:tcPr>
          <w:p w14:paraId="70DE16F1" w14:textId="77777777" w:rsidR="00DA4B25" w:rsidRPr="00B86EEC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86EE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Predpokladaná výška nájmu (€/rok)</w:t>
            </w:r>
          </w:p>
        </w:tc>
      </w:tr>
      <w:tr w:rsidR="00DA4B25" w:rsidRPr="00167D3F" w14:paraId="330F3975" w14:textId="77777777" w:rsidTr="00D060BB">
        <w:trPr>
          <w:trHeight w:val="52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EFEF43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Rožňava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AAD5D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Rožňavské Bystré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1099A254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52650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trvalý trávny porast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CBB4F1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12647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CE927FE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14:paraId="07AFF5B9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bez založeného listu vlastníctva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4726166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sk-SK"/>
              </w:rPr>
              <w:t>37.94</w:t>
            </w:r>
          </w:p>
        </w:tc>
      </w:tr>
      <w:tr w:rsidR="00DA4B25" w:rsidRPr="00167D3F" w14:paraId="5E368DDB" w14:textId="77777777" w:rsidTr="00D060B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1C0835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Spolu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3B6C4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14:paraId="02374B0F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7275D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BDD502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12647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4FA17D60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0153A8F1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0184C998" w14:textId="77777777" w:rsidR="00DA4B25" w:rsidRPr="00167D3F" w:rsidRDefault="00DA4B25" w:rsidP="00DA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</w:pPr>
            <w:r w:rsidRPr="00167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37.94</w:t>
            </w:r>
          </w:p>
        </w:tc>
      </w:tr>
    </w:tbl>
    <w:p w14:paraId="6DECF464" w14:textId="77777777" w:rsidR="00DA4B25" w:rsidRPr="00DA4B25" w:rsidRDefault="00DA4B25" w:rsidP="00DA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3D57654" w14:textId="152ADB50" w:rsidR="00DA4B25" w:rsidRPr="00DA4B25" w:rsidRDefault="00DA4B25" w:rsidP="00D060B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sz w:val="24"/>
          <w:szCs w:val="24"/>
        </w:rPr>
        <w:t xml:space="preserve">Na základné </w:t>
      </w:r>
      <w:r w:rsidRPr="00DA4B25">
        <w:rPr>
          <w:rFonts w:ascii="Times New Roman" w:hAnsi="Times New Roman" w:cs="Times New Roman"/>
          <w:b/>
          <w:sz w:val="24"/>
          <w:szCs w:val="24"/>
        </w:rPr>
        <w:t xml:space="preserve">označenie NP a jeho ochranného pásma </w:t>
      </w:r>
      <w:r w:rsidRPr="00DA4B25">
        <w:rPr>
          <w:rFonts w:ascii="Times New Roman" w:hAnsi="Times New Roman" w:cs="Times New Roman"/>
          <w:sz w:val="24"/>
          <w:szCs w:val="24"/>
        </w:rPr>
        <w:t xml:space="preserve">sa použijú normalizované tabule </w:t>
      </w:r>
      <w:r w:rsidR="0014300C">
        <w:rPr>
          <w:rFonts w:ascii="Times New Roman" w:hAnsi="Times New Roman" w:cs="Times New Roman"/>
          <w:sz w:val="24"/>
          <w:szCs w:val="24"/>
        </w:rPr>
        <w:t>(</w:t>
      </w:r>
      <w:r w:rsidRPr="00DA4B25">
        <w:rPr>
          <w:rFonts w:ascii="Times New Roman" w:hAnsi="Times New Roman" w:cs="Times New Roman"/>
          <w:sz w:val="24"/>
          <w:szCs w:val="24"/>
        </w:rPr>
        <w:t>v zmysle § 24 vyhlášky M</w:t>
      </w:r>
      <w:r w:rsidR="0014300C">
        <w:rPr>
          <w:rFonts w:ascii="Times New Roman" w:hAnsi="Times New Roman" w:cs="Times New Roman"/>
          <w:sz w:val="24"/>
          <w:szCs w:val="24"/>
        </w:rPr>
        <w:t>inisterstva životného prostredia Slovenskej republiky</w:t>
      </w:r>
      <w:r w:rsidRPr="00DA4B25">
        <w:rPr>
          <w:rFonts w:ascii="Times New Roman" w:hAnsi="Times New Roman" w:cs="Times New Roman"/>
          <w:sz w:val="24"/>
          <w:szCs w:val="24"/>
        </w:rPr>
        <w:t xml:space="preserve"> č. 170/2021 Z. z.</w:t>
      </w:r>
      <w:r w:rsidR="0014300C">
        <w:rPr>
          <w:rFonts w:ascii="Times New Roman" w:hAnsi="Times New Roman" w:cs="Times New Roman"/>
          <w:sz w:val="24"/>
          <w:szCs w:val="24"/>
        </w:rPr>
        <w:t>, ktorou sa vykonáva zákon č. 543/2002 Z. z. o ochrane prírody a krajiny v znení neskorších predpisov - ďalej len „</w:t>
      </w:r>
      <w:r w:rsidR="0014300C" w:rsidRPr="00DA4B25">
        <w:rPr>
          <w:rFonts w:ascii="Times New Roman" w:hAnsi="Times New Roman" w:cs="Times New Roman"/>
          <w:sz w:val="24"/>
          <w:szCs w:val="24"/>
        </w:rPr>
        <w:t>vyhlášk</w:t>
      </w:r>
      <w:r w:rsidR="0014300C">
        <w:rPr>
          <w:rFonts w:ascii="Times New Roman" w:hAnsi="Times New Roman" w:cs="Times New Roman"/>
          <w:sz w:val="24"/>
          <w:szCs w:val="24"/>
        </w:rPr>
        <w:t>a</w:t>
      </w:r>
      <w:r w:rsidR="0014300C" w:rsidRPr="00DA4B25">
        <w:rPr>
          <w:rFonts w:ascii="Times New Roman" w:hAnsi="Times New Roman" w:cs="Times New Roman"/>
          <w:sz w:val="24"/>
          <w:szCs w:val="24"/>
        </w:rPr>
        <w:t xml:space="preserve"> č. 170/2021 Z. z</w:t>
      </w:r>
      <w:r w:rsidR="0014300C">
        <w:rPr>
          <w:rFonts w:ascii="Times New Roman" w:hAnsi="Times New Roman" w:cs="Times New Roman"/>
          <w:sz w:val="24"/>
          <w:szCs w:val="24"/>
        </w:rPr>
        <w:t>.“)</w:t>
      </w:r>
      <w:r w:rsidRPr="00DA4B25">
        <w:rPr>
          <w:rFonts w:ascii="Times New Roman" w:hAnsi="Times New Roman" w:cs="Times New Roman"/>
          <w:sz w:val="24"/>
          <w:szCs w:val="24"/>
        </w:rPr>
        <w:t xml:space="preserve"> so štátnym znakom Slovenskej republiky o rozmeroch 40 x 30 cm. Na tmavozelenom podklade  hornej časti tabule bude umiestnený štátny znak a pod ním názov bielou farbou, kde bude v rámci vlastného územia uvedené: „</w:t>
      </w:r>
      <w:r w:rsidRPr="0014300C">
        <w:rPr>
          <w:rFonts w:ascii="Times New Roman" w:hAnsi="Times New Roman" w:cs="Times New Roman"/>
          <w:i/>
          <w:sz w:val="24"/>
          <w:szCs w:val="24"/>
        </w:rPr>
        <w:t xml:space="preserve">Národný park </w:t>
      </w:r>
      <w:r w:rsidRPr="00FB4AA3">
        <w:rPr>
          <w:rFonts w:ascii="Times New Roman" w:hAnsi="Times New Roman" w:cs="Times New Roman"/>
          <w:i/>
          <w:sz w:val="24"/>
          <w:szCs w:val="24"/>
        </w:rPr>
        <w:t>Slovenský kras</w:t>
      </w:r>
      <w:r w:rsidRPr="00DA4B25">
        <w:rPr>
          <w:rFonts w:ascii="Times New Roman" w:hAnsi="Times New Roman" w:cs="Times New Roman"/>
          <w:sz w:val="24"/>
          <w:szCs w:val="24"/>
        </w:rPr>
        <w:t xml:space="preserve">“ a v rámci ochranného pásma: </w:t>
      </w:r>
      <w:r w:rsidRPr="00FB4AA3">
        <w:rPr>
          <w:rFonts w:ascii="Times New Roman" w:hAnsi="Times New Roman" w:cs="Times New Roman"/>
          <w:sz w:val="24"/>
          <w:szCs w:val="24"/>
        </w:rPr>
        <w:t>„</w:t>
      </w:r>
      <w:r w:rsidRPr="00FB4AA3">
        <w:rPr>
          <w:rFonts w:ascii="Times New Roman" w:hAnsi="Times New Roman" w:cs="Times New Roman"/>
          <w:i/>
          <w:sz w:val="24"/>
          <w:szCs w:val="24"/>
        </w:rPr>
        <w:t>ochranné pásmo N</w:t>
      </w:r>
      <w:r w:rsidR="0014300C" w:rsidRPr="00FB4AA3">
        <w:rPr>
          <w:rFonts w:ascii="Times New Roman" w:hAnsi="Times New Roman" w:cs="Times New Roman"/>
          <w:i/>
          <w:sz w:val="24"/>
          <w:szCs w:val="24"/>
        </w:rPr>
        <w:t>árodný park</w:t>
      </w:r>
      <w:r w:rsidRPr="00FB4AA3">
        <w:rPr>
          <w:rFonts w:ascii="Times New Roman" w:hAnsi="Times New Roman" w:cs="Times New Roman"/>
          <w:i/>
          <w:sz w:val="24"/>
          <w:szCs w:val="24"/>
        </w:rPr>
        <w:t xml:space="preserve"> Slovenský kras</w:t>
      </w:r>
      <w:r w:rsidRPr="00FB4AA3">
        <w:rPr>
          <w:rFonts w:ascii="Times New Roman" w:hAnsi="Times New Roman" w:cs="Times New Roman"/>
          <w:sz w:val="24"/>
          <w:szCs w:val="24"/>
        </w:rPr>
        <w:t>“.</w:t>
      </w:r>
      <w:r w:rsidRPr="00DA4B25">
        <w:rPr>
          <w:rFonts w:ascii="Times New Roman" w:hAnsi="Times New Roman" w:cs="Times New Roman"/>
          <w:sz w:val="24"/>
          <w:szCs w:val="24"/>
        </w:rPr>
        <w:t xml:space="preserve"> Tabule sa umiestnia na drevený stĺp, ktorý bude osadený v kovovej konzole, na zabezpečenie proti poveternostným podmienkam, na dobre viditeľné miesto na hranici chráneného územia a jeho ochranného pásma spravidla na priesečníku s pozemnou komunikáciou alebo chodníkom, najmä náučným chodníkom a turistickým chodníkom.</w:t>
      </w:r>
    </w:p>
    <w:p w14:paraId="0F295D45" w14:textId="282C392C" w:rsidR="00DA4B25" w:rsidRPr="00DA4B25" w:rsidRDefault="00DA4B25" w:rsidP="00DA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sz w:val="24"/>
          <w:szCs w:val="24"/>
        </w:rPr>
        <w:t xml:space="preserve">Hranica NP Slovenský kras je sčasti identická s terajšou hranicou NP, preto sa využijú na tomto úseku obvodu NP existujúce stĺpy označenia chráneného územia. Na novo vytýčených úsekoch hranice NP Slovenský kras budú osadené nové stĺpy s normalizovanými tabuľami. Na označenie NP Slovenský kras sa použije </w:t>
      </w:r>
      <w:r w:rsidRPr="00DA4B25">
        <w:rPr>
          <w:rFonts w:ascii="Times New Roman" w:hAnsi="Times New Roman" w:cs="Times New Roman"/>
          <w:b/>
          <w:bCs/>
          <w:sz w:val="24"/>
          <w:szCs w:val="24"/>
        </w:rPr>
        <w:t>40 nových stĺpov a 40</w:t>
      </w:r>
      <w:r w:rsidRPr="00DA4B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A4B25">
        <w:rPr>
          <w:rFonts w:ascii="Times New Roman" w:hAnsi="Times New Roman" w:cs="Times New Roman"/>
          <w:b/>
          <w:bCs/>
          <w:sz w:val="24"/>
          <w:szCs w:val="24"/>
        </w:rPr>
        <w:t>normalizovaných tabúľ</w:t>
      </w:r>
      <w:r w:rsidRPr="00DA4B25">
        <w:rPr>
          <w:rFonts w:ascii="Times New Roman" w:hAnsi="Times New Roman" w:cs="Times New Roman"/>
          <w:sz w:val="24"/>
          <w:szCs w:val="24"/>
        </w:rPr>
        <w:t xml:space="preserve"> so štátnym znakom Slovenskej republiky a nápisom „</w:t>
      </w:r>
      <w:r w:rsidRPr="00DA4B25">
        <w:rPr>
          <w:rFonts w:ascii="Times New Roman" w:hAnsi="Times New Roman" w:cs="Times New Roman"/>
          <w:i/>
          <w:sz w:val="24"/>
          <w:szCs w:val="24"/>
        </w:rPr>
        <w:t>Národný park Slovenský kras</w:t>
      </w:r>
      <w:r w:rsidRPr="00DA4B25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0EBD0FF" w14:textId="3CD3E8DE" w:rsidR="00DA4B25" w:rsidRPr="00DA4B25" w:rsidRDefault="00DA4B25" w:rsidP="00DA4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sz w:val="24"/>
          <w:szCs w:val="24"/>
        </w:rPr>
        <w:t xml:space="preserve">Podobne na označenie </w:t>
      </w:r>
      <w:r w:rsidR="0014300C">
        <w:rPr>
          <w:rFonts w:ascii="Times New Roman" w:hAnsi="Times New Roman" w:cs="Times New Roman"/>
          <w:sz w:val="24"/>
          <w:szCs w:val="24"/>
        </w:rPr>
        <w:t>ochranného pásma</w:t>
      </w:r>
      <w:r w:rsidRPr="00DA4B25">
        <w:rPr>
          <w:rFonts w:ascii="Times New Roman" w:hAnsi="Times New Roman" w:cs="Times New Roman"/>
          <w:sz w:val="24"/>
          <w:szCs w:val="24"/>
        </w:rPr>
        <w:t xml:space="preserve"> NP Slovenský kras sa na zmenenej hranici </w:t>
      </w:r>
      <w:r w:rsidR="0014300C">
        <w:rPr>
          <w:rFonts w:ascii="Times New Roman" w:hAnsi="Times New Roman" w:cs="Times New Roman"/>
          <w:sz w:val="24"/>
          <w:szCs w:val="24"/>
        </w:rPr>
        <w:t>ochranného pásma</w:t>
      </w:r>
      <w:r w:rsidRPr="00DA4B25">
        <w:rPr>
          <w:rFonts w:ascii="Times New Roman" w:hAnsi="Times New Roman" w:cs="Times New Roman"/>
          <w:sz w:val="24"/>
          <w:szCs w:val="24"/>
        </w:rPr>
        <w:t xml:space="preserve"> NP oproti súčasnému stavu použije existujúca sieť stĺpov, ktorá ohraničuje súčasnú a aj zmenenú hranicu </w:t>
      </w:r>
      <w:r w:rsidR="0014300C">
        <w:rPr>
          <w:rFonts w:ascii="Times New Roman" w:hAnsi="Times New Roman" w:cs="Times New Roman"/>
          <w:sz w:val="24"/>
          <w:szCs w:val="24"/>
        </w:rPr>
        <w:t>ochranného pásma</w:t>
      </w:r>
      <w:r w:rsidRPr="00DA4B25">
        <w:rPr>
          <w:rFonts w:ascii="Times New Roman" w:hAnsi="Times New Roman" w:cs="Times New Roman"/>
          <w:sz w:val="24"/>
          <w:szCs w:val="24"/>
        </w:rPr>
        <w:t xml:space="preserve"> NP. Na novo vytýčených úsekoch hranice </w:t>
      </w:r>
      <w:r w:rsidR="0014300C">
        <w:rPr>
          <w:rFonts w:ascii="Times New Roman" w:hAnsi="Times New Roman" w:cs="Times New Roman"/>
          <w:sz w:val="24"/>
          <w:szCs w:val="24"/>
        </w:rPr>
        <w:t>ochranného pásma</w:t>
      </w:r>
      <w:r w:rsidRPr="00DA4B25">
        <w:rPr>
          <w:rFonts w:ascii="Times New Roman" w:hAnsi="Times New Roman" w:cs="Times New Roman"/>
          <w:sz w:val="24"/>
          <w:szCs w:val="24"/>
        </w:rPr>
        <w:t xml:space="preserve"> NP Slovenský kras budú osadené nové stĺpy s normalizovanými tabuľami. Na označenie sa použije </w:t>
      </w:r>
      <w:r w:rsidRPr="00DA4B25">
        <w:rPr>
          <w:rFonts w:ascii="Times New Roman" w:hAnsi="Times New Roman" w:cs="Times New Roman"/>
          <w:b/>
          <w:bCs/>
          <w:sz w:val="24"/>
          <w:szCs w:val="24"/>
        </w:rPr>
        <w:t>20 nových stĺpov a 20 normalizovaných tabúľ</w:t>
      </w:r>
      <w:r w:rsidRPr="00DA4B25">
        <w:rPr>
          <w:rFonts w:ascii="Times New Roman" w:hAnsi="Times New Roman" w:cs="Times New Roman"/>
          <w:sz w:val="24"/>
          <w:szCs w:val="24"/>
        </w:rPr>
        <w:t xml:space="preserve"> so štátnym znakom Slovenskej republiky a </w:t>
      </w:r>
      <w:r w:rsidRPr="00FB4AA3">
        <w:rPr>
          <w:rFonts w:ascii="Times New Roman" w:hAnsi="Times New Roman" w:cs="Times New Roman"/>
          <w:sz w:val="24"/>
          <w:szCs w:val="24"/>
        </w:rPr>
        <w:t>nápisom „</w:t>
      </w:r>
      <w:r w:rsidRPr="00FB4AA3">
        <w:rPr>
          <w:rFonts w:ascii="Times New Roman" w:hAnsi="Times New Roman" w:cs="Times New Roman"/>
          <w:i/>
          <w:sz w:val="24"/>
          <w:szCs w:val="24"/>
        </w:rPr>
        <w:t>ochranné pásmo Národný park Slovenský kras</w:t>
      </w:r>
      <w:r w:rsidRPr="00DA4B25">
        <w:rPr>
          <w:rFonts w:ascii="Times New Roman" w:hAnsi="Times New Roman" w:cs="Times New Roman"/>
          <w:i/>
          <w:sz w:val="24"/>
          <w:szCs w:val="24"/>
        </w:rPr>
        <w:t>“</w:t>
      </w:r>
      <w:r w:rsidRPr="00DA4B25">
        <w:rPr>
          <w:rFonts w:ascii="Times New Roman" w:hAnsi="Times New Roman" w:cs="Times New Roman"/>
          <w:sz w:val="24"/>
          <w:szCs w:val="24"/>
        </w:rPr>
        <w:t>.</w:t>
      </w:r>
    </w:p>
    <w:p w14:paraId="31BD9191" w14:textId="77777777" w:rsidR="00DA4B25" w:rsidRPr="0062219D" w:rsidRDefault="0062219D" w:rsidP="0062219D">
      <w:pPr>
        <w:pStyle w:val="Popis"/>
        <w:keepNext/>
        <w:spacing w:before="240" w:after="0"/>
        <w:rPr>
          <w:i w:val="0"/>
          <w:sz w:val="24"/>
          <w:szCs w:val="24"/>
        </w:rPr>
      </w:pPr>
      <w:r>
        <w:rPr>
          <w:rFonts w:eastAsia="Times New Roman"/>
          <w:i w:val="0"/>
          <w:sz w:val="20"/>
          <w:szCs w:val="20"/>
          <w:lang w:eastAsia="sk-SK"/>
        </w:rPr>
        <w:t>Tabuľka č. 6</w:t>
      </w:r>
      <w:r w:rsidRPr="0062219D">
        <w:t xml:space="preserve"> </w:t>
      </w:r>
      <w:r w:rsidRPr="0062219D">
        <w:rPr>
          <w:rFonts w:eastAsia="Times New Roman"/>
          <w:i w:val="0"/>
          <w:sz w:val="20"/>
          <w:szCs w:val="20"/>
          <w:lang w:eastAsia="sk-SK"/>
        </w:rPr>
        <w:t>Výdavky na označenie národného parku a jeho ochranného pásma</w:t>
      </w:r>
      <w:r w:rsidRPr="0062219D">
        <w:rPr>
          <w:i w:val="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816"/>
        <w:gridCol w:w="2157"/>
        <w:gridCol w:w="2155"/>
      </w:tblGrid>
      <w:tr w:rsidR="00DA4B25" w:rsidRPr="00DA4B25" w14:paraId="60D491DD" w14:textId="77777777" w:rsidTr="00B86EEC">
        <w:trPr>
          <w:trHeight w:val="708"/>
          <w:jc w:val="center"/>
        </w:trPr>
        <w:tc>
          <w:tcPr>
            <w:tcW w:w="1861" w:type="pct"/>
            <w:shd w:val="clear" w:color="auto" w:fill="BFBFBF" w:themeFill="background1" w:themeFillShade="BF"/>
            <w:vAlign w:val="center"/>
          </w:tcPr>
          <w:p w14:paraId="508633BA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Položka</w:t>
            </w:r>
          </w:p>
        </w:tc>
        <w:tc>
          <w:tcPr>
            <w:tcW w:w="687" w:type="pct"/>
            <w:shd w:val="clear" w:color="auto" w:fill="BFBFBF" w:themeFill="background1" w:themeFillShade="BF"/>
            <w:vAlign w:val="center"/>
          </w:tcPr>
          <w:p w14:paraId="477B4E6C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Počet/množstvo</w:t>
            </w:r>
          </w:p>
          <w:p w14:paraId="607C55A1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(ks)</w:t>
            </w:r>
          </w:p>
        </w:tc>
        <w:tc>
          <w:tcPr>
            <w:tcW w:w="1227" w:type="pct"/>
            <w:shd w:val="clear" w:color="auto" w:fill="BFBFBF" w:themeFill="background1" w:themeFillShade="BF"/>
            <w:vAlign w:val="center"/>
            <w:hideMark/>
          </w:tcPr>
          <w:p w14:paraId="1CEDFDDF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Jednotková cena   (€)</w:t>
            </w:r>
          </w:p>
        </w:tc>
        <w:tc>
          <w:tcPr>
            <w:tcW w:w="1225" w:type="pct"/>
            <w:shd w:val="clear" w:color="auto" w:fill="BFBFBF" w:themeFill="background1" w:themeFillShade="BF"/>
            <w:vAlign w:val="center"/>
            <w:hideMark/>
          </w:tcPr>
          <w:p w14:paraId="71311B91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 xml:space="preserve">Rozpočet </w:t>
            </w:r>
          </w:p>
          <w:p w14:paraId="03FB756D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(€)</w:t>
            </w:r>
          </w:p>
        </w:tc>
      </w:tr>
      <w:tr w:rsidR="00DA4B25" w:rsidRPr="00DA4B25" w14:paraId="2CFAEADE" w14:textId="77777777" w:rsidTr="00B86EEC">
        <w:trPr>
          <w:jc w:val="center"/>
        </w:trPr>
        <w:tc>
          <w:tcPr>
            <w:tcW w:w="1861" w:type="pct"/>
            <w:vAlign w:val="center"/>
          </w:tcPr>
          <w:p w14:paraId="55ECBF20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Kovová konzola na upevnenie</w:t>
            </w:r>
          </w:p>
        </w:tc>
        <w:tc>
          <w:tcPr>
            <w:tcW w:w="687" w:type="pct"/>
            <w:vAlign w:val="center"/>
          </w:tcPr>
          <w:p w14:paraId="766D016B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27" w:type="pct"/>
            <w:vAlign w:val="center"/>
          </w:tcPr>
          <w:p w14:paraId="4EDC5B0F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25" w:type="pct"/>
            <w:vAlign w:val="center"/>
          </w:tcPr>
          <w:p w14:paraId="769E2B95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1 560,00</w:t>
            </w:r>
          </w:p>
        </w:tc>
      </w:tr>
      <w:tr w:rsidR="00DA4B25" w:rsidRPr="00DA4B25" w14:paraId="5D48ACE0" w14:textId="77777777" w:rsidTr="00B86EEC">
        <w:trPr>
          <w:jc w:val="center"/>
        </w:trPr>
        <w:tc>
          <w:tcPr>
            <w:tcW w:w="1861" w:type="pct"/>
            <w:vAlign w:val="center"/>
          </w:tcPr>
          <w:p w14:paraId="31110451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Drevený stĺp so strieškou</w:t>
            </w:r>
          </w:p>
        </w:tc>
        <w:tc>
          <w:tcPr>
            <w:tcW w:w="687" w:type="pct"/>
            <w:vAlign w:val="center"/>
          </w:tcPr>
          <w:p w14:paraId="74DF5DB5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27" w:type="pct"/>
            <w:vAlign w:val="center"/>
          </w:tcPr>
          <w:p w14:paraId="381AD121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5" w:type="pct"/>
            <w:vAlign w:val="center"/>
          </w:tcPr>
          <w:p w14:paraId="77D5B9E0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2 040,00</w:t>
            </w:r>
          </w:p>
        </w:tc>
      </w:tr>
      <w:tr w:rsidR="00DA4B25" w:rsidRPr="00DA4B25" w14:paraId="1B5D37B9" w14:textId="77777777" w:rsidTr="00B86EEC">
        <w:trPr>
          <w:jc w:val="center"/>
        </w:trPr>
        <w:tc>
          <w:tcPr>
            <w:tcW w:w="1861" w:type="pct"/>
            <w:vAlign w:val="center"/>
          </w:tcPr>
          <w:p w14:paraId="481CF9CC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Normalizované tabule:</w:t>
            </w:r>
          </w:p>
          <w:p w14:paraId="1AA7DA95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 xml:space="preserve">Tabuľa 40 x 30 cm </w:t>
            </w:r>
          </w:p>
        </w:tc>
        <w:tc>
          <w:tcPr>
            <w:tcW w:w="687" w:type="pct"/>
            <w:vAlign w:val="center"/>
          </w:tcPr>
          <w:p w14:paraId="347946F1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27" w:type="pct"/>
            <w:vAlign w:val="center"/>
          </w:tcPr>
          <w:p w14:paraId="2BA369F6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6,86</w:t>
            </w:r>
          </w:p>
        </w:tc>
        <w:tc>
          <w:tcPr>
            <w:tcW w:w="1225" w:type="pct"/>
            <w:vAlign w:val="center"/>
          </w:tcPr>
          <w:p w14:paraId="3724D71D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823,20</w:t>
            </w:r>
          </w:p>
        </w:tc>
      </w:tr>
      <w:tr w:rsidR="00DA4B25" w:rsidRPr="00DA4B25" w14:paraId="5158A2D9" w14:textId="77777777" w:rsidTr="00B86EEC">
        <w:trPr>
          <w:jc w:val="center"/>
        </w:trPr>
        <w:tc>
          <w:tcPr>
            <w:tcW w:w="5000" w:type="pct"/>
            <w:gridSpan w:val="4"/>
            <w:vAlign w:val="center"/>
          </w:tcPr>
          <w:p w14:paraId="622F72EC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Samolepiace fólie dvojdielne:</w:t>
            </w:r>
          </w:p>
        </w:tc>
      </w:tr>
      <w:tr w:rsidR="00DA4B25" w:rsidRPr="00DA4B25" w14:paraId="36C5EF81" w14:textId="77777777" w:rsidTr="00B86EEC">
        <w:trPr>
          <w:jc w:val="center"/>
        </w:trPr>
        <w:tc>
          <w:tcPr>
            <w:tcW w:w="1861" w:type="pct"/>
            <w:vAlign w:val="center"/>
          </w:tcPr>
          <w:p w14:paraId="506C33E0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lastRenderedPageBreak/>
              <w:t>Štátny znak</w:t>
            </w:r>
          </w:p>
        </w:tc>
        <w:tc>
          <w:tcPr>
            <w:tcW w:w="687" w:type="pct"/>
            <w:vAlign w:val="center"/>
          </w:tcPr>
          <w:p w14:paraId="620EF86E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27" w:type="pct"/>
            <w:vAlign w:val="center"/>
          </w:tcPr>
          <w:p w14:paraId="735D8EEA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1,10</w:t>
            </w:r>
          </w:p>
        </w:tc>
        <w:tc>
          <w:tcPr>
            <w:tcW w:w="1225" w:type="pct"/>
            <w:vAlign w:val="center"/>
          </w:tcPr>
          <w:p w14:paraId="6740A9FB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132,00</w:t>
            </w:r>
          </w:p>
        </w:tc>
      </w:tr>
      <w:tr w:rsidR="00DA4B25" w:rsidRPr="00DA4B25" w14:paraId="7A0D024E" w14:textId="77777777" w:rsidTr="00B86EEC">
        <w:trPr>
          <w:jc w:val="center"/>
        </w:trPr>
        <w:tc>
          <w:tcPr>
            <w:tcW w:w="1861" w:type="pct"/>
            <w:vAlign w:val="center"/>
          </w:tcPr>
          <w:p w14:paraId="6282023A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 xml:space="preserve">Národný park, </w:t>
            </w:r>
          </w:p>
        </w:tc>
        <w:tc>
          <w:tcPr>
            <w:tcW w:w="687" w:type="pct"/>
            <w:vAlign w:val="center"/>
          </w:tcPr>
          <w:p w14:paraId="309C4729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27" w:type="pct"/>
            <w:vAlign w:val="center"/>
          </w:tcPr>
          <w:p w14:paraId="7662AC6F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225" w:type="pct"/>
            <w:vAlign w:val="center"/>
          </w:tcPr>
          <w:p w14:paraId="427E1589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20,00</w:t>
            </w:r>
          </w:p>
        </w:tc>
      </w:tr>
      <w:tr w:rsidR="00DA4B25" w:rsidRPr="00DA4B25" w14:paraId="30598435" w14:textId="77777777" w:rsidTr="00B86EEC">
        <w:trPr>
          <w:jc w:val="center"/>
        </w:trPr>
        <w:tc>
          <w:tcPr>
            <w:tcW w:w="1861" w:type="pct"/>
            <w:vAlign w:val="center"/>
          </w:tcPr>
          <w:p w14:paraId="601E6CDC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Ochranné pásmo</w:t>
            </w:r>
          </w:p>
        </w:tc>
        <w:tc>
          <w:tcPr>
            <w:tcW w:w="687" w:type="pct"/>
            <w:vAlign w:val="center"/>
          </w:tcPr>
          <w:p w14:paraId="0A431DF3" w14:textId="77777777" w:rsidR="00DA4B25" w:rsidRPr="00DA4B25" w:rsidDel="000A7A11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27" w:type="pct"/>
            <w:vAlign w:val="center"/>
          </w:tcPr>
          <w:p w14:paraId="4BE0A794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225" w:type="pct"/>
            <w:vAlign w:val="center"/>
          </w:tcPr>
          <w:p w14:paraId="0489AA5E" w14:textId="77777777" w:rsidR="00DA4B25" w:rsidRPr="00DA4B25" w:rsidDel="000A7A11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10,00</w:t>
            </w:r>
          </w:p>
        </w:tc>
      </w:tr>
      <w:tr w:rsidR="00DA4B25" w:rsidRPr="00DA4B25" w14:paraId="468CAC2C" w14:textId="77777777" w:rsidTr="00B86EEC">
        <w:trPr>
          <w:trHeight w:val="325"/>
          <w:jc w:val="center"/>
        </w:trPr>
        <w:tc>
          <w:tcPr>
            <w:tcW w:w="1861" w:type="pct"/>
            <w:vAlign w:val="center"/>
          </w:tcPr>
          <w:p w14:paraId="7531B799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trike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Spolu</w:t>
            </w:r>
          </w:p>
        </w:tc>
        <w:tc>
          <w:tcPr>
            <w:tcW w:w="687" w:type="pct"/>
            <w:vAlign w:val="center"/>
          </w:tcPr>
          <w:p w14:paraId="0F5D5A54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7" w:type="pct"/>
            <w:vAlign w:val="center"/>
          </w:tcPr>
          <w:p w14:paraId="0B5EF1CE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225" w:type="pct"/>
            <w:vAlign w:val="center"/>
          </w:tcPr>
          <w:p w14:paraId="546F2288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trike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4 585,20</w:t>
            </w:r>
          </w:p>
        </w:tc>
      </w:tr>
    </w:tbl>
    <w:p w14:paraId="1DB5FBFD" w14:textId="77777777" w:rsidR="00DA4B25" w:rsidRPr="00DA4B25" w:rsidRDefault="00DA4B25" w:rsidP="00DA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990D0E1" w14:textId="77777777" w:rsidR="00D060BB" w:rsidRDefault="00DA4B25" w:rsidP="00D06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sz w:val="24"/>
          <w:szCs w:val="24"/>
        </w:rPr>
        <w:t xml:space="preserve">Celkové výdavky na označenie územia NP a jeho ochranného pásma predstavujú </w:t>
      </w:r>
      <w:r w:rsidRPr="00DA4B25">
        <w:rPr>
          <w:rFonts w:ascii="Times New Roman" w:hAnsi="Times New Roman" w:cs="Times New Roman"/>
          <w:b/>
          <w:sz w:val="24"/>
          <w:szCs w:val="24"/>
        </w:rPr>
        <w:t>4585,20 €.</w:t>
      </w:r>
    </w:p>
    <w:p w14:paraId="73AA3BE0" w14:textId="28994F56" w:rsidR="00DA4B25" w:rsidRPr="00DA4B25" w:rsidRDefault="00DA4B25" w:rsidP="00D060B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b/>
          <w:bCs/>
          <w:sz w:val="24"/>
          <w:szCs w:val="24"/>
        </w:rPr>
        <w:t>Na základné označenie</w:t>
      </w:r>
      <w:r w:rsidRPr="00DA4B25">
        <w:rPr>
          <w:rFonts w:ascii="Times New Roman" w:hAnsi="Times New Roman" w:cs="Times New Roman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b/>
          <w:sz w:val="24"/>
          <w:szCs w:val="24"/>
        </w:rPr>
        <w:t>zón</w:t>
      </w:r>
      <w:r w:rsidRPr="00DA4B25">
        <w:rPr>
          <w:rFonts w:ascii="Times New Roman" w:hAnsi="Times New Roman" w:cs="Times New Roman"/>
          <w:sz w:val="24"/>
          <w:szCs w:val="24"/>
        </w:rPr>
        <w:t xml:space="preserve"> chráneného územia sa použijú normalizované tabule </w:t>
      </w:r>
      <w:r w:rsidR="0014300C">
        <w:rPr>
          <w:rFonts w:ascii="Times New Roman" w:hAnsi="Times New Roman" w:cs="Times New Roman"/>
          <w:sz w:val="24"/>
          <w:szCs w:val="24"/>
        </w:rPr>
        <w:t>(</w:t>
      </w:r>
      <w:r w:rsidRPr="00DA4B25">
        <w:rPr>
          <w:rFonts w:ascii="Times New Roman" w:hAnsi="Times New Roman" w:cs="Times New Roman"/>
          <w:sz w:val="24"/>
          <w:szCs w:val="24"/>
        </w:rPr>
        <w:t>v zmysle § 24 vyhlášky č. 170/2021 Z. z.</w:t>
      </w:r>
      <w:r w:rsidR="0014300C">
        <w:rPr>
          <w:rFonts w:ascii="Times New Roman" w:hAnsi="Times New Roman" w:cs="Times New Roman"/>
          <w:sz w:val="24"/>
          <w:szCs w:val="24"/>
        </w:rPr>
        <w:t>)</w:t>
      </w:r>
      <w:r w:rsidRPr="00DA4B25">
        <w:rPr>
          <w:rFonts w:ascii="Times New Roman" w:hAnsi="Times New Roman" w:cs="Times New Roman"/>
          <w:sz w:val="24"/>
          <w:szCs w:val="24"/>
        </w:rPr>
        <w:t xml:space="preserve"> - tabule s rozmermi 10 x 10 cm s nápisom čiernej farby uvádzajúcim príslušnú zónu </w:t>
      </w:r>
      <w:r w:rsidRPr="00DA4B25">
        <w:rPr>
          <w:rFonts w:ascii="Times New Roman" w:hAnsi="Times New Roman" w:cs="Times New Roman"/>
          <w:i/>
          <w:sz w:val="24"/>
          <w:szCs w:val="24"/>
        </w:rPr>
        <w:t>(„Zóna A, Zóna B, Zóna C alebo Zóna D“</w:t>
      </w:r>
      <w:r w:rsidRPr="00DA4B25">
        <w:rPr>
          <w:rFonts w:ascii="Times New Roman" w:hAnsi="Times New Roman" w:cs="Times New Roman"/>
          <w:sz w:val="24"/>
          <w:szCs w:val="24"/>
        </w:rPr>
        <w:t xml:space="preserve">) na bielom podklade v rámiku tmavozelenej farby. Tabule sa umiestnia na drevený stĺp, ktorý bude osadený v kovovej konzole, na zabezpečenie proti poveternostným podmienkam, na dobre viditeľné miesto na hranici chráneného územia a jeho ochranného pásma spravidla na priesečníku s pozemnou komunikáciou alebo chodníkom, najmä náučným chodníkom a turistickým chodníkom. </w:t>
      </w:r>
    </w:p>
    <w:p w14:paraId="64C7EF0B" w14:textId="77777777" w:rsidR="00DA4B25" w:rsidRPr="00DA4B25" w:rsidRDefault="00DA4B25" w:rsidP="00D0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b/>
          <w:sz w:val="24"/>
          <w:szCs w:val="24"/>
        </w:rPr>
        <w:t>Na označenie zóny A</w:t>
      </w:r>
      <w:r w:rsidRPr="00DA4B25">
        <w:rPr>
          <w:rFonts w:ascii="Times New Roman" w:hAnsi="Times New Roman" w:cs="Times New Roman"/>
          <w:sz w:val="24"/>
          <w:szCs w:val="24"/>
        </w:rPr>
        <w:t xml:space="preserve"> v NP Slovenský kras je potrebné použiť 100 stĺpov a 100 normalizovaných tabúľ s rozmermi 10 x 10 cm s nápisom čiernej farby uvádzajúcim „</w:t>
      </w:r>
      <w:r w:rsidRPr="00DA4B25">
        <w:rPr>
          <w:rFonts w:ascii="Times New Roman" w:hAnsi="Times New Roman" w:cs="Times New Roman"/>
          <w:i/>
          <w:sz w:val="24"/>
          <w:szCs w:val="24"/>
        </w:rPr>
        <w:t xml:space="preserve">Zóna A“ </w:t>
      </w:r>
      <w:r w:rsidRPr="00DA4B25">
        <w:rPr>
          <w:rFonts w:ascii="Times New Roman" w:hAnsi="Times New Roman" w:cs="Times New Roman"/>
          <w:sz w:val="24"/>
          <w:szCs w:val="24"/>
        </w:rPr>
        <w:t xml:space="preserve">na bielom podklade v rámiku tmavozelenej farby. 16 normalizovaných tabúľ bude umiestnených na stĺpoch označujúcich NP Slovenský kras, 130 na novo osadených stĺpoch. Obvodové hranice zóny A sa budú označovať v teréne modrým obvodovým značením na hraničných stromoch vo výške 1,3 m po celom obvode kmeňa, tak aby označené stromy boli od seba v takej vzdialenosti, aby od každého takto označeného hraničného stromu bol dobre viditeľný aj predchádzajúci a nasledujúci hraničný strom zóny. Dĺžka obvodovej hranice na vyznačenie zóny A je </w:t>
      </w:r>
      <w:r w:rsidRPr="00DA4B25">
        <w:rPr>
          <w:rFonts w:ascii="Times New Roman" w:hAnsi="Times New Roman" w:cs="Times New Roman"/>
          <w:b/>
          <w:sz w:val="24"/>
          <w:szCs w:val="24"/>
        </w:rPr>
        <w:t>386,706</w:t>
      </w:r>
      <w:r w:rsidRPr="00DA4B25">
        <w:rPr>
          <w:rFonts w:ascii="Times New Roman" w:hAnsi="Times New Roman" w:cs="Times New Roman"/>
          <w:sz w:val="24"/>
          <w:szCs w:val="24"/>
        </w:rPr>
        <w:t xml:space="preserve"> km.</w:t>
      </w:r>
    </w:p>
    <w:p w14:paraId="652A5DC6" w14:textId="77777777" w:rsidR="00DA4B25" w:rsidRPr="00DA4B25" w:rsidRDefault="00DA4B25" w:rsidP="00D0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b/>
          <w:sz w:val="24"/>
          <w:szCs w:val="24"/>
        </w:rPr>
        <w:t>Na označenie zóny B</w:t>
      </w:r>
      <w:r w:rsidRPr="00DA4B25">
        <w:rPr>
          <w:rFonts w:ascii="Times New Roman" w:hAnsi="Times New Roman" w:cs="Times New Roman"/>
          <w:sz w:val="24"/>
          <w:szCs w:val="24"/>
        </w:rPr>
        <w:t xml:space="preserve"> v NP Slovenský kras je potrebné použiť 30 normalizovaných tabúľ s rozmermi 10 x 10 cm s nápisom čiernej farby uvádzajúcim „</w:t>
      </w:r>
      <w:r w:rsidRPr="00DA4B25">
        <w:rPr>
          <w:rFonts w:ascii="Times New Roman" w:hAnsi="Times New Roman" w:cs="Times New Roman"/>
          <w:i/>
          <w:sz w:val="24"/>
          <w:szCs w:val="24"/>
        </w:rPr>
        <w:t xml:space="preserve">Zóna B“ </w:t>
      </w:r>
      <w:r w:rsidRPr="00DA4B25">
        <w:rPr>
          <w:rFonts w:ascii="Times New Roman" w:hAnsi="Times New Roman" w:cs="Times New Roman"/>
          <w:sz w:val="24"/>
          <w:szCs w:val="24"/>
        </w:rPr>
        <w:t xml:space="preserve">na bielom podklade v rámiku tmavozelenej farby, ktoré budú umiestnené na existujúce stĺpy (na označenie </w:t>
      </w:r>
      <w:r w:rsidRPr="00DA4B25">
        <w:rPr>
          <w:rFonts w:ascii="Times New Roman" w:hAnsi="Times New Roman" w:cs="Times New Roman"/>
          <w:b/>
          <w:sz w:val="24"/>
          <w:szCs w:val="24"/>
        </w:rPr>
        <w:t>B zóny</w:t>
      </w:r>
      <w:r w:rsidRPr="00DA4B25">
        <w:rPr>
          <w:rFonts w:ascii="Times New Roman" w:hAnsi="Times New Roman" w:cs="Times New Roman"/>
          <w:sz w:val="24"/>
          <w:szCs w:val="24"/>
        </w:rPr>
        <w:t xml:space="preserve"> sa použijú stĺpy označujúce </w:t>
      </w:r>
      <w:r w:rsidRPr="00DA4B25">
        <w:rPr>
          <w:rFonts w:ascii="Times New Roman" w:hAnsi="Times New Roman" w:cs="Times New Roman"/>
          <w:b/>
          <w:sz w:val="24"/>
          <w:szCs w:val="24"/>
        </w:rPr>
        <w:t>A zónu)</w:t>
      </w:r>
      <w:r w:rsidRPr="00DA4B25">
        <w:rPr>
          <w:rFonts w:ascii="Times New Roman" w:hAnsi="Times New Roman" w:cs="Times New Roman"/>
          <w:sz w:val="24"/>
          <w:szCs w:val="24"/>
        </w:rPr>
        <w:t xml:space="preserve">. Obvodové hranice zóny B sa budú označovať v teréne modrým obvodovým značením na hraničných stromoch vo výške 1,3 m po celom obvode kmeňa, tak aby označené stromy boli od seba v takej vzdialenosti, aby od každého takto označeného hraničného stromu bol dobre viditeľný aj predchádzajúci a nasledujúci hraničný strom zóny. Dĺžka obvodovej hranice na vyznačenie zóny B je </w:t>
      </w:r>
      <w:r w:rsidRPr="00DA4B25">
        <w:rPr>
          <w:rFonts w:ascii="Times New Roman" w:hAnsi="Times New Roman" w:cs="Times New Roman"/>
          <w:b/>
          <w:sz w:val="24"/>
          <w:szCs w:val="24"/>
        </w:rPr>
        <w:t>69,470</w:t>
      </w:r>
      <w:r w:rsidRPr="00DA4B25">
        <w:rPr>
          <w:rFonts w:ascii="Times New Roman" w:hAnsi="Times New Roman" w:cs="Times New Roman"/>
          <w:sz w:val="24"/>
          <w:szCs w:val="24"/>
        </w:rPr>
        <w:t xml:space="preserve"> km.</w:t>
      </w:r>
    </w:p>
    <w:p w14:paraId="255C5A89" w14:textId="1C85630C" w:rsidR="00DA4B25" w:rsidRPr="00DA4B25" w:rsidRDefault="00DA4B25" w:rsidP="00D06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25">
        <w:rPr>
          <w:rFonts w:ascii="Times New Roman" w:hAnsi="Times New Roman" w:cs="Times New Roman"/>
          <w:b/>
          <w:sz w:val="24"/>
          <w:szCs w:val="24"/>
        </w:rPr>
        <w:t xml:space="preserve">Na označenie zóny C </w:t>
      </w:r>
      <w:r w:rsidRPr="00DA4B25">
        <w:rPr>
          <w:rFonts w:ascii="Times New Roman" w:hAnsi="Times New Roman" w:cs="Times New Roman"/>
          <w:sz w:val="24"/>
          <w:szCs w:val="24"/>
        </w:rPr>
        <w:t>v NP Slovenský kras je potrebné použiť 33 stĺpov a 33  normalizovaných tabúľ s rozmermi 10 x 10 cm s nápisom čiernej farby uvádzajúcim „</w:t>
      </w:r>
      <w:r w:rsidRPr="00DA4B25">
        <w:rPr>
          <w:rFonts w:ascii="Times New Roman" w:hAnsi="Times New Roman" w:cs="Times New Roman"/>
          <w:i/>
          <w:sz w:val="24"/>
          <w:szCs w:val="24"/>
        </w:rPr>
        <w:t xml:space="preserve">Zóna C“ </w:t>
      </w:r>
      <w:r w:rsidRPr="00DA4B25">
        <w:rPr>
          <w:rFonts w:ascii="Times New Roman" w:hAnsi="Times New Roman" w:cs="Times New Roman"/>
          <w:sz w:val="24"/>
          <w:szCs w:val="24"/>
        </w:rPr>
        <w:t xml:space="preserve">na bielom podklade v rámiku tmavozelenej farby, 33 na novo osadených stĺpoch.  Obvodové hranice zóny C sa </w:t>
      </w:r>
      <w:r w:rsidR="0014300C">
        <w:rPr>
          <w:rFonts w:ascii="Times New Roman" w:hAnsi="Times New Roman" w:cs="Times New Roman"/>
          <w:sz w:val="24"/>
          <w:szCs w:val="24"/>
        </w:rPr>
        <w:t>(</w:t>
      </w:r>
      <w:r w:rsidRPr="00DA4B25">
        <w:rPr>
          <w:rFonts w:ascii="Times New Roman" w:hAnsi="Times New Roman" w:cs="Times New Roman"/>
          <w:sz w:val="24"/>
          <w:szCs w:val="24"/>
        </w:rPr>
        <w:t>na základe § 24 ods. 7 vyhlášky č. 170/2021 Z. z.</w:t>
      </w:r>
      <w:r w:rsidR="0014300C">
        <w:rPr>
          <w:rFonts w:ascii="Times New Roman" w:hAnsi="Times New Roman" w:cs="Times New Roman"/>
          <w:sz w:val="24"/>
          <w:szCs w:val="24"/>
        </w:rPr>
        <w:t>)</w:t>
      </w:r>
      <w:r w:rsidRPr="00DA4B25">
        <w:rPr>
          <w:rFonts w:ascii="Times New Roman" w:hAnsi="Times New Roman" w:cs="Times New Roman"/>
          <w:sz w:val="24"/>
          <w:szCs w:val="24"/>
        </w:rPr>
        <w:t xml:space="preserve"> v teréne nevyznačujú.</w:t>
      </w:r>
    </w:p>
    <w:p w14:paraId="6309F8EF" w14:textId="44357DCE" w:rsidR="00DA4B25" w:rsidRPr="00DA4B25" w:rsidRDefault="00DA4B25" w:rsidP="00D060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B25">
        <w:rPr>
          <w:rFonts w:ascii="Times New Roman" w:hAnsi="Times New Roman" w:cs="Times New Roman"/>
          <w:b/>
          <w:sz w:val="24"/>
          <w:szCs w:val="24"/>
        </w:rPr>
        <w:t xml:space="preserve">Na označenie zóny D </w:t>
      </w:r>
      <w:r w:rsidRPr="00DA4B25">
        <w:rPr>
          <w:rFonts w:ascii="Times New Roman" w:hAnsi="Times New Roman" w:cs="Times New Roman"/>
          <w:sz w:val="24"/>
          <w:szCs w:val="24"/>
        </w:rPr>
        <w:t>v NP Slovenský kras je potrebné použiť 4 stĺpy a 4 normalizované tabule s rozmermi 10 x 10 cm s nápisom čiernej farby uvádzajúcim „</w:t>
      </w:r>
      <w:r w:rsidRPr="00DA4B25">
        <w:rPr>
          <w:rFonts w:ascii="Times New Roman" w:hAnsi="Times New Roman" w:cs="Times New Roman"/>
          <w:i/>
          <w:sz w:val="24"/>
          <w:szCs w:val="24"/>
        </w:rPr>
        <w:t xml:space="preserve">Zóna D“ </w:t>
      </w:r>
      <w:r w:rsidRPr="00DA4B25">
        <w:rPr>
          <w:rFonts w:ascii="Times New Roman" w:hAnsi="Times New Roman" w:cs="Times New Roman"/>
          <w:sz w:val="24"/>
          <w:szCs w:val="24"/>
        </w:rPr>
        <w:t xml:space="preserve">na bielom podklade v rámiku tmavozelenej farby, 4 na novo osadených stĺpoch. Obvodové hranice zóny D sa </w:t>
      </w:r>
      <w:r w:rsidR="0014300C">
        <w:rPr>
          <w:rFonts w:ascii="Times New Roman" w:hAnsi="Times New Roman" w:cs="Times New Roman"/>
          <w:sz w:val="24"/>
          <w:szCs w:val="24"/>
        </w:rPr>
        <w:t>(</w:t>
      </w:r>
      <w:r w:rsidRPr="00DA4B25">
        <w:rPr>
          <w:rFonts w:ascii="Times New Roman" w:hAnsi="Times New Roman" w:cs="Times New Roman"/>
          <w:sz w:val="24"/>
          <w:szCs w:val="24"/>
        </w:rPr>
        <w:t>na základe § 24 ods. 7 vyhlášky č. 170/2021 Z. z.</w:t>
      </w:r>
      <w:r w:rsidR="0014300C">
        <w:rPr>
          <w:rFonts w:ascii="Times New Roman" w:hAnsi="Times New Roman" w:cs="Times New Roman"/>
          <w:sz w:val="24"/>
          <w:szCs w:val="24"/>
        </w:rPr>
        <w:t>)</w:t>
      </w:r>
      <w:r w:rsidRPr="00DA4B25">
        <w:rPr>
          <w:rFonts w:ascii="Times New Roman" w:hAnsi="Times New Roman" w:cs="Times New Roman"/>
          <w:sz w:val="24"/>
          <w:szCs w:val="24"/>
        </w:rPr>
        <w:t xml:space="preserve"> v teréne nevyznačujú.</w:t>
      </w:r>
    </w:p>
    <w:p w14:paraId="109FC763" w14:textId="77777777" w:rsidR="00DA4B25" w:rsidRPr="00DA4B25" w:rsidRDefault="0062219D" w:rsidP="0062219D">
      <w:pPr>
        <w:pStyle w:val="Popis"/>
        <w:keepNext/>
        <w:spacing w:before="240" w:after="0"/>
        <w:rPr>
          <w:color w:val="auto"/>
          <w:sz w:val="24"/>
          <w:szCs w:val="24"/>
        </w:rPr>
      </w:pPr>
      <w:r>
        <w:rPr>
          <w:rFonts w:eastAsia="Times New Roman"/>
          <w:i w:val="0"/>
          <w:sz w:val="20"/>
          <w:szCs w:val="20"/>
          <w:lang w:eastAsia="sk-SK"/>
        </w:rPr>
        <w:t>Tabuľka č. 7</w:t>
      </w:r>
      <w:r w:rsidRPr="0062219D">
        <w:t xml:space="preserve"> </w:t>
      </w:r>
      <w:r w:rsidRPr="0062219D">
        <w:rPr>
          <w:rFonts w:eastAsia="Times New Roman"/>
          <w:i w:val="0"/>
          <w:sz w:val="20"/>
          <w:szCs w:val="20"/>
          <w:lang w:eastAsia="sk-SK"/>
        </w:rPr>
        <w:t>Výdavky na označenie zón národného parku</w:t>
      </w:r>
      <w:r w:rsidRPr="0062219D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991"/>
        <w:gridCol w:w="2065"/>
        <w:gridCol w:w="2323"/>
      </w:tblGrid>
      <w:tr w:rsidR="00DA4B25" w:rsidRPr="00DA4B25" w14:paraId="0BF92983" w14:textId="77777777" w:rsidTr="00B86EEC">
        <w:trPr>
          <w:trHeight w:val="774"/>
          <w:jc w:val="center"/>
        </w:trPr>
        <w:tc>
          <w:tcPr>
            <w:tcW w:w="1639" w:type="pct"/>
            <w:shd w:val="clear" w:color="auto" w:fill="BFBFBF" w:themeFill="background1" w:themeFillShade="BF"/>
            <w:vAlign w:val="center"/>
          </w:tcPr>
          <w:p w14:paraId="5CB0DD48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Položka</w:t>
            </w:r>
          </w:p>
        </w:tc>
        <w:tc>
          <w:tcPr>
            <w:tcW w:w="1049" w:type="pct"/>
            <w:shd w:val="clear" w:color="auto" w:fill="BFBFBF" w:themeFill="background1" w:themeFillShade="BF"/>
            <w:vAlign w:val="center"/>
          </w:tcPr>
          <w:p w14:paraId="0825F577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Počet/množstvo</w:t>
            </w:r>
          </w:p>
          <w:p w14:paraId="334695B2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(ks)</w:t>
            </w:r>
          </w:p>
        </w:tc>
        <w:tc>
          <w:tcPr>
            <w:tcW w:w="1088" w:type="pct"/>
            <w:shd w:val="clear" w:color="auto" w:fill="BFBFBF" w:themeFill="background1" w:themeFillShade="BF"/>
            <w:vAlign w:val="center"/>
            <w:hideMark/>
          </w:tcPr>
          <w:p w14:paraId="35E9A1BC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Jednotková cena   (€)</w:t>
            </w:r>
          </w:p>
        </w:tc>
        <w:tc>
          <w:tcPr>
            <w:tcW w:w="1224" w:type="pct"/>
            <w:shd w:val="clear" w:color="auto" w:fill="BFBFBF" w:themeFill="background1" w:themeFillShade="BF"/>
            <w:vAlign w:val="center"/>
            <w:hideMark/>
          </w:tcPr>
          <w:p w14:paraId="5EEE7B7E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 xml:space="preserve">Rozpočet </w:t>
            </w:r>
          </w:p>
          <w:p w14:paraId="7E047493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(€)</w:t>
            </w:r>
          </w:p>
        </w:tc>
      </w:tr>
      <w:tr w:rsidR="00DA4B25" w:rsidRPr="00DA4B25" w14:paraId="65678145" w14:textId="77777777" w:rsidTr="00B86EEC">
        <w:trPr>
          <w:jc w:val="center"/>
        </w:trPr>
        <w:tc>
          <w:tcPr>
            <w:tcW w:w="1639" w:type="pct"/>
          </w:tcPr>
          <w:p w14:paraId="70BA2EAD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Kovová konzola na upevnenie</w:t>
            </w:r>
          </w:p>
        </w:tc>
        <w:tc>
          <w:tcPr>
            <w:tcW w:w="1049" w:type="pct"/>
            <w:vAlign w:val="center"/>
          </w:tcPr>
          <w:p w14:paraId="319D8382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88" w:type="pct"/>
            <w:vAlign w:val="center"/>
          </w:tcPr>
          <w:p w14:paraId="02CAD1FF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24" w:type="pct"/>
            <w:vAlign w:val="center"/>
          </w:tcPr>
          <w:p w14:paraId="39E6C6DB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3 562,00</w:t>
            </w:r>
          </w:p>
        </w:tc>
      </w:tr>
      <w:tr w:rsidR="00DA4B25" w:rsidRPr="00DA4B25" w14:paraId="5E81FED7" w14:textId="77777777" w:rsidTr="00B86EEC">
        <w:trPr>
          <w:jc w:val="center"/>
        </w:trPr>
        <w:tc>
          <w:tcPr>
            <w:tcW w:w="1639" w:type="pct"/>
          </w:tcPr>
          <w:p w14:paraId="4ED7305F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Drevený stĺp so strieškou</w:t>
            </w:r>
          </w:p>
        </w:tc>
        <w:tc>
          <w:tcPr>
            <w:tcW w:w="1049" w:type="pct"/>
            <w:vAlign w:val="center"/>
          </w:tcPr>
          <w:p w14:paraId="30679377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88" w:type="pct"/>
            <w:vAlign w:val="center"/>
          </w:tcPr>
          <w:p w14:paraId="109105BD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4" w:type="pct"/>
            <w:vAlign w:val="center"/>
          </w:tcPr>
          <w:p w14:paraId="2695DE68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  4 658,00</w:t>
            </w:r>
          </w:p>
        </w:tc>
      </w:tr>
      <w:tr w:rsidR="00DA4B25" w:rsidRPr="00DA4B25" w14:paraId="632AABE6" w14:textId="77777777" w:rsidTr="00B86EEC">
        <w:trPr>
          <w:jc w:val="center"/>
        </w:trPr>
        <w:tc>
          <w:tcPr>
            <w:tcW w:w="1639" w:type="pct"/>
          </w:tcPr>
          <w:p w14:paraId="3C1A6DC0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Normalizované tabule:</w:t>
            </w:r>
          </w:p>
          <w:p w14:paraId="5CF12AF3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 xml:space="preserve">Tabuľa 10 x 10 cm </w:t>
            </w:r>
          </w:p>
        </w:tc>
        <w:tc>
          <w:tcPr>
            <w:tcW w:w="1049" w:type="pct"/>
            <w:vAlign w:val="center"/>
          </w:tcPr>
          <w:p w14:paraId="2B09A211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167</w:t>
            </w:r>
          </w:p>
          <w:p w14:paraId="2B9B2E55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pct"/>
            <w:vAlign w:val="center"/>
          </w:tcPr>
          <w:p w14:paraId="7B4D49A4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6,86</w:t>
            </w:r>
          </w:p>
        </w:tc>
        <w:tc>
          <w:tcPr>
            <w:tcW w:w="1224" w:type="pct"/>
            <w:vAlign w:val="center"/>
          </w:tcPr>
          <w:p w14:paraId="5F0F25D1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1 145,62</w:t>
            </w:r>
          </w:p>
        </w:tc>
      </w:tr>
      <w:tr w:rsidR="00DA4B25" w:rsidRPr="00DA4B25" w14:paraId="75D1E4AD" w14:textId="77777777" w:rsidTr="00B86EEC">
        <w:trPr>
          <w:jc w:val="center"/>
        </w:trPr>
        <w:tc>
          <w:tcPr>
            <w:tcW w:w="5000" w:type="pct"/>
            <w:gridSpan w:val="4"/>
            <w:vAlign w:val="center"/>
          </w:tcPr>
          <w:p w14:paraId="771182C0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Samolepiace fólie dvojdielne:</w:t>
            </w:r>
          </w:p>
        </w:tc>
      </w:tr>
      <w:tr w:rsidR="00DA4B25" w:rsidRPr="00DA4B25" w14:paraId="2D1B1F86" w14:textId="77777777" w:rsidTr="00B86EEC">
        <w:trPr>
          <w:jc w:val="center"/>
        </w:trPr>
        <w:tc>
          <w:tcPr>
            <w:tcW w:w="1639" w:type="pct"/>
          </w:tcPr>
          <w:p w14:paraId="103EB477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Zóna</w:t>
            </w:r>
          </w:p>
        </w:tc>
        <w:tc>
          <w:tcPr>
            <w:tcW w:w="1049" w:type="pct"/>
            <w:vAlign w:val="center"/>
          </w:tcPr>
          <w:p w14:paraId="509DF732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088" w:type="pct"/>
            <w:vAlign w:val="center"/>
          </w:tcPr>
          <w:p w14:paraId="57211B52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224" w:type="pct"/>
            <w:vAlign w:val="center"/>
          </w:tcPr>
          <w:p w14:paraId="2C21F0AE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83,50</w:t>
            </w:r>
          </w:p>
        </w:tc>
      </w:tr>
      <w:tr w:rsidR="00DA4B25" w:rsidRPr="00DA4B25" w14:paraId="69D005F3" w14:textId="77777777" w:rsidTr="00B86EEC">
        <w:trPr>
          <w:jc w:val="center"/>
        </w:trPr>
        <w:tc>
          <w:tcPr>
            <w:tcW w:w="1639" w:type="pct"/>
          </w:tcPr>
          <w:p w14:paraId="04952921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Spolu</w:t>
            </w:r>
          </w:p>
        </w:tc>
        <w:tc>
          <w:tcPr>
            <w:tcW w:w="1049" w:type="pct"/>
            <w:vAlign w:val="center"/>
          </w:tcPr>
          <w:p w14:paraId="69579B78" w14:textId="77777777" w:rsidR="00DA4B25" w:rsidRPr="00DA4B25" w:rsidDel="00BE7412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8" w:type="pct"/>
            <w:vAlign w:val="center"/>
          </w:tcPr>
          <w:p w14:paraId="60F44B8B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pct"/>
            <w:vAlign w:val="center"/>
          </w:tcPr>
          <w:p w14:paraId="1703047E" w14:textId="77777777" w:rsidR="00DA4B25" w:rsidRPr="00DA4B25" w:rsidDel="00BE7412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9 449,12</w:t>
            </w:r>
          </w:p>
        </w:tc>
      </w:tr>
    </w:tbl>
    <w:p w14:paraId="6C81339C" w14:textId="77777777" w:rsidR="00DA4B25" w:rsidRPr="00DA4B25" w:rsidRDefault="00DA4B25" w:rsidP="00DA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DCF0" w14:textId="77777777" w:rsidR="00DA4B25" w:rsidRPr="00DA4B25" w:rsidRDefault="0062219D" w:rsidP="00DA4B25">
      <w:pPr>
        <w:pStyle w:val="Popis"/>
        <w:keepNext/>
        <w:spacing w:after="0"/>
        <w:rPr>
          <w:color w:val="auto"/>
          <w:sz w:val="24"/>
          <w:szCs w:val="24"/>
        </w:rPr>
      </w:pPr>
      <w:r>
        <w:rPr>
          <w:rFonts w:eastAsia="Times New Roman"/>
          <w:i w:val="0"/>
          <w:sz w:val="20"/>
          <w:szCs w:val="20"/>
          <w:lang w:eastAsia="sk-SK"/>
        </w:rPr>
        <w:t>Tabuľka č. 8</w:t>
      </w:r>
      <w:r w:rsidRPr="0062219D">
        <w:t xml:space="preserve"> </w:t>
      </w:r>
      <w:r w:rsidRPr="0062219D">
        <w:rPr>
          <w:rFonts w:eastAsia="Times New Roman"/>
          <w:i w:val="0"/>
          <w:sz w:val="20"/>
          <w:szCs w:val="20"/>
          <w:lang w:eastAsia="sk-SK"/>
        </w:rPr>
        <w:t>Výdavky na obvodové značenie zón</w:t>
      </w:r>
      <w:r w:rsidRPr="0062219D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330"/>
        <w:gridCol w:w="2860"/>
      </w:tblGrid>
      <w:tr w:rsidR="00DA4B25" w:rsidRPr="00DA4B25" w14:paraId="115D597B" w14:textId="77777777" w:rsidTr="00B86EEC">
        <w:trPr>
          <w:trHeight w:val="779"/>
          <w:jc w:val="center"/>
        </w:trPr>
        <w:tc>
          <w:tcPr>
            <w:tcW w:w="1738" w:type="pct"/>
            <w:shd w:val="clear" w:color="auto" w:fill="BFBFBF" w:themeFill="background1" w:themeFillShade="BF"/>
            <w:vAlign w:val="center"/>
          </w:tcPr>
          <w:p w14:paraId="7D19A100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Obvod hraníc zóny</w:t>
            </w:r>
          </w:p>
          <w:p w14:paraId="5B427795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A </w:t>
            </w:r>
            <w:proofErr w:type="spellStart"/>
            <w:r w:rsidRPr="00DA4B25">
              <w:rPr>
                <w:b/>
                <w:sz w:val="24"/>
                <w:szCs w:val="24"/>
                <w:lang w:eastAsia="en-US"/>
              </w:rPr>
              <w:t>a</w:t>
            </w:r>
            <w:proofErr w:type="spellEnd"/>
            <w:r w:rsidRPr="00DA4B25">
              <w:rPr>
                <w:b/>
                <w:sz w:val="24"/>
                <w:szCs w:val="24"/>
                <w:lang w:eastAsia="en-US"/>
              </w:rPr>
              <w:t> B (km)</w:t>
            </w:r>
          </w:p>
        </w:tc>
        <w:tc>
          <w:tcPr>
            <w:tcW w:w="1755" w:type="pct"/>
            <w:shd w:val="clear" w:color="auto" w:fill="BFBFBF" w:themeFill="background1" w:themeFillShade="BF"/>
            <w:vAlign w:val="center"/>
          </w:tcPr>
          <w:p w14:paraId="1FF26F44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Výdavky na farbu, štetce a kefy na 1 km hranice (€)</w:t>
            </w:r>
          </w:p>
        </w:tc>
        <w:tc>
          <w:tcPr>
            <w:tcW w:w="1507" w:type="pct"/>
            <w:shd w:val="clear" w:color="auto" w:fill="BFBFBF" w:themeFill="background1" w:themeFillShade="BF"/>
            <w:vAlign w:val="center"/>
            <w:hideMark/>
          </w:tcPr>
          <w:p w14:paraId="32A338E7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 xml:space="preserve">Rozpočet </w:t>
            </w:r>
          </w:p>
          <w:p w14:paraId="3ACACE69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DA4B25">
              <w:rPr>
                <w:b/>
                <w:sz w:val="24"/>
                <w:szCs w:val="24"/>
                <w:lang w:eastAsia="en-US"/>
              </w:rPr>
              <w:t>(€)</w:t>
            </w:r>
          </w:p>
        </w:tc>
      </w:tr>
      <w:tr w:rsidR="00DA4B25" w:rsidRPr="00DA4B25" w14:paraId="1C5C0F4B" w14:textId="77777777" w:rsidTr="00B86EEC">
        <w:trPr>
          <w:jc w:val="center"/>
        </w:trPr>
        <w:tc>
          <w:tcPr>
            <w:tcW w:w="1738" w:type="pct"/>
          </w:tcPr>
          <w:p w14:paraId="453E742A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456,176</w:t>
            </w:r>
          </w:p>
        </w:tc>
        <w:tc>
          <w:tcPr>
            <w:tcW w:w="1755" w:type="pct"/>
          </w:tcPr>
          <w:p w14:paraId="07FB36BE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07" w:type="pct"/>
          </w:tcPr>
          <w:p w14:paraId="4B6FD570" w14:textId="77777777" w:rsidR="00DA4B25" w:rsidRPr="00DA4B25" w:rsidRDefault="00DA4B25" w:rsidP="00DA4B25">
            <w:pPr>
              <w:pStyle w:val="Hlavika"/>
              <w:tabs>
                <w:tab w:val="left" w:pos="708"/>
              </w:tabs>
              <w:ind w:right="336"/>
              <w:jc w:val="both"/>
              <w:rPr>
                <w:sz w:val="24"/>
                <w:szCs w:val="24"/>
                <w:lang w:eastAsia="en-US"/>
              </w:rPr>
            </w:pPr>
            <w:r w:rsidRPr="00DA4B25">
              <w:rPr>
                <w:sz w:val="24"/>
                <w:szCs w:val="24"/>
                <w:lang w:eastAsia="en-US"/>
              </w:rPr>
              <w:t>9 123,52</w:t>
            </w:r>
          </w:p>
        </w:tc>
      </w:tr>
    </w:tbl>
    <w:p w14:paraId="12C36F6A" w14:textId="77777777" w:rsidR="00DA4B25" w:rsidRPr="00DA4B25" w:rsidRDefault="00DA4B25" w:rsidP="00DA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5EDB4" w14:textId="77777777" w:rsidR="00DA4B25" w:rsidRPr="00DA4B25" w:rsidRDefault="00DA4B25" w:rsidP="00DA4B25">
      <w:pPr>
        <w:pStyle w:val="Popis"/>
        <w:keepNext/>
        <w:spacing w:after="0"/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</w:pPr>
      <w:r w:rsidRPr="00DA4B25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ab/>
        <w:t>Celkové výdavky na označenie zón NP predstavujú</w:t>
      </w:r>
      <w:r w:rsidRPr="00DA4B25">
        <w:rPr>
          <w:i w:val="0"/>
          <w:iCs w:val="0"/>
          <w:color w:val="auto"/>
          <w:sz w:val="24"/>
          <w:szCs w:val="24"/>
        </w:rPr>
        <w:t xml:space="preserve"> </w:t>
      </w:r>
      <w:r w:rsidRPr="00DA4B25">
        <w:rPr>
          <w:b/>
          <w:i w:val="0"/>
          <w:iCs w:val="0"/>
          <w:color w:val="auto"/>
          <w:sz w:val="24"/>
          <w:szCs w:val="24"/>
        </w:rPr>
        <w:t>18 572,62 €</w:t>
      </w:r>
      <w:r w:rsidRPr="00DA4B25">
        <w:rPr>
          <w:rFonts w:eastAsia="Times New Roman"/>
          <w:i w:val="0"/>
          <w:iCs w:val="0"/>
          <w:color w:val="auto"/>
          <w:sz w:val="24"/>
          <w:szCs w:val="24"/>
          <w:lang w:eastAsia="sk-SK"/>
        </w:rPr>
        <w:t xml:space="preserve"> a spoločne s označením územia NP  a jeho ochranného pásma predstavujú </w:t>
      </w:r>
      <w:r w:rsidRPr="004567F0">
        <w:rPr>
          <w:rFonts w:eastAsia="Times New Roman"/>
          <w:b/>
          <w:i w:val="0"/>
          <w:iCs w:val="0"/>
          <w:color w:val="auto"/>
          <w:sz w:val="24"/>
          <w:szCs w:val="24"/>
          <w:u w:val="single"/>
          <w:lang w:eastAsia="sk-SK"/>
        </w:rPr>
        <w:t>23 157,80 €.</w:t>
      </w:r>
    </w:p>
    <w:p w14:paraId="08CCF513" w14:textId="77777777" w:rsidR="003D6841" w:rsidRPr="007D5748" w:rsidRDefault="003D684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3D6841" w:rsidRPr="007D5748" w:rsidSect="00B86EE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991" w:bottom="1276" w:left="1417" w:header="708" w:footer="708" w:gutter="0"/>
          <w:cols w:space="708"/>
          <w:docGrid w:linePitch="360"/>
        </w:sectPr>
      </w:pPr>
    </w:p>
    <w:p w14:paraId="39E295EC" w14:textId="77777777" w:rsidR="007D5748" w:rsidRPr="00072808" w:rsidRDefault="007D5748" w:rsidP="008773D9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Tabuľka č. </w:t>
      </w:r>
      <w:r w:rsidR="0062219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9</w:t>
      </w: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</w:p>
    <w:tbl>
      <w:tblPr>
        <w:tblpPr w:leftFromText="141" w:rightFromText="141" w:vertAnchor="page" w:horzAnchor="margin" w:tblpY="1697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62219D" w:rsidRPr="007D5748" w14:paraId="716BA9F4" w14:textId="77777777" w:rsidTr="0062219D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9E452B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05293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FC7D9D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2219D" w:rsidRPr="007D5748" w14:paraId="60825B21" w14:textId="77777777" w:rsidTr="0062219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DF24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443DD" w14:textId="43C950BB" w:rsidR="0062219D" w:rsidRPr="007D5748" w:rsidRDefault="00F1567A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C62AF" w14:textId="1D2AE0A4" w:rsidR="0062219D" w:rsidRPr="007D5748" w:rsidRDefault="00F1567A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428E8C" w14:textId="10F8AABB" w:rsidR="0062219D" w:rsidRPr="007D5748" w:rsidRDefault="00F1567A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634277" w14:textId="2EBA6F6C" w:rsidR="0062219D" w:rsidRPr="007D5748" w:rsidRDefault="00F1567A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8C25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62219D" w:rsidRPr="007D5748" w14:paraId="4E311AFC" w14:textId="77777777" w:rsidTr="006221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C37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8AAAE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D7F7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1D0DB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4F42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B4776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2219D" w:rsidRPr="007D5748" w14:paraId="5EF96F55" w14:textId="77777777" w:rsidTr="006221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A53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C7C2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1CA5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9E22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8765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41013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2219D" w:rsidRPr="007D5748" w14:paraId="7FE495E8" w14:textId="77777777" w:rsidTr="006221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631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585F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614CB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993E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BD622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2C4CB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2219D" w:rsidRPr="007D5748" w14:paraId="4974A013" w14:textId="77777777" w:rsidTr="006221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05A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E0FC43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3A8203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9A879B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5108F9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ECC3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2219D" w:rsidRPr="007D5748" w14:paraId="4136AD82" w14:textId="77777777" w:rsidTr="006221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B53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DE017F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EC56E2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CDC53C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148448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3B72A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2219D" w:rsidRPr="007D5748" w14:paraId="1848EFB2" w14:textId="77777777" w:rsidTr="0062219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AB399A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CDBFEE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8F862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DA928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FF5067" w14:textId="77777777" w:rsidR="0062219D" w:rsidRPr="007D5748" w:rsidRDefault="0062219D" w:rsidP="0062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4BC5656" w14:textId="77777777" w:rsidR="0062219D" w:rsidRPr="007D5748" w:rsidRDefault="0062219D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12039F5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0C5C51FC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CC1EC30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468EDDC1" w14:textId="77777777" w:rsidR="003D6841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1DE19AA" w14:textId="77777777" w:rsidR="006D0BB3" w:rsidRDefault="006D0BB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6D0BB3" w:rsidSect="00B86E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8B85D1" w14:textId="77777777" w:rsidR="0062219D" w:rsidRPr="00072808" w:rsidRDefault="007D5748" w:rsidP="008773D9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Tabuľka č. </w:t>
      </w:r>
      <w:r w:rsidR="0062219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10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14:paraId="5B75169C" w14:textId="77777777" w:rsidTr="00561D7D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9994E5" w14:textId="77777777" w:rsidR="007D5748" w:rsidRPr="007D5748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MŽP SR v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F1D34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44476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0B7FCEFA" w14:textId="77777777" w:rsidTr="00561D7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13BB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D65B4" w14:textId="41515182" w:rsidR="007D5748" w:rsidRPr="005C6CBB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836C08" w14:textId="67B0C8CF" w:rsidR="007D5748" w:rsidRPr="005C6CBB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426E2" w14:textId="04148C36" w:rsidR="007D5748" w:rsidRPr="005C6CBB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46A81" w14:textId="2353B362" w:rsidR="007D5748" w:rsidRPr="00597B5E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39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7D3F23F9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A1D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C458" w14:textId="5D15802E" w:rsidR="007D5748" w:rsidRPr="005C6CBB" w:rsidRDefault="00F1567A" w:rsidP="001E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23 15</w:t>
            </w:r>
            <w:r w:rsidR="00732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D143A" w14:textId="77777777"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A7A6" w14:textId="77777777"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5614" w14:textId="77777777" w:rsidR="007D5748" w:rsidRPr="00597B5E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4481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8B08B69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482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DF594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61A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C8B24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F344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B560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7CF30B7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374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E377B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4852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A3513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2F816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44A3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FCF7E0D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A13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8A37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64C7A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D5C4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73FB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F2B5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97E4E8A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EE3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  <w:p w14:paraId="11F8FF1A" w14:textId="77777777" w:rsidR="00597B5E" w:rsidRPr="005C6CBB" w:rsidRDefault="00597B5E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641001 – príspevkovej organizácii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F4A9C" w14:textId="1CE34CCA" w:rsidR="00F1567A" w:rsidRPr="00F1567A" w:rsidRDefault="00F1567A" w:rsidP="001E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1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23 15</w:t>
            </w:r>
            <w:r w:rsidR="0073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</w:t>
            </w:r>
          </w:p>
          <w:p w14:paraId="1ABE0510" w14:textId="5705A052" w:rsidR="00597B5E" w:rsidRPr="005C6CBB" w:rsidRDefault="00F1567A" w:rsidP="001E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15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23 15</w:t>
            </w:r>
            <w:r w:rsidR="00732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4E7BF" w14:textId="77777777"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30CB2EF4" w14:textId="77777777" w:rsidR="00597B5E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12B0" w14:textId="77777777" w:rsidR="007D5748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723AF826" w14:textId="77777777" w:rsidR="00597B5E" w:rsidRPr="005C6CBB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EC0B7" w14:textId="77777777" w:rsidR="007D5748" w:rsidRPr="00597B5E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77441082" w14:textId="77777777" w:rsidR="00597B5E" w:rsidRPr="00597B5E" w:rsidRDefault="00597B5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A37E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6001538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C686" w14:textId="77777777" w:rsidR="007D5748" w:rsidRPr="005C6CBB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="008D339D" w:rsidRPr="005C6CBB">
              <w:rPr>
                <w:sz w:val="24"/>
                <w:szCs w:val="24"/>
              </w:rPr>
              <w:t xml:space="preserve"> </w:t>
            </w:r>
            <w:r w:rsidR="008D339D"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(650)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7B39B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3299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0A00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637C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D82C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7A8CDE25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CE7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37F4D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8E74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0DE0C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270A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D525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548A8D6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C1A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A243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9C63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C56B6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484D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D970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5EA6685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EC9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27513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25502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41846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1A82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C86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6AA2538" w14:textId="77777777" w:rsidTr="00561D7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840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540A95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26CF5E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EE2FCD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AC9F78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E89D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C0FFF66" w14:textId="77777777" w:rsidTr="00561D7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628659" w14:textId="77777777" w:rsidR="007D5748" w:rsidRPr="005C6CB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8D63B" w14:textId="0DE459CF" w:rsidR="007D5748" w:rsidRPr="005C6CBB" w:rsidRDefault="00F1567A" w:rsidP="001E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23 15</w:t>
            </w:r>
            <w:r w:rsidR="00732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CF5D5E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3DA102" w14:textId="77777777" w:rsidR="007D5748" w:rsidRPr="005C6CBB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56BCF8" w14:textId="77777777" w:rsidR="007D5748" w:rsidRPr="00597B5E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9C37A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CC5BDF3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4915019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5EA2644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42CACB94" w14:textId="77777777" w:rsidR="003D6841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3D6841" w:rsidSect="00B86E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8F0D48A" w14:textId="77777777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A16A1ED" w14:textId="77777777" w:rsidR="007D5748" w:rsidRPr="007D5748" w:rsidRDefault="003D6841" w:rsidP="0062219D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Tabuľka č. </w:t>
      </w:r>
      <w:r w:rsidR="0062219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11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597B5E" w:rsidRPr="007D5748" w14:paraId="18C4431A" w14:textId="77777777" w:rsidTr="00D716E8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4EDB3C" w14:textId="77777777" w:rsidR="00597B5E" w:rsidRPr="007D5748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MV SR v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D7A58" w14:textId="77777777" w:rsidR="00597B5E" w:rsidRPr="007D5748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8B4AE0" w14:textId="77777777" w:rsidR="00597B5E" w:rsidRPr="007D5748" w:rsidRDefault="00597B5E" w:rsidP="00D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597B5E" w:rsidRPr="007D5748" w14:paraId="4B1A4B4C" w14:textId="77777777" w:rsidTr="00D716E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EFA1D" w14:textId="77777777" w:rsidR="00597B5E" w:rsidRPr="007D5748" w:rsidRDefault="00597B5E" w:rsidP="00D7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DDF0D2" w14:textId="0C5622E2" w:rsidR="00597B5E" w:rsidRPr="005C6CBB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6C6A4D" w14:textId="5F84F2EB" w:rsidR="00597B5E" w:rsidRPr="005C6CBB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6E6C9" w14:textId="0A6811C4" w:rsidR="00597B5E" w:rsidRPr="005C6CBB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08C8E" w14:textId="557E515C" w:rsidR="00597B5E" w:rsidRPr="00597B5E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DC4" w14:textId="77777777" w:rsidR="00597B5E" w:rsidRPr="007D5748" w:rsidRDefault="00597B5E" w:rsidP="00D7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D272F" w:rsidRPr="007D5748" w14:paraId="0767993C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D4F" w14:textId="77777777" w:rsidR="00BD272F" w:rsidRPr="005C6CBB" w:rsidRDefault="00BD272F" w:rsidP="00BD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4DC59" w14:textId="6A04295C" w:rsidR="00BD272F" w:rsidRPr="005C6CBB" w:rsidRDefault="004430C8" w:rsidP="00B0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3B91" w14:textId="3CB3A0B0" w:rsidR="00BD272F" w:rsidRPr="004430C8" w:rsidRDefault="004430C8" w:rsidP="0040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FF79" w14:textId="522859DA" w:rsidR="00BD272F" w:rsidRPr="005C6CBB" w:rsidRDefault="004430C8" w:rsidP="0040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0779C" w14:textId="710BD8D5" w:rsidR="00BD272F" w:rsidRPr="00597B5E" w:rsidRDefault="004430C8" w:rsidP="0040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96D6D" w14:textId="77777777" w:rsidR="00BD272F" w:rsidRPr="007D5748" w:rsidRDefault="00BD272F" w:rsidP="00BD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14:paraId="2D4764D2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3D7" w14:textId="77777777"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1CB1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625D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8ADA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D8F22" w14:textId="77777777"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8DF33" w14:textId="77777777"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14:paraId="2865706B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618" w14:textId="77777777"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1ED55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AD52F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136DB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2DAC" w14:textId="77777777"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F0F94" w14:textId="77777777"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97B5E" w:rsidRPr="007D5748" w14:paraId="298B9D79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F91" w14:textId="77777777" w:rsidR="00597B5E" w:rsidRPr="005C6CBB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2FE71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1D0C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F5A0F" w14:textId="77777777" w:rsidR="00597B5E" w:rsidRPr="005C6CBB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BF4E" w14:textId="77777777" w:rsidR="00597B5E" w:rsidRPr="00597B5E" w:rsidRDefault="00597B5E" w:rsidP="0059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DBC3F" w14:textId="77777777" w:rsidR="00597B5E" w:rsidRPr="007D5748" w:rsidRDefault="00597B5E" w:rsidP="0059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272F" w:rsidRPr="007D5748" w14:paraId="670A931C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39A" w14:textId="77777777" w:rsidR="00BD272F" w:rsidRPr="005C6CBB" w:rsidRDefault="00BD272F" w:rsidP="00BD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7112" w14:textId="6E8A5F02" w:rsidR="00BD272F" w:rsidRPr="005C6CBB" w:rsidRDefault="004430C8" w:rsidP="00B0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AF8E" w14:textId="4D6BC4D7" w:rsidR="00BD272F" w:rsidRPr="005C6CBB" w:rsidRDefault="004430C8" w:rsidP="0040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DC9A2" w14:textId="3A6B4259" w:rsidR="00BD272F" w:rsidRPr="005C6CBB" w:rsidRDefault="004430C8" w:rsidP="0040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06AB" w14:textId="3FDD2CCB" w:rsidR="00BD272F" w:rsidRPr="00597B5E" w:rsidRDefault="004430C8" w:rsidP="0040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5BE83" w14:textId="77777777" w:rsidR="00BD272F" w:rsidRPr="007D5748" w:rsidRDefault="00BD272F" w:rsidP="00BD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430C8" w:rsidRPr="007D5748" w14:paraId="5B4FA4E1" w14:textId="77777777" w:rsidTr="00FB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0" w14:textId="77777777" w:rsidR="004430C8" w:rsidRDefault="004430C8" w:rsidP="004430C8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Z toho:</w:t>
            </w:r>
          </w:p>
          <w:p w14:paraId="4E4E16CA" w14:textId="23F77577" w:rsidR="004430C8" w:rsidRPr="00597B5E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C6B0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641001 – príspevkovej organizácii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D1522" w14:textId="67622BF2" w:rsidR="004430C8" w:rsidRPr="00F1567A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7358" w14:textId="3C3CDB53" w:rsidR="004430C8" w:rsidRPr="00F1567A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E771" w14:textId="05B6D506" w:rsidR="004430C8" w:rsidRPr="00F1567A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7FD1" w14:textId="521700CC" w:rsidR="004430C8" w:rsidRPr="00F1567A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1 127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6A6176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03D63" w14:textId="77777777" w:rsidR="004430C8" w:rsidRPr="00F1567A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430C8" w:rsidRPr="007D5748" w14:paraId="6FDE12C2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2223" w14:textId="77777777" w:rsidR="004430C8" w:rsidRPr="005C6CBB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Pr="005C6CBB">
              <w:rPr>
                <w:sz w:val="24"/>
                <w:szCs w:val="24"/>
              </w:rPr>
              <w:t xml:space="preserve"> 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B4D64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4C367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92A98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403E1" w14:textId="77777777" w:rsidR="004430C8" w:rsidRPr="00597B5E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58F7B" w14:textId="77777777" w:rsidR="004430C8" w:rsidRPr="007D5748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430C8" w:rsidRPr="007D5748" w14:paraId="58E58356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BB5" w14:textId="77777777" w:rsidR="004430C8" w:rsidRPr="005C6CBB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C32B6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66A7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8FC4B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AB2D" w14:textId="77777777" w:rsidR="004430C8" w:rsidRPr="00597B5E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AC6B3" w14:textId="77777777" w:rsidR="004430C8" w:rsidRPr="007D5748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430C8" w:rsidRPr="007D5748" w14:paraId="4E83F4E9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0ED" w14:textId="77777777" w:rsidR="004430C8" w:rsidRPr="005C6CBB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2983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65257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1C5F3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B5F3" w14:textId="77777777" w:rsidR="004430C8" w:rsidRPr="00597B5E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E75E" w14:textId="77777777" w:rsidR="004430C8" w:rsidRPr="007D5748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430C8" w:rsidRPr="007D5748" w14:paraId="7204EE8D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0D6" w14:textId="77777777" w:rsidR="004430C8" w:rsidRPr="005C6CBB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5C6C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664B0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90B3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8F7EC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EADB" w14:textId="77777777" w:rsidR="004430C8" w:rsidRPr="00597B5E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DB065" w14:textId="77777777" w:rsidR="004430C8" w:rsidRPr="007D5748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430C8" w:rsidRPr="007D5748" w14:paraId="78630C77" w14:textId="77777777" w:rsidTr="00D716E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B96" w14:textId="77777777" w:rsidR="004430C8" w:rsidRPr="005C6CBB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37D6C7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376F9B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C14295" w14:textId="77777777" w:rsidR="004430C8" w:rsidRPr="005C6CBB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242D96" w14:textId="77777777" w:rsidR="004430C8" w:rsidRPr="00597B5E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5BD12" w14:textId="77777777" w:rsidR="004430C8" w:rsidRPr="007D5748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430C8" w:rsidRPr="007D5748" w14:paraId="799DAD58" w14:textId="77777777" w:rsidTr="00D716E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22287" w14:textId="77777777" w:rsidR="004430C8" w:rsidRPr="005C6CBB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533ABC" w14:textId="57868619" w:rsidR="004430C8" w:rsidRPr="004430C8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4A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00FFC9" w14:textId="5ED34DD0" w:rsidR="004430C8" w:rsidRPr="004430C8" w:rsidRDefault="004430C8" w:rsidP="00FB4AA3">
            <w:pPr>
              <w:tabs>
                <w:tab w:val="left" w:pos="349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4A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1926B" w14:textId="6B5D1182" w:rsidR="004430C8" w:rsidRPr="004430C8" w:rsidRDefault="004430C8" w:rsidP="00FB4AA3">
            <w:pPr>
              <w:tabs>
                <w:tab w:val="left" w:pos="599"/>
                <w:tab w:val="center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4A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AE8E4" w14:textId="6C75861C" w:rsidR="004430C8" w:rsidRPr="004430C8" w:rsidRDefault="004430C8" w:rsidP="0044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B4A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1 127 850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E053A63" w14:textId="77777777" w:rsidR="004430C8" w:rsidRPr="007D5748" w:rsidRDefault="004430C8" w:rsidP="004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11010D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061E18A" w14:textId="77777777" w:rsidR="003D6841" w:rsidRDefault="003D684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sectPr w:rsidR="003D6841" w:rsidSect="00B86E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164D23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09A2809" w14:textId="77777777" w:rsidR="007D5748" w:rsidRPr="0062219D" w:rsidRDefault="007D5748" w:rsidP="0062219D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7280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Tabuľka č. </w:t>
      </w:r>
      <w:r w:rsidR="00BB6B3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</w:t>
      </w:r>
      <w:r w:rsidR="0062219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14:paraId="58692853" w14:textId="77777777" w:rsidTr="00561D7D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FE9F7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38429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5E803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70565220" w14:textId="77777777" w:rsidTr="00561D7D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CE56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94D74" w14:textId="73A6D0F0" w:rsidR="007D5748" w:rsidRPr="007D5748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D14FC" w14:textId="61AA6F43" w:rsidR="007D5748" w:rsidRPr="007D5748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FAEA14" w14:textId="627B42B7" w:rsidR="007D5748" w:rsidRPr="007D5748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2D5A2" w14:textId="2DBB5D78" w:rsidR="007D5748" w:rsidRPr="007D5748" w:rsidRDefault="00597B5E" w:rsidP="0014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4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A95E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5396B727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9C3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A0CB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5DD0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69F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76F2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F915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85F4FC2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E2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957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591C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75FA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E79D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6037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367D140B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E6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139A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D79E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B9D7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5B22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16C8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215E7E8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8C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6091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7FB7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6057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C001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611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A1182AE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6E715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004E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9F9F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86B0C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973E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21219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1291A88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03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45B2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2B0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A46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CDCB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DF8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7E0E2B8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C5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B05E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BEF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E58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8E65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9C5A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7524487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67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3A6D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456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9E04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BA3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CBED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60B9AD2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3A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20D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2BF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0C9D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B598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65A8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048F56ED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F69D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B569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676C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7EE3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B5F5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4997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1F23EB92" w14:textId="77777777" w:rsidTr="00561D7D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A0671A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3E0C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3E1F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114E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CB18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32AF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0C0A4904" w14:textId="77777777" w:rsidTr="00561D7D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0110F8A" w14:textId="77777777"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</w:t>
            </w:r>
            <w:r w:rsidR="007E551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,</w:t>
            </w: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 xml:space="preserve"> ...).</w:t>
            </w:r>
          </w:p>
          <w:p w14:paraId="698DF04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6E6A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44848EC8" w14:textId="77777777" w:rsidTr="00561D7D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FDD7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0153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AC9E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0901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C6672FD" w14:textId="77777777" w:rsidR="00CB3623" w:rsidRDefault="00CB3623"/>
    <w:sectPr w:rsidR="00CB3623" w:rsidSect="00B86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7A8A2" w14:textId="77777777" w:rsidR="001D661C" w:rsidRDefault="001D661C">
      <w:pPr>
        <w:spacing w:after="0" w:line="240" w:lineRule="auto"/>
      </w:pPr>
      <w:r>
        <w:separator/>
      </w:r>
    </w:p>
  </w:endnote>
  <w:endnote w:type="continuationSeparator" w:id="0">
    <w:p w14:paraId="0B439041" w14:textId="77777777" w:rsidR="001D661C" w:rsidRDefault="001D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C9CB" w14:textId="77777777" w:rsidR="00B9594C" w:rsidRDefault="00B9594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D7D5C58" w14:textId="77777777" w:rsidR="00B9594C" w:rsidRDefault="00B9594C">
    <w:pPr>
      <w:pStyle w:val="Pta"/>
      <w:ind w:right="360"/>
    </w:pPr>
  </w:p>
  <w:p w14:paraId="5D4C6F83" w14:textId="77777777" w:rsidR="00B9594C" w:rsidRDefault="00B9594C"/>
  <w:p w14:paraId="585EE2BC" w14:textId="77777777" w:rsidR="00B9594C" w:rsidRDefault="00B9594C"/>
  <w:p w14:paraId="4B2D2096" w14:textId="77777777" w:rsidR="00B9594C" w:rsidRDefault="00B959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1AB2" w14:textId="08085545" w:rsidR="00B9594C" w:rsidRDefault="00B9594C" w:rsidP="00973DDF">
    <w:pPr>
      <w:jc w:val="center"/>
    </w:pPr>
    <w:r>
      <w:rPr>
        <w:rFonts w:ascii="Times New Roman" w:eastAsia="Times New Roman" w:hAnsi="Times New Roman" w:cs="Times New Roman"/>
        <w:sz w:val="20"/>
        <w:szCs w:val="20"/>
        <w:lang w:eastAsia="sk-SK"/>
      </w:rPr>
      <w:fldChar w:fldCharType="begin"/>
    </w:r>
    <w:r>
      <w:instrText>PAGE   \* MERGEFORMAT</w:instrText>
    </w:r>
    <w:r>
      <w:rPr>
        <w:rFonts w:ascii="Times New Roman" w:eastAsia="Times New Roman" w:hAnsi="Times New Roman" w:cs="Times New Roman"/>
        <w:sz w:val="20"/>
        <w:szCs w:val="20"/>
        <w:lang w:eastAsia="sk-SK"/>
      </w:rPr>
      <w:fldChar w:fldCharType="separate"/>
    </w:r>
    <w:r w:rsidR="00DD5BC6">
      <w:rPr>
        <w:noProof/>
      </w:rPr>
      <w:t>1</w:t>
    </w:r>
    <w:r>
      <w:rPr>
        <w:rFonts w:ascii="Times New Roman" w:eastAsia="Times New Roman" w:hAnsi="Times New Roman" w:cs="Times New Roman"/>
        <w:sz w:val="20"/>
        <w:szCs w:val="20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356F" w14:textId="77777777" w:rsidR="00B9594C" w:rsidRDefault="00B9594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63EC0D7" w14:textId="77777777" w:rsidR="00B9594C" w:rsidRDefault="00B9594C">
    <w:pPr>
      <w:pStyle w:val="Pta"/>
    </w:pPr>
  </w:p>
  <w:p w14:paraId="30789F98" w14:textId="77777777" w:rsidR="00B9594C" w:rsidRDefault="00B9594C"/>
  <w:p w14:paraId="1E8F597F" w14:textId="77777777" w:rsidR="00B9594C" w:rsidRDefault="00B9594C"/>
  <w:p w14:paraId="7C69175A" w14:textId="77777777" w:rsidR="00B9594C" w:rsidRDefault="00B959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7DA8B" w14:textId="77777777" w:rsidR="001D661C" w:rsidRDefault="001D661C">
      <w:pPr>
        <w:spacing w:after="0" w:line="240" w:lineRule="auto"/>
      </w:pPr>
      <w:r>
        <w:separator/>
      </w:r>
    </w:p>
  </w:footnote>
  <w:footnote w:type="continuationSeparator" w:id="0">
    <w:p w14:paraId="43E884B6" w14:textId="77777777" w:rsidR="001D661C" w:rsidRDefault="001D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1244" w14:textId="77777777" w:rsidR="00B9594C" w:rsidRDefault="00B9594C" w:rsidP="00561D7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7686E8E" w14:textId="77777777" w:rsidR="00B9594C" w:rsidRPr="00EB59C8" w:rsidRDefault="00B9594C" w:rsidP="00561D7D">
    <w:pPr>
      <w:pStyle w:val="Hlavika"/>
      <w:jc w:val="right"/>
      <w:rPr>
        <w:sz w:val="24"/>
        <w:szCs w:val="24"/>
      </w:rPr>
    </w:pPr>
  </w:p>
  <w:p w14:paraId="0C660BBD" w14:textId="77777777" w:rsidR="00B9594C" w:rsidRDefault="00B9594C"/>
  <w:p w14:paraId="41DD1672" w14:textId="77777777" w:rsidR="00B9594C" w:rsidRDefault="00B9594C"/>
  <w:p w14:paraId="59B2E383" w14:textId="77777777" w:rsidR="00B9594C" w:rsidRDefault="00B959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0C20" w14:textId="77777777" w:rsidR="00B9594C" w:rsidRDefault="00B9594C" w:rsidP="000E2CAB">
    <w:pPr>
      <w:pStyle w:val="Hlavika"/>
      <w:jc w:val="right"/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ACA3" w14:textId="77777777" w:rsidR="00B9594C" w:rsidRPr="000A15AE" w:rsidRDefault="00B9594C" w:rsidP="00561D7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06F1BA97" w14:textId="77777777" w:rsidR="00B9594C" w:rsidRDefault="00B9594C"/>
  <w:p w14:paraId="028FF060" w14:textId="77777777" w:rsidR="00B9594C" w:rsidRDefault="00B9594C"/>
  <w:p w14:paraId="67054B38" w14:textId="77777777" w:rsidR="00B9594C" w:rsidRDefault="00B959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27EBF"/>
    <w:multiLevelType w:val="hybridMultilevel"/>
    <w:tmpl w:val="5838DCFC"/>
    <w:lvl w:ilvl="0" w:tplc="7900857C">
      <w:start w:val="3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D9E0CBC"/>
    <w:multiLevelType w:val="hybridMultilevel"/>
    <w:tmpl w:val="5DECAD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3CFC"/>
    <w:rsid w:val="000141A5"/>
    <w:rsid w:val="00014E34"/>
    <w:rsid w:val="00031285"/>
    <w:rsid w:val="00035EB6"/>
    <w:rsid w:val="00050FA1"/>
    <w:rsid w:val="0005109A"/>
    <w:rsid w:val="00051CCF"/>
    <w:rsid w:val="00052E94"/>
    <w:rsid w:val="00056034"/>
    <w:rsid w:val="00057135"/>
    <w:rsid w:val="00072808"/>
    <w:rsid w:val="0008144B"/>
    <w:rsid w:val="000846B1"/>
    <w:rsid w:val="000873D0"/>
    <w:rsid w:val="00087E4C"/>
    <w:rsid w:val="000901DB"/>
    <w:rsid w:val="0009764A"/>
    <w:rsid w:val="000A6F41"/>
    <w:rsid w:val="000B794F"/>
    <w:rsid w:val="000C3961"/>
    <w:rsid w:val="000E2CAB"/>
    <w:rsid w:val="000E5450"/>
    <w:rsid w:val="000F04B8"/>
    <w:rsid w:val="000F0D14"/>
    <w:rsid w:val="001075ED"/>
    <w:rsid w:val="001127A8"/>
    <w:rsid w:val="00112D40"/>
    <w:rsid w:val="00114315"/>
    <w:rsid w:val="00114B89"/>
    <w:rsid w:val="0014300C"/>
    <w:rsid w:val="00145356"/>
    <w:rsid w:val="001468B1"/>
    <w:rsid w:val="001522CE"/>
    <w:rsid w:val="00152462"/>
    <w:rsid w:val="001536C2"/>
    <w:rsid w:val="00156601"/>
    <w:rsid w:val="001569C3"/>
    <w:rsid w:val="001571B1"/>
    <w:rsid w:val="0015768B"/>
    <w:rsid w:val="00167D3F"/>
    <w:rsid w:val="00170D2B"/>
    <w:rsid w:val="00171CCB"/>
    <w:rsid w:val="0017353B"/>
    <w:rsid w:val="00175536"/>
    <w:rsid w:val="00181769"/>
    <w:rsid w:val="001825CC"/>
    <w:rsid w:val="0018326D"/>
    <w:rsid w:val="00183551"/>
    <w:rsid w:val="00183599"/>
    <w:rsid w:val="00183D61"/>
    <w:rsid w:val="00191139"/>
    <w:rsid w:val="0019655D"/>
    <w:rsid w:val="001A19DA"/>
    <w:rsid w:val="001B7541"/>
    <w:rsid w:val="001C72C6"/>
    <w:rsid w:val="001D0AF8"/>
    <w:rsid w:val="001D1B00"/>
    <w:rsid w:val="001D661C"/>
    <w:rsid w:val="001E2FFB"/>
    <w:rsid w:val="001E379E"/>
    <w:rsid w:val="001F4076"/>
    <w:rsid w:val="001F5736"/>
    <w:rsid w:val="00200898"/>
    <w:rsid w:val="0020216F"/>
    <w:rsid w:val="00207F8D"/>
    <w:rsid w:val="002118EE"/>
    <w:rsid w:val="00212894"/>
    <w:rsid w:val="002377C7"/>
    <w:rsid w:val="002870DE"/>
    <w:rsid w:val="00287244"/>
    <w:rsid w:val="0028779D"/>
    <w:rsid w:val="00292BE6"/>
    <w:rsid w:val="002A328E"/>
    <w:rsid w:val="002A36FD"/>
    <w:rsid w:val="002C1039"/>
    <w:rsid w:val="002C359A"/>
    <w:rsid w:val="002C6A9B"/>
    <w:rsid w:val="002D7D6A"/>
    <w:rsid w:val="002F17B6"/>
    <w:rsid w:val="002F445A"/>
    <w:rsid w:val="003051CC"/>
    <w:rsid w:val="003060A2"/>
    <w:rsid w:val="00306765"/>
    <w:rsid w:val="00314534"/>
    <w:rsid w:val="00317B90"/>
    <w:rsid w:val="00331D0C"/>
    <w:rsid w:val="003340FC"/>
    <w:rsid w:val="00341441"/>
    <w:rsid w:val="003538B5"/>
    <w:rsid w:val="00353B73"/>
    <w:rsid w:val="00357842"/>
    <w:rsid w:val="00362D1D"/>
    <w:rsid w:val="00367F8B"/>
    <w:rsid w:val="00385365"/>
    <w:rsid w:val="003919E5"/>
    <w:rsid w:val="003942C8"/>
    <w:rsid w:val="003A3A0E"/>
    <w:rsid w:val="003C4F98"/>
    <w:rsid w:val="003C70CD"/>
    <w:rsid w:val="003D6841"/>
    <w:rsid w:val="00401D49"/>
    <w:rsid w:val="004043B5"/>
    <w:rsid w:val="00407BB8"/>
    <w:rsid w:val="00417AA3"/>
    <w:rsid w:val="00431083"/>
    <w:rsid w:val="00432EFF"/>
    <w:rsid w:val="004430C8"/>
    <w:rsid w:val="00443EE7"/>
    <w:rsid w:val="00447250"/>
    <w:rsid w:val="00450FC5"/>
    <w:rsid w:val="0045239F"/>
    <w:rsid w:val="00452757"/>
    <w:rsid w:val="004567F0"/>
    <w:rsid w:val="00476BD1"/>
    <w:rsid w:val="0047738D"/>
    <w:rsid w:val="00480508"/>
    <w:rsid w:val="00487203"/>
    <w:rsid w:val="004A0954"/>
    <w:rsid w:val="004B2310"/>
    <w:rsid w:val="004B37DF"/>
    <w:rsid w:val="004C1078"/>
    <w:rsid w:val="004D2A1C"/>
    <w:rsid w:val="004D4147"/>
    <w:rsid w:val="004D71BB"/>
    <w:rsid w:val="004E03D4"/>
    <w:rsid w:val="004F115E"/>
    <w:rsid w:val="005005EC"/>
    <w:rsid w:val="00502968"/>
    <w:rsid w:val="00512A9F"/>
    <w:rsid w:val="00514E43"/>
    <w:rsid w:val="005246E8"/>
    <w:rsid w:val="00534EBF"/>
    <w:rsid w:val="00537499"/>
    <w:rsid w:val="00542B7C"/>
    <w:rsid w:val="005453F5"/>
    <w:rsid w:val="0056017E"/>
    <w:rsid w:val="00561D7D"/>
    <w:rsid w:val="00577806"/>
    <w:rsid w:val="005830A6"/>
    <w:rsid w:val="005833A9"/>
    <w:rsid w:val="00591A7F"/>
    <w:rsid w:val="00593DE6"/>
    <w:rsid w:val="00593FB5"/>
    <w:rsid w:val="005945C1"/>
    <w:rsid w:val="00597B5E"/>
    <w:rsid w:val="005A4190"/>
    <w:rsid w:val="005A455D"/>
    <w:rsid w:val="005B3231"/>
    <w:rsid w:val="005B457E"/>
    <w:rsid w:val="005B48F7"/>
    <w:rsid w:val="005B6186"/>
    <w:rsid w:val="005B7C9F"/>
    <w:rsid w:val="005C4694"/>
    <w:rsid w:val="005C6CBB"/>
    <w:rsid w:val="005C7388"/>
    <w:rsid w:val="005C744B"/>
    <w:rsid w:val="005E1BC7"/>
    <w:rsid w:val="005E5DCF"/>
    <w:rsid w:val="005E66EE"/>
    <w:rsid w:val="00604E68"/>
    <w:rsid w:val="00604EFC"/>
    <w:rsid w:val="00607BB1"/>
    <w:rsid w:val="00611752"/>
    <w:rsid w:val="00616003"/>
    <w:rsid w:val="0062219D"/>
    <w:rsid w:val="0062797F"/>
    <w:rsid w:val="006357FD"/>
    <w:rsid w:val="00640C82"/>
    <w:rsid w:val="0064390C"/>
    <w:rsid w:val="00644E41"/>
    <w:rsid w:val="0064691C"/>
    <w:rsid w:val="006512F5"/>
    <w:rsid w:val="00651B03"/>
    <w:rsid w:val="00660A2A"/>
    <w:rsid w:val="00662037"/>
    <w:rsid w:val="006635F4"/>
    <w:rsid w:val="0066784D"/>
    <w:rsid w:val="006844CF"/>
    <w:rsid w:val="0068479D"/>
    <w:rsid w:val="0068607A"/>
    <w:rsid w:val="006B3C1F"/>
    <w:rsid w:val="006B4CF7"/>
    <w:rsid w:val="006B6C58"/>
    <w:rsid w:val="006B7E38"/>
    <w:rsid w:val="006C7FB7"/>
    <w:rsid w:val="006D0BB3"/>
    <w:rsid w:val="006D19F1"/>
    <w:rsid w:val="006E2A79"/>
    <w:rsid w:val="00710790"/>
    <w:rsid w:val="007223FD"/>
    <w:rsid w:val="007246BD"/>
    <w:rsid w:val="00732F62"/>
    <w:rsid w:val="00746C8C"/>
    <w:rsid w:val="007535C4"/>
    <w:rsid w:val="00760502"/>
    <w:rsid w:val="0077251C"/>
    <w:rsid w:val="007930CD"/>
    <w:rsid w:val="007A4853"/>
    <w:rsid w:val="007B0FBB"/>
    <w:rsid w:val="007B26A8"/>
    <w:rsid w:val="007B36BF"/>
    <w:rsid w:val="007C21F9"/>
    <w:rsid w:val="007D3BCF"/>
    <w:rsid w:val="007D5748"/>
    <w:rsid w:val="007E2631"/>
    <w:rsid w:val="007E2814"/>
    <w:rsid w:val="007E5510"/>
    <w:rsid w:val="007E5AE3"/>
    <w:rsid w:val="007E5B2C"/>
    <w:rsid w:val="007F5F72"/>
    <w:rsid w:val="00804F44"/>
    <w:rsid w:val="0081780F"/>
    <w:rsid w:val="00823E45"/>
    <w:rsid w:val="00827090"/>
    <w:rsid w:val="008445AE"/>
    <w:rsid w:val="0084501B"/>
    <w:rsid w:val="00857618"/>
    <w:rsid w:val="0087581C"/>
    <w:rsid w:val="008773D9"/>
    <w:rsid w:val="008A4592"/>
    <w:rsid w:val="008A46F1"/>
    <w:rsid w:val="008A506D"/>
    <w:rsid w:val="008A66FF"/>
    <w:rsid w:val="008A7863"/>
    <w:rsid w:val="008C493A"/>
    <w:rsid w:val="008D1AAE"/>
    <w:rsid w:val="008D1BD1"/>
    <w:rsid w:val="008D339D"/>
    <w:rsid w:val="008D608C"/>
    <w:rsid w:val="008E0398"/>
    <w:rsid w:val="008E2736"/>
    <w:rsid w:val="008F0EE1"/>
    <w:rsid w:val="008F3902"/>
    <w:rsid w:val="008F45F0"/>
    <w:rsid w:val="00902E76"/>
    <w:rsid w:val="00923F21"/>
    <w:rsid w:val="00925F3A"/>
    <w:rsid w:val="00927C88"/>
    <w:rsid w:val="00942A31"/>
    <w:rsid w:val="00946FB7"/>
    <w:rsid w:val="009513B9"/>
    <w:rsid w:val="009706B7"/>
    <w:rsid w:val="00973DDF"/>
    <w:rsid w:val="009826F0"/>
    <w:rsid w:val="00984E5E"/>
    <w:rsid w:val="00990820"/>
    <w:rsid w:val="009A100C"/>
    <w:rsid w:val="009A104A"/>
    <w:rsid w:val="009A217F"/>
    <w:rsid w:val="009A5FD9"/>
    <w:rsid w:val="009B15A7"/>
    <w:rsid w:val="009B4770"/>
    <w:rsid w:val="009B5A3D"/>
    <w:rsid w:val="009C7D79"/>
    <w:rsid w:val="009E11EB"/>
    <w:rsid w:val="009E4E3F"/>
    <w:rsid w:val="009F71CB"/>
    <w:rsid w:val="00A000B3"/>
    <w:rsid w:val="00A062D4"/>
    <w:rsid w:val="00A07F1D"/>
    <w:rsid w:val="00A12E1E"/>
    <w:rsid w:val="00A132C9"/>
    <w:rsid w:val="00A36A45"/>
    <w:rsid w:val="00A41E7E"/>
    <w:rsid w:val="00A45293"/>
    <w:rsid w:val="00A576FD"/>
    <w:rsid w:val="00A72687"/>
    <w:rsid w:val="00A878C8"/>
    <w:rsid w:val="00AA04B4"/>
    <w:rsid w:val="00AC32DF"/>
    <w:rsid w:val="00AE2C8D"/>
    <w:rsid w:val="00AE3CE8"/>
    <w:rsid w:val="00AF5936"/>
    <w:rsid w:val="00B0119B"/>
    <w:rsid w:val="00B0538A"/>
    <w:rsid w:val="00B12C60"/>
    <w:rsid w:val="00B168A8"/>
    <w:rsid w:val="00B40582"/>
    <w:rsid w:val="00B50A38"/>
    <w:rsid w:val="00B5535C"/>
    <w:rsid w:val="00B61739"/>
    <w:rsid w:val="00B6399C"/>
    <w:rsid w:val="00B67568"/>
    <w:rsid w:val="00B8634B"/>
    <w:rsid w:val="00B86EEC"/>
    <w:rsid w:val="00B90F95"/>
    <w:rsid w:val="00B9594C"/>
    <w:rsid w:val="00BA0D4B"/>
    <w:rsid w:val="00BA54A1"/>
    <w:rsid w:val="00BB185E"/>
    <w:rsid w:val="00BB4559"/>
    <w:rsid w:val="00BB52C4"/>
    <w:rsid w:val="00BB5D32"/>
    <w:rsid w:val="00BB6B3D"/>
    <w:rsid w:val="00BC62E4"/>
    <w:rsid w:val="00BC6473"/>
    <w:rsid w:val="00BD0F41"/>
    <w:rsid w:val="00BD272F"/>
    <w:rsid w:val="00BE6381"/>
    <w:rsid w:val="00C00F15"/>
    <w:rsid w:val="00C03DB3"/>
    <w:rsid w:val="00C15212"/>
    <w:rsid w:val="00C20260"/>
    <w:rsid w:val="00C31841"/>
    <w:rsid w:val="00C37D1A"/>
    <w:rsid w:val="00C41491"/>
    <w:rsid w:val="00C45EDB"/>
    <w:rsid w:val="00C45EF3"/>
    <w:rsid w:val="00C50214"/>
    <w:rsid w:val="00C51FD4"/>
    <w:rsid w:val="00C526F7"/>
    <w:rsid w:val="00C73345"/>
    <w:rsid w:val="00CB00BD"/>
    <w:rsid w:val="00CB097B"/>
    <w:rsid w:val="00CB1178"/>
    <w:rsid w:val="00CB3623"/>
    <w:rsid w:val="00CC186A"/>
    <w:rsid w:val="00CC3B56"/>
    <w:rsid w:val="00CC457C"/>
    <w:rsid w:val="00CD0A24"/>
    <w:rsid w:val="00CD27E3"/>
    <w:rsid w:val="00CD3810"/>
    <w:rsid w:val="00CD4792"/>
    <w:rsid w:val="00CD79FE"/>
    <w:rsid w:val="00CE252F"/>
    <w:rsid w:val="00CE299A"/>
    <w:rsid w:val="00CE5BFD"/>
    <w:rsid w:val="00CF3A8D"/>
    <w:rsid w:val="00D02FC1"/>
    <w:rsid w:val="00D060BB"/>
    <w:rsid w:val="00D31A83"/>
    <w:rsid w:val="00D34ABB"/>
    <w:rsid w:val="00D404A6"/>
    <w:rsid w:val="00D42CFD"/>
    <w:rsid w:val="00D448E2"/>
    <w:rsid w:val="00D44AEE"/>
    <w:rsid w:val="00D45E5D"/>
    <w:rsid w:val="00D46AC7"/>
    <w:rsid w:val="00D64534"/>
    <w:rsid w:val="00D70674"/>
    <w:rsid w:val="00D716E8"/>
    <w:rsid w:val="00D72A60"/>
    <w:rsid w:val="00D83C74"/>
    <w:rsid w:val="00D93377"/>
    <w:rsid w:val="00D94C3A"/>
    <w:rsid w:val="00D95553"/>
    <w:rsid w:val="00DA48A0"/>
    <w:rsid w:val="00DA4B25"/>
    <w:rsid w:val="00DC514C"/>
    <w:rsid w:val="00DD5BC6"/>
    <w:rsid w:val="00DE5164"/>
    <w:rsid w:val="00DE5BF1"/>
    <w:rsid w:val="00DF07D2"/>
    <w:rsid w:val="00E07875"/>
    <w:rsid w:val="00E07CE9"/>
    <w:rsid w:val="00E13BD5"/>
    <w:rsid w:val="00E20424"/>
    <w:rsid w:val="00E33337"/>
    <w:rsid w:val="00E35D6C"/>
    <w:rsid w:val="00E414F7"/>
    <w:rsid w:val="00E418F5"/>
    <w:rsid w:val="00E5375E"/>
    <w:rsid w:val="00E63F66"/>
    <w:rsid w:val="00E6749A"/>
    <w:rsid w:val="00E814BB"/>
    <w:rsid w:val="00E963A3"/>
    <w:rsid w:val="00EA1E90"/>
    <w:rsid w:val="00EA6640"/>
    <w:rsid w:val="00EB4585"/>
    <w:rsid w:val="00EF0604"/>
    <w:rsid w:val="00F026B9"/>
    <w:rsid w:val="00F12CE9"/>
    <w:rsid w:val="00F1567A"/>
    <w:rsid w:val="00F1726B"/>
    <w:rsid w:val="00F2157F"/>
    <w:rsid w:val="00F24550"/>
    <w:rsid w:val="00F32FA4"/>
    <w:rsid w:val="00F3612F"/>
    <w:rsid w:val="00F40136"/>
    <w:rsid w:val="00F77B9C"/>
    <w:rsid w:val="00F82476"/>
    <w:rsid w:val="00F85D29"/>
    <w:rsid w:val="00F92D6E"/>
    <w:rsid w:val="00FA6415"/>
    <w:rsid w:val="00FB4AA3"/>
    <w:rsid w:val="00FC1EB5"/>
    <w:rsid w:val="00FD184B"/>
    <w:rsid w:val="00FD3536"/>
    <w:rsid w:val="00FD661B"/>
    <w:rsid w:val="00FE0AE4"/>
    <w:rsid w:val="00FE2079"/>
    <w:rsid w:val="00FE557F"/>
    <w:rsid w:val="00FF4AF5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5C115"/>
  <w15:docId w15:val="{C542CFEA-6930-4A17-8D80-C37AF528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DA4B25"/>
    <w:pPr>
      <w:spacing w:before="100" w:beforeAutospacing="1" w:after="3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qFormat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08144B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unhideWhenUsed/>
    <w:qFormat/>
    <w:rsid w:val="001835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5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1835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35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3599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9B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B477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opis">
    <w:name w:val="caption"/>
    <w:basedOn w:val="Normlny"/>
    <w:next w:val="Normlny"/>
    <w:unhideWhenUsed/>
    <w:qFormat/>
    <w:rsid w:val="004D4147"/>
    <w:pPr>
      <w:spacing w:line="240" w:lineRule="auto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styleId="Revzia">
    <w:name w:val="Revision"/>
    <w:hidden/>
    <w:uiPriority w:val="99"/>
    <w:semiHidden/>
    <w:rsid w:val="007C21F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D272F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272F"/>
    <w:rPr>
      <w:color w:val="954F72"/>
      <w:u w:val="single"/>
    </w:rPr>
  </w:style>
  <w:style w:type="paragraph" w:customStyle="1" w:styleId="msonormal0">
    <w:name w:val="msonormal"/>
    <w:basedOn w:val="Normlny"/>
    <w:rsid w:val="00B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B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B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16"/>
      <w:szCs w:val="16"/>
      <w:lang w:eastAsia="sk-SK"/>
    </w:rPr>
  </w:style>
  <w:style w:type="paragraph" w:customStyle="1" w:styleId="font7">
    <w:name w:val="font7"/>
    <w:basedOn w:val="Normlny"/>
    <w:rsid w:val="00B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BD272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xl66">
    <w:name w:val="xl66"/>
    <w:basedOn w:val="Normlny"/>
    <w:rsid w:val="00BD272F"/>
    <w:pPr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xl67">
    <w:name w:val="xl67"/>
    <w:basedOn w:val="Normlny"/>
    <w:rsid w:val="00BD272F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sk-SK"/>
    </w:rPr>
  </w:style>
  <w:style w:type="paragraph" w:customStyle="1" w:styleId="xl68">
    <w:name w:val="xl68"/>
    <w:basedOn w:val="Normlny"/>
    <w:rsid w:val="00BD272F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69">
    <w:name w:val="xl69"/>
    <w:basedOn w:val="Normlny"/>
    <w:rsid w:val="00BD27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0">
    <w:name w:val="xl70"/>
    <w:basedOn w:val="Normlny"/>
    <w:rsid w:val="00BD27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1">
    <w:name w:val="xl71"/>
    <w:basedOn w:val="Normlny"/>
    <w:rsid w:val="00BD27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BD27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3">
    <w:name w:val="xl73"/>
    <w:basedOn w:val="Normlny"/>
    <w:rsid w:val="00BD272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4">
    <w:name w:val="xl74"/>
    <w:basedOn w:val="Normlny"/>
    <w:rsid w:val="00BD272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5">
    <w:name w:val="xl75"/>
    <w:basedOn w:val="Normlny"/>
    <w:rsid w:val="00BD272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6">
    <w:name w:val="xl76"/>
    <w:basedOn w:val="Normlny"/>
    <w:rsid w:val="00BD272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7">
    <w:name w:val="xl77"/>
    <w:basedOn w:val="Normlny"/>
    <w:rsid w:val="00BD272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BD272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paragraph" w:customStyle="1" w:styleId="xl79">
    <w:name w:val="xl79"/>
    <w:basedOn w:val="Normlny"/>
    <w:rsid w:val="00BD272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4C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000B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DA4B25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paragraph" w:customStyle="1" w:styleId="xmsonospacing">
    <w:name w:val="x_msonospacing"/>
    <w:basedOn w:val="Normlny"/>
    <w:rsid w:val="0094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3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4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7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6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1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orestportal.sk/wp-content/uploads/2023/02/4q2022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forestportal.sk/wp-content/uploads/2023/02/4q202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05_b_rozpocet_Muran-planina-MPK-final"/>
    <f:field ref="objsubject" par="" edit="true" text=""/>
    <f:field ref="objcreatedby" par="" text="Hallonová, Valéria, JUDr."/>
    <f:field ref="objcreatedat" par="" text="29.4.2022 14:08:52"/>
    <f:field ref="objchangedby" par="" text="Administrator, System"/>
    <f:field ref="objmodifiedat" par="" text="29.4.2022 14:08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2E88B3F78A349989BFD1CB9544B3E" ma:contentTypeVersion="7" ma:contentTypeDescription="Create a new document." ma:contentTypeScope="" ma:versionID="55a538a356f95bde8b8580f5d4d3b013">
  <xsd:schema xmlns:xsd="http://www.w3.org/2001/XMLSchema" xmlns:xs="http://www.w3.org/2001/XMLSchema" xmlns:p="http://schemas.microsoft.com/office/2006/metadata/properties" xmlns:ns3="f5e17c0a-3c50-43d1-948a-92efdaffedb7" targetNamespace="http://schemas.microsoft.com/office/2006/metadata/properties" ma:root="true" ma:fieldsID="a873880a969d6b2ef4d2902fb95a08a4" ns3:_="">
    <xsd:import namespace="f5e17c0a-3c50-43d1-948a-92efdaffe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7c0a-3c50-43d1-948a-92efdaff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7B5DF11-E1E5-40F9-A30B-3AA58BB9C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7c0a-3c50-43d1-948a-92efdaff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679ABE-117D-4DF6-9FBC-202A8586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Cao Tienová Laura</cp:lastModifiedBy>
  <cp:revision>8</cp:revision>
  <cp:lastPrinted>2022-07-12T16:16:00Z</cp:lastPrinted>
  <dcterms:created xsi:type="dcterms:W3CDTF">2023-07-10T07:56:00Z</dcterms:created>
  <dcterms:modified xsi:type="dcterms:W3CDTF">2023-07-26T10:28:00Z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Národný park Muránska planina, jeho zóny a ochranné pásmo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mesiace jún až december 2021</vt:lpwstr>
  </property>
  <property fmtid="{D5CDD505-2E9C-101B-9397-08002B2CF9AE}" pid="23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7968/2022-1.7.3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LP/2022/237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v platnom znení.</vt:lpwstr>
  </property>
  <property fmtid="{D5CDD505-2E9C-101B-9397-08002B2CF9AE}" pid="47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navrhovaný materiál nie je upravený v judikatúre Súdneho dvora Európskej únie.</vt:lpwstr>
  </property>
  <property fmtid="{D5CDD505-2E9C-101B-9397-08002B2CF9AE}" pid="52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55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7. 4. 2022</vt:lpwstr>
  </property>
  <property fmtid="{D5CDD505-2E9C-101B-9397-08002B2CF9AE}" pid="59" name="FSC#SKEDITIONSLOVLEX@103.510:AttrDateDocPropUkonceniePKK">
    <vt:lpwstr>20. 4. 2022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67" name="FSC#SKEDITIONSLOVLEX@103.510:AttrStrListDocPropStanoviskoGest">
    <vt:lpwstr>Súhlasné s návrhom na dopracovanie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50" name="FSC#SKEDITIONSLOVLEX@103.510:vytvorenedna">
    <vt:lpwstr>29. 4. 2022</vt:lpwstr>
  </property>
  <property fmtid="{D5CDD505-2E9C-101B-9397-08002B2CF9AE}" pid="151" name="FSC#COOSYSTEM@1.1:Container">
    <vt:lpwstr>COO.2145.1000.3.4935913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0x0101007BF2E88B3F78A349989BFD1CB9544B3E</vt:lpwstr>
  </property>
</Properties>
</file>