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>B. Osobitná časť</w:t>
      </w:r>
    </w:p>
    <w:p w:rsidR="008C3F2F" w:rsidRPr="00AA65D0" w:rsidRDefault="008C3F2F" w:rsidP="008C3F2F">
      <w:pPr>
        <w:widowControl/>
        <w:jc w:val="both"/>
        <w:rPr>
          <w:b/>
        </w:rPr>
      </w:pPr>
    </w:p>
    <w:p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 xml:space="preserve">K § 1 a prílohe č.1  </w:t>
      </w:r>
    </w:p>
    <w:p w:rsidR="008C3F2F" w:rsidRPr="00AA65D0" w:rsidRDefault="008C3F2F" w:rsidP="008C3F2F">
      <w:pPr>
        <w:widowControl/>
        <w:jc w:val="both"/>
        <w:rPr>
          <w:b/>
        </w:rPr>
      </w:pPr>
    </w:p>
    <w:p w:rsidR="00037236" w:rsidRPr="00AA65D0" w:rsidRDefault="008C3F2F" w:rsidP="00037236">
      <w:pPr>
        <w:jc w:val="both"/>
      </w:pPr>
      <w:r w:rsidRPr="00AA65D0">
        <w:t xml:space="preserve">Konštatuje sa </w:t>
      </w:r>
      <w:r w:rsidR="00464609">
        <w:t>zmena hranice</w:t>
      </w:r>
      <w:r w:rsidRPr="00AA65D0">
        <w:t xml:space="preserve"> N</w:t>
      </w:r>
      <w:r w:rsidR="00464609">
        <w:t xml:space="preserve">árodného parku </w:t>
      </w:r>
      <w:r w:rsidR="000B71F8">
        <w:t>Slovenský kras</w:t>
      </w:r>
      <w:r w:rsidR="00464609">
        <w:t xml:space="preserve"> a vyhlásenie</w:t>
      </w:r>
      <w:r w:rsidRPr="00AA65D0">
        <w:t xml:space="preserve"> jeho zón a ochranného pásma. Súčasne § 1 odkazuje na prílohu č. 1, kt</w:t>
      </w:r>
      <w:r w:rsidR="00E50735" w:rsidRPr="00AA65D0">
        <w:t>orá obsahuje mapu, na ktorej sú</w:t>
      </w:r>
      <w:r w:rsidRPr="00AA65D0">
        <w:t xml:space="preserve"> vyznačené hranice národného parku, jeho zón a hranice ochranného pásma národného parku.</w:t>
      </w:r>
      <w:r w:rsidR="00BF46E0" w:rsidRPr="00AA65D0">
        <w:t xml:space="preserve"> </w:t>
      </w:r>
    </w:p>
    <w:p w:rsidR="00710A62" w:rsidRPr="00AA65D0" w:rsidRDefault="00710A62" w:rsidP="00710A62">
      <w:pPr>
        <w:jc w:val="both"/>
      </w:pPr>
      <w:r w:rsidRPr="00AA65D0">
        <w:t xml:space="preserve">Presný popis hraníc v digitálnej forme a v potrebnom geografickom informačnom formáte má v dispozícii Štátna ochrana prírody Slovenskej republiky, Správa Národného parku </w:t>
      </w:r>
      <w:r w:rsidR="00464609">
        <w:t>Slovenský kras</w:t>
      </w:r>
      <w:r w:rsidRPr="00AA65D0">
        <w:t xml:space="preserve"> so sídlom v </w:t>
      </w:r>
      <w:r w:rsidR="00464609">
        <w:t>Brzotíne</w:t>
      </w:r>
      <w:r w:rsidRPr="00AA65D0">
        <w:t xml:space="preserve">, ako aj Národné lesnícke centrum. </w:t>
      </w:r>
    </w:p>
    <w:p w:rsidR="00464609" w:rsidRDefault="00464609" w:rsidP="008C3F2F">
      <w:pPr>
        <w:widowControl/>
        <w:jc w:val="both"/>
        <w:rPr>
          <w:b/>
        </w:rPr>
      </w:pPr>
    </w:p>
    <w:p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 xml:space="preserve">K § 2 </w:t>
      </w:r>
    </w:p>
    <w:p w:rsidR="008C3F2F" w:rsidRPr="00AA65D0" w:rsidRDefault="008C3F2F" w:rsidP="008C3F2F">
      <w:pPr>
        <w:widowControl/>
        <w:jc w:val="both"/>
      </w:pPr>
    </w:p>
    <w:p w:rsidR="008C3F2F" w:rsidRPr="00AA65D0" w:rsidRDefault="008C3F2F" w:rsidP="008C3F2F">
      <w:pPr>
        <w:autoSpaceDE w:val="0"/>
        <w:autoSpaceDN w:val="0"/>
        <w:jc w:val="both"/>
      </w:pPr>
      <w:r w:rsidRPr="00AA65D0">
        <w:rPr>
          <w:rStyle w:val="Textzstupnhosymbolu"/>
          <w:rFonts w:eastAsia="Calibri"/>
          <w:color w:val="auto"/>
        </w:rPr>
        <w:t xml:space="preserve">Územie národného parku sa vymedzuje prostredníctvom príslušných okresov a katastrálnych území, ďalej sa v tomto ustanovení uvádza, kde je možné nájsť podklady, v ktorých je zakreslená hranica národného parku. </w:t>
      </w:r>
      <w:bookmarkStart w:id="0" w:name="_Hlk37072547"/>
      <w:r w:rsidRPr="00AA65D0">
        <w:t xml:space="preserve">Technickým podkladom na zápis priebehu hranice národného parku, hranice zón národného parku a hranica ochranného pásma </w:t>
      </w:r>
      <w:r w:rsidR="005D6E38" w:rsidRPr="00AA65D0">
        <w:t xml:space="preserve">národného parku </w:t>
      </w:r>
      <w:r w:rsidRPr="00AA65D0">
        <w:t xml:space="preserve">do katastra nehnuteľností je zjednodušený operát geometrického plánu. Pre potreby praxe budú grafické podklady, v ktorých je zakreslená hranica národného parku, uložené podľa miestnej príslušnosti na </w:t>
      </w:r>
      <w:r w:rsidRPr="00AA65D0">
        <w:rPr>
          <w:bCs/>
        </w:rPr>
        <w:t xml:space="preserve">Okresnom úrade </w:t>
      </w:r>
      <w:r w:rsidR="00464609">
        <w:t>Rožňava</w:t>
      </w:r>
      <w:r w:rsidRPr="00AA65D0">
        <w:rPr>
          <w:bCs/>
        </w:rPr>
        <w:t xml:space="preserve">, Okresnom úrade </w:t>
      </w:r>
      <w:r w:rsidR="00464609">
        <w:t>Revúca a</w:t>
      </w:r>
      <w:r w:rsidR="00464609">
        <w:rPr>
          <w:bCs/>
        </w:rPr>
        <w:t xml:space="preserve"> na </w:t>
      </w:r>
      <w:r w:rsidRPr="00AA65D0">
        <w:rPr>
          <w:bCs/>
        </w:rPr>
        <w:t xml:space="preserve">Okresnom úrade </w:t>
      </w:r>
      <w:r w:rsidR="00464609">
        <w:rPr>
          <w:bCs/>
        </w:rPr>
        <w:t>Košice okolie</w:t>
      </w:r>
      <w:r w:rsidRPr="00AA65D0">
        <w:t xml:space="preserve">. Ďalším zdrojom informácií o národnom parku a o vymedzení jeho hranice </w:t>
      </w:r>
      <w:r w:rsidRPr="009E3917">
        <w:t>je Štátny zoznam osobitne chránených častí prírody a krajiny (ďalej len „štátny zoznam“), do ktorého sa podľa § 51 ods. 4 zákona zapíše národný park po vyhlásení ochrany. Štátny zoznam, ako aj</w:t>
      </w:r>
      <w:r w:rsidRPr="00AA65D0">
        <w:t xml:space="preserve"> výpisy z neho, sú verejnosti prístupné a sú uložené na príslušných orgánoch ochrany prírody. Zdrojom informácií je aj kataster nehnuteľností, keďže chránené územia sú predmetom evidencie katastra nehnuteľností. </w:t>
      </w:r>
      <w:r w:rsidR="00A40F7A" w:rsidRPr="00AA65D0">
        <w:t>S</w:t>
      </w:r>
      <w:r w:rsidRPr="00AA65D0">
        <w:t xml:space="preserve">práva katastra nehnuteľností na základe podkladov predložených </w:t>
      </w:r>
      <w:r w:rsidR="00CA2E6C">
        <w:t>Správou</w:t>
      </w:r>
      <w:r w:rsidR="00CA2E6C" w:rsidRPr="00AA65D0">
        <w:t xml:space="preserve"> Národného parku </w:t>
      </w:r>
      <w:r w:rsidR="00CA2E6C">
        <w:t>Slovenský kras</w:t>
      </w:r>
      <w:r w:rsidR="00CA2E6C" w:rsidRPr="00AA65D0">
        <w:t xml:space="preserve"> so sídlom v </w:t>
      </w:r>
      <w:r w:rsidR="00CA2E6C">
        <w:t>Brzotíne</w:t>
      </w:r>
      <w:r w:rsidRPr="00AA65D0">
        <w:t xml:space="preserve"> vyznačí chránené územie v katastri nehnuteľností po jeho zápise do štátneho zoznamu. V katastri nehnuteľností bude územie národného parku evidované jednak v súbore geodetických informácií (zobrazením hranice, pričom platí, že vyznačením hranice sa nevytvára nová parcela), ako aj v súbore popisných informácií. </w:t>
      </w:r>
    </w:p>
    <w:bookmarkEnd w:id="0"/>
    <w:p w:rsidR="008C3F2F" w:rsidRPr="00AA65D0" w:rsidRDefault="008C3F2F" w:rsidP="008C3F2F">
      <w:pPr>
        <w:jc w:val="both"/>
      </w:pPr>
    </w:p>
    <w:p w:rsidR="008C3F2F" w:rsidRDefault="008C3F2F" w:rsidP="008C3F2F">
      <w:pPr>
        <w:widowControl/>
        <w:jc w:val="both"/>
        <w:rPr>
          <w:b/>
        </w:rPr>
      </w:pPr>
      <w:r w:rsidRPr="00AA65D0">
        <w:rPr>
          <w:b/>
        </w:rPr>
        <w:t>K § 3</w:t>
      </w:r>
    </w:p>
    <w:p w:rsidR="00CA2E6C" w:rsidRPr="00AA65D0" w:rsidRDefault="00CA2E6C" w:rsidP="008C3F2F">
      <w:pPr>
        <w:widowControl/>
        <w:jc w:val="both"/>
      </w:pPr>
    </w:p>
    <w:p w:rsidR="00A8322A" w:rsidRDefault="008C3F2F" w:rsidP="008C3F2F">
      <w:pPr>
        <w:widowControl/>
        <w:jc w:val="both"/>
        <w:rPr>
          <w:rStyle w:val="Textzstupnhosymbolu"/>
          <w:rFonts w:eastAsia="Calibri"/>
          <w:color w:val="auto"/>
        </w:rPr>
      </w:pPr>
      <w:r w:rsidRPr="00AA65D0">
        <w:t xml:space="preserve">Vymedzené územie je </w:t>
      </w:r>
      <w:r w:rsidR="009A4ADA" w:rsidRPr="00AA65D0">
        <w:t>v súlade s</w:t>
      </w:r>
      <w:r w:rsidRPr="00AA65D0">
        <w:t xml:space="preserve"> § 19 zákona </w:t>
      </w:r>
      <w:r w:rsidR="00710A62" w:rsidRPr="00AA65D0">
        <w:t xml:space="preserve">č. 543/2002 Z. z. o ochrane prírody a krajiny v znení neskorších predpisov (ďalej len „zákon“) </w:t>
      </w:r>
      <w:r w:rsidRPr="00AA65D0">
        <w:t xml:space="preserve">zaradené do kategórie národný park s navrhovanými zónami A, B, C a D, pre ktoré platí piaty, štvrtý, tretí a druhý stupeň ochrany. </w:t>
      </w:r>
      <w:proofErr w:type="spellStart"/>
      <w:r w:rsidRPr="00AA65D0">
        <w:t>Zonáciou</w:t>
      </w:r>
      <w:proofErr w:type="spellEnd"/>
      <w:r w:rsidRPr="00AA65D0">
        <w:t xml:space="preserve"> národného parku </w:t>
      </w:r>
      <w:r w:rsidRPr="00AA65D0">
        <w:rPr>
          <w:rStyle w:val="Textzstupnhosymbolu"/>
          <w:rFonts w:eastAsia="Calibri"/>
          <w:color w:val="auto"/>
        </w:rPr>
        <w:t xml:space="preserve">vznikne </w:t>
      </w:r>
      <w:r w:rsidR="00A117CB" w:rsidRPr="00AA65D0">
        <w:rPr>
          <w:rStyle w:val="Textzstupnhosymbolu"/>
          <w:rFonts w:eastAsia="Calibri"/>
          <w:color w:val="auto"/>
        </w:rPr>
        <w:t>(</w:t>
      </w:r>
      <w:r w:rsidR="005D6E38" w:rsidRPr="00AA65D0">
        <w:t>podľa</w:t>
      </w:r>
      <w:r w:rsidRPr="00AA65D0">
        <w:rPr>
          <w:rStyle w:val="Textzstupnhosymbolu"/>
          <w:rFonts w:eastAsia="Calibri"/>
          <w:color w:val="auto"/>
        </w:rPr>
        <w:t xml:space="preserve"> § 16 zákona</w:t>
      </w:r>
      <w:r w:rsidR="00A117CB" w:rsidRPr="00AA65D0">
        <w:rPr>
          <w:rStyle w:val="Textzstupnhosymbolu"/>
          <w:rFonts w:eastAsia="Calibri"/>
          <w:color w:val="auto"/>
        </w:rPr>
        <w:t>)</w:t>
      </w:r>
      <w:r w:rsidR="00F337EE" w:rsidRPr="00AA65D0">
        <w:rPr>
          <w:rStyle w:val="Textzstupnhosymbolu"/>
          <w:rFonts w:eastAsia="Calibri"/>
          <w:color w:val="auto"/>
        </w:rPr>
        <w:t xml:space="preserve"> zóna A vo výmere</w:t>
      </w:r>
      <w:r w:rsidR="004B5945" w:rsidRPr="00AA65D0">
        <w:rPr>
          <w:rStyle w:val="Textzstupnhosymbolu"/>
          <w:rFonts w:eastAsia="Calibri"/>
          <w:color w:val="auto"/>
        </w:rPr>
        <w:t xml:space="preserve"> </w:t>
      </w:r>
      <w:r w:rsidR="00464609" w:rsidRPr="00096975">
        <w:t>8 591,80</w:t>
      </w:r>
      <w:r w:rsidR="004B5945" w:rsidRPr="00AA65D0">
        <w:rPr>
          <w:rStyle w:val="Textzstupnhosymbolu"/>
          <w:rFonts w:eastAsia="Calibri"/>
          <w:color w:val="auto"/>
        </w:rPr>
        <w:t xml:space="preserve"> ha, čo predstavuje </w:t>
      </w:r>
      <w:r w:rsidR="00464609">
        <w:t xml:space="preserve">24,18 </w:t>
      </w:r>
      <w:r w:rsidRPr="00AA65D0">
        <w:rPr>
          <w:rStyle w:val="Textzstupnhosymbolu"/>
          <w:rFonts w:eastAsia="Calibri"/>
          <w:color w:val="auto"/>
        </w:rPr>
        <w:t xml:space="preserve">% výmery navrhovaného národného parku, zóna B so štvrtým stupňom ochrany </w:t>
      </w:r>
      <w:r w:rsidR="00A117CB" w:rsidRPr="00AA65D0">
        <w:rPr>
          <w:rStyle w:val="Textzstupnhosymbolu"/>
          <w:rFonts w:eastAsia="Calibri"/>
          <w:color w:val="auto"/>
        </w:rPr>
        <w:t>(</w:t>
      </w:r>
      <w:r w:rsidRPr="00AA65D0">
        <w:rPr>
          <w:rStyle w:val="Textzstupnhosymbolu"/>
          <w:rFonts w:eastAsia="Calibri"/>
          <w:color w:val="auto"/>
        </w:rPr>
        <w:t>podľa § 15 zákona</w:t>
      </w:r>
      <w:r w:rsidR="00A117CB" w:rsidRPr="00AA65D0">
        <w:rPr>
          <w:rStyle w:val="Textzstupnhosymbolu"/>
          <w:rFonts w:eastAsia="Calibri"/>
          <w:color w:val="auto"/>
        </w:rPr>
        <w:t>)</w:t>
      </w:r>
      <w:r w:rsidR="00F337EE" w:rsidRPr="00AA65D0">
        <w:rPr>
          <w:rStyle w:val="Textzstupnhosymbolu"/>
          <w:rFonts w:eastAsia="Calibri"/>
          <w:color w:val="auto"/>
        </w:rPr>
        <w:t xml:space="preserve"> vo výmere </w:t>
      </w:r>
      <w:r w:rsidR="00464609" w:rsidRPr="00464609">
        <w:rPr>
          <w:rStyle w:val="Textzstupnhosymbolu"/>
          <w:rFonts w:eastAsia="Calibri"/>
          <w:color w:val="auto"/>
        </w:rPr>
        <w:t>1 187,29</w:t>
      </w:r>
      <w:r w:rsidRPr="00AA65D0">
        <w:rPr>
          <w:rStyle w:val="Textzstupnhosymbolu"/>
          <w:rFonts w:eastAsia="Calibri"/>
          <w:color w:val="auto"/>
        </w:rPr>
        <w:t xml:space="preserve"> ha, čo predst</w:t>
      </w:r>
      <w:r w:rsidR="00F337EE" w:rsidRPr="00AA65D0">
        <w:rPr>
          <w:rStyle w:val="Textzstupnhosymbolu"/>
          <w:rFonts w:eastAsia="Calibri"/>
          <w:color w:val="auto"/>
        </w:rPr>
        <w:t xml:space="preserve">avuje </w:t>
      </w:r>
      <w:r w:rsidR="00464609" w:rsidRPr="00464609">
        <w:rPr>
          <w:rStyle w:val="Textzstupnhosymbolu"/>
          <w:rFonts w:eastAsia="Calibri"/>
          <w:color w:val="auto"/>
        </w:rPr>
        <w:t>3,34</w:t>
      </w:r>
      <w:r w:rsidRPr="00AA65D0">
        <w:rPr>
          <w:rStyle w:val="Textzstupnhosymbolu"/>
          <w:rFonts w:eastAsia="Calibri"/>
          <w:color w:val="auto"/>
        </w:rPr>
        <w:t xml:space="preserve"> % výmery navrhovaného národného parku, zóna C s tretím stupňom ochrany </w:t>
      </w:r>
      <w:r w:rsidR="00E51E36" w:rsidRPr="00AA65D0">
        <w:rPr>
          <w:rStyle w:val="Textzstupnhosymbolu"/>
          <w:rFonts w:eastAsia="Calibri"/>
          <w:color w:val="auto"/>
        </w:rPr>
        <w:t>(</w:t>
      </w:r>
      <w:r w:rsidRPr="00AA65D0">
        <w:rPr>
          <w:rStyle w:val="Textzstupnhosymbolu"/>
          <w:rFonts w:eastAsia="Calibri"/>
          <w:color w:val="auto"/>
        </w:rPr>
        <w:t>podľa § 14 zákona</w:t>
      </w:r>
      <w:r w:rsidR="00E51E36" w:rsidRPr="00AA65D0">
        <w:rPr>
          <w:rStyle w:val="Textzstupnhosymbolu"/>
          <w:rFonts w:eastAsia="Calibri"/>
          <w:color w:val="auto"/>
        </w:rPr>
        <w:t>)</w:t>
      </w:r>
      <w:r w:rsidR="00F337EE" w:rsidRPr="00AA65D0">
        <w:rPr>
          <w:rStyle w:val="Textzstupnhosymbolu"/>
          <w:rFonts w:eastAsia="Calibri"/>
          <w:color w:val="auto"/>
        </w:rPr>
        <w:t xml:space="preserve"> vo výmere </w:t>
      </w:r>
      <w:r w:rsidR="00464609" w:rsidRPr="00464609">
        <w:rPr>
          <w:rStyle w:val="Textzstupnhosymbolu"/>
          <w:rFonts w:eastAsia="Calibri"/>
          <w:color w:val="auto"/>
        </w:rPr>
        <w:t>25 712,58</w:t>
      </w:r>
      <w:r w:rsidR="004B5945" w:rsidRPr="00AA65D0">
        <w:rPr>
          <w:rStyle w:val="Textzstupnhosymbolu"/>
          <w:rFonts w:eastAsia="Calibri"/>
          <w:color w:val="auto"/>
        </w:rPr>
        <w:t xml:space="preserve"> ha, čo predstavuje </w:t>
      </w:r>
      <w:r w:rsidR="00464609">
        <w:t>72,37</w:t>
      </w:r>
      <w:r w:rsidRPr="00AA65D0">
        <w:rPr>
          <w:rStyle w:val="Textzstupnhosymbolu"/>
          <w:rFonts w:eastAsia="Calibri"/>
          <w:color w:val="auto"/>
        </w:rPr>
        <w:t xml:space="preserve"> % výmery navrhovaného národného parku a zóna D s druhým stupňom ochrany </w:t>
      </w:r>
      <w:r w:rsidR="00E51E36" w:rsidRPr="00AA65D0">
        <w:rPr>
          <w:rStyle w:val="Textzstupnhosymbolu"/>
          <w:rFonts w:eastAsia="Calibri"/>
          <w:color w:val="auto"/>
        </w:rPr>
        <w:t>(</w:t>
      </w:r>
      <w:r w:rsidRPr="00AA65D0">
        <w:rPr>
          <w:rStyle w:val="Textzstupnhosymbolu"/>
          <w:rFonts w:eastAsia="Calibri"/>
          <w:color w:val="auto"/>
        </w:rPr>
        <w:t>podľa § 13 zákona</w:t>
      </w:r>
      <w:r w:rsidR="00E51E36" w:rsidRPr="00AA65D0">
        <w:rPr>
          <w:rStyle w:val="Textzstupnhosymbolu"/>
          <w:rFonts w:eastAsia="Calibri"/>
          <w:color w:val="auto"/>
        </w:rPr>
        <w:t>)</w:t>
      </w:r>
      <w:r w:rsidR="00F337EE" w:rsidRPr="00AA65D0">
        <w:rPr>
          <w:rStyle w:val="Textzstupnhosymbolu"/>
          <w:rFonts w:eastAsia="Calibri"/>
          <w:color w:val="auto"/>
        </w:rPr>
        <w:t xml:space="preserve"> vo výmere </w:t>
      </w:r>
      <w:r w:rsidR="00464609" w:rsidRPr="00464609">
        <w:rPr>
          <w:rStyle w:val="Textzstupnhosymbolu"/>
          <w:rFonts w:eastAsia="Calibri"/>
          <w:color w:val="auto"/>
        </w:rPr>
        <w:t>36,21</w:t>
      </w:r>
      <w:r w:rsidR="004B5945" w:rsidRPr="00AA65D0">
        <w:rPr>
          <w:rStyle w:val="Textzstupnhosymbolu"/>
          <w:rFonts w:eastAsia="Calibri"/>
          <w:color w:val="auto"/>
        </w:rPr>
        <w:t xml:space="preserve"> ha, čo predstavuje </w:t>
      </w:r>
      <w:r w:rsidR="00A75C93" w:rsidRPr="00A75C93">
        <w:rPr>
          <w:rStyle w:val="Textzstupnhosymbolu"/>
          <w:rFonts w:eastAsia="Calibri"/>
          <w:color w:val="auto"/>
        </w:rPr>
        <w:t xml:space="preserve">0,10 </w:t>
      </w:r>
      <w:r w:rsidRPr="00AA65D0">
        <w:rPr>
          <w:rStyle w:val="Textzstupnhosymbolu"/>
          <w:rFonts w:eastAsia="Calibri"/>
          <w:color w:val="auto"/>
        </w:rPr>
        <w:t xml:space="preserve">% výmery navrhovaného národného parku. </w:t>
      </w:r>
    </w:p>
    <w:p w:rsidR="00983855" w:rsidRDefault="00983855" w:rsidP="008C3F2F">
      <w:pPr>
        <w:widowControl/>
        <w:jc w:val="both"/>
        <w:rPr>
          <w:rStyle w:val="Textzstupnhosymbolu"/>
          <w:rFonts w:eastAsia="Calibri"/>
          <w:color w:val="auto"/>
        </w:rPr>
      </w:pPr>
    </w:p>
    <w:p w:rsidR="00983855" w:rsidRPr="003B0EA6" w:rsidRDefault="00983855" w:rsidP="008C3F2F">
      <w:pPr>
        <w:widowControl/>
        <w:jc w:val="both"/>
        <w:rPr>
          <w:rStyle w:val="Textzstupnhosymbolu"/>
          <w:rFonts w:eastAsia="Calibri"/>
          <w:color w:val="auto"/>
        </w:rPr>
      </w:pPr>
      <w:r w:rsidRPr="003B0EA6">
        <w:rPr>
          <w:rStyle w:val="Textzstupnhosymbolu"/>
          <w:rFonts w:eastAsia="Calibri"/>
          <w:color w:val="auto"/>
        </w:rPr>
        <w:t xml:space="preserve">Prehľad výmer a podielu stupňov ochrany podľa súčasného právneho stavu a v zmysle nariadenia vlády je uvedený v tabuľke. </w:t>
      </w:r>
    </w:p>
    <w:p w:rsidR="00983855" w:rsidRPr="003B0EA6" w:rsidRDefault="00983855" w:rsidP="008C3F2F">
      <w:pPr>
        <w:widowControl/>
        <w:jc w:val="both"/>
        <w:rPr>
          <w:rStyle w:val="Textzstupnhosymbolu"/>
          <w:rFonts w:eastAsia="Calibri"/>
          <w:color w:val="auto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657"/>
        <w:gridCol w:w="1454"/>
        <w:gridCol w:w="1985"/>
        <w:gridCol w:w="1701"/>
        <w:gridCol w:w="992"/>
      </w:tblGrid>
      <w:tr w:rsidR="003B0EA6" w:rsidRPr="003B0EA6" w:rsidTr="003B0EA6">
        <w:trPr>
          <w:trHeight w:val="246"/>
        </w:trPr>
        <w:tc>
          <w:tcPr>
            <w:tcW w:w="2657" w:type="dxa"/>
            <w:shd w:val="clear" w:color="auto" w:fill="auto"/>
            <w:vAlign w:val="bottom"/>
            <w:hideMark/>
          </w:tcPr>
          <w:p w:rsidR="00983855" w:rsidRPr="003B0EA6" w:rsidRDefault="00983855" w:rsidP="005B25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bottom"/>
            <w:hideMark/>
          </w:tcPr>
          <w:p w:rsidR="00983855" w:rsidRPr="003B0EA6" w:rsidRDefault="003B0EA6" w:rsidP="009838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Stav pred účinnosťou nariadenia vlády Slovenskej republiky</w:t>
            </w:r>
            <w:r w:rsidR="00983855" w:rsidRPr="003B0EA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983855" w:rsidRPr="003B0EA6" w:rsidRDefault="003B0EA6" w:rsidP="003B0E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Stav po účinnosti nariadenia vlády Slovenskej republiky</w:t>
            </w:r>
          </w:p>
        </w:tc>
      </w:tr>
      <w:tr w:rsidR="003B0EA6" w:rsidRPr="003B0EA6" w:rsidTr="00C279EB">
        <w:trPr>
          <w:trHeight w:val="246"/>
        </w:trPr>
        <w:tc>
          <w:tcPr>
            <w:tcW w:w="2657" w:type="dxa"/>
            <w:shd w:val="clear" w:color="auto" w:fill="FFFFFF" w:themeFill="background1"/>
            <w:vAlign w:val="bottom"/>
          </w:tcPr>
          <w:p w:rsidR="00983855" w:rsidRPr="003B0EA6" w:rsidRDefault="00983855" w:rsidP="007E6B7A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 xml:space="preserve">Národný park Slovenský </w:t>
            </w:r>
            <w:r w:rsidR="007E6B7A">
              <w:rPr>
                <w:sz w:val="22"/>
                <w:szCs w:val="22"/>
              </w:rPr>
              <w:t>kras</w:t>
            </w:r>
            <w:r w:rsidR="007E6B7A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 xml:space="preserve">spolu </w:t>
            </w:r>
          </w:p>
        </w:tc>
        <w:tc>
          <w:tcPr>
            <w:tcW w:w="1454" w:type="dxa"/>
            <w:shd w:val="clear" w:color="auto" w:fill="FFFFFF" w:themeFill="background1"/>
            <w:vAlign w:val="bottom"/>
          </w:tcPr>
          <w:p w:rsidR="00983855" w:rsidRPr="003B0EA6" w:rsidRDefault="00983855" w:rsidP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bCs/>
                <w:sz w:val="22"/>
                <w:szCs w:val="22"/>
              </w:rPr>
              <w:t>34 611,08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983855" w:rsidRPr="003B0EA6" w:rsidRDefault="00983855" w:rsidP="005B25A0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 xml:space="preserve">100 % 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983855" w:rsidRPr="00C53346" w:rsidRDefault="00CB423E" w:rsidP="005B25A0">
            <w:pPr>
              <w:jc w:val="right"/>
              <w:rPr>
                <w:sz w:val="22"/>
                <w:szCs w:val="22"/>
                <w:highlight w:val="yellow"/>
              </w:rPr>
            </w:pPr>
            <w:r w:rsidRPr="00CB423E">
              <w:rPr>
                <w:bCs/>
                <w:sz w:val="22"/>
                <w:szCs w:val="22"/>
              </w:rPr>
              <w:t>35 527,88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983855" w:rsidRPr="00C53346" w:rsidRDefault="00CB423E" w:rsidP="005B25A0">
            <w:pPr>
              <w:jc w:val="right"/>
              <w:rPr>
                <w:sz w:val="22"/>
                <w:szCs w:val="22"/>
                <w:highlight w:val="yellow"/>
              </w:rPr>
            </w:pPr>
            <w:r w:rsidRPr="00CB423E">
              <w:rPr>
                <w:sz w:val="22"/>
                <w:szCs w:val="22"/>
              </w:rPr>
              <w:t>100 %</w:t>
            </w:r>
          </w:p>
        </w:tc>
      </w:tr>
      <w:tr w:rsidR="003B0EA6" w:rsidRPr="003B0EA6" w:rsidTr="00C279EB">
        <w:trPr>
          <w:trHeight w:val="246"/>
        </w:trPr>
        <w:tc>
          <w:tcPr>
            <w:tcW w:w="2657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Piaty stupeň ochrany</w:t>
            </w:r>
          </w:p>
        </w:tc>
        <w:tc>
          <w:tcPr>
            <w:tcW w:w="1454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1 233,79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3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56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8</w:t>
            </w:r>
            <w:r w:rsidR="001D0B24" w:rsidRPr="003B0EA6">
              <w:rPr>
                <w:sz w:val="22"/>
                <w:szCs w:val="22"/>
              </w:rPr>
              <w:t> </w:t>
            </w:r>
            <w:r w:rsidRPr="003B0EA6">
              <w:rPr>
                <w:sz w:val="22"/>
                <w:szCs w:val="22"/>
              </w:rPr>
              <w:t>591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80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24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20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</w:tr>
      <w:tr w:rsidR="003B0EA6" w:rsidRPr="003B0EA6" w:rsidTr="00C279EB">
        <w:trPr>
          <w:trHeight w:val="246"/>
        </w:trPr>
        <w:tc>
          <w:tcPr>
            <w:tcW w:w="2657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Štvrtý stupeň ochrany</w:t>
            </w:r>
          </w:p>
        </w:tc>
        <w:tc>
          <w:tcPr>
            <w:tcW w:w="1454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96,90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0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28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1</w:t>
            </w:r>
            <w:r w:rsidR="001D0B24" w:rsidRPr="003B0EA6">
              <w:rPr>
                <w:sz w:val="22"/>
                <w:szCs w:val="22"/>
              </w:rPr>
              <w:t> </w:t>
            </w:r>
            <w:r w:rsidRPr="003B0EA6">
              <w:rPr>
                <w:sz w:val="22"/>
                <w:szCs w:val="22"/>
              </w:rPr>
              <w:t>187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29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3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30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</w:tr>
      <w:tr w:rsidR="003B0EA6" w:rsidRPr="003B0EA6" w:rsidTr="00C279EB">
        <w:trPr>
          <w:trHeight w:val="246"/>
        </w:trPr>
        <w:tc>
          <w:tcPr>
            <w:tcW w:w="2657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Tretí stupeň ochrany</w:t>
            </w:r>
          </w:p>
        </w:tc>
        <w:tc>
          <w:tcPr>
            <w:tcW w:w="1454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33 280,39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96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16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25</w:t>
            </w:r>
            <w:r w:rsidR="001D0B24" w:rsidRPr="003B0EA6">
              <w:rPr>
                <w:sz w:val="22"/>
                <w:szCs w:val="22"/>
              </w:rPr>
              <w:t> </w:t>
            </w:r>
            <w:r w:rsidRPr="003B0EA6">
              <w:rPr>
                <w:sz w:val="22"/>
                <w:szCs w:val="22"/>
              </w:rPr>
              <w:t>712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58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72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40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</w:tr>
      <w:tr w:rsidR="003B0EA6" w:rsidRPr="003B0EA6" w:rsidTr="00C279EB">
        <w:trPr>
          <w:trHeight w:val="257"/>
        </w:trPr>
        <w:tc>
          <w:tcPr>
            <w:tcW w:w="2657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Druhý stupeň ochrany</w:t>
            </w:r>
          </w:p>
        </w:tc>
        <w:tc>
          <w:tcPr>
            <w:tcW w:w="1454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5B25A0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0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5B25A0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36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21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0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10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</w:tr>
      <w:tr w:rsidR="003B0EA6" w:rsidRPr="003B0EA6" w:rsidTr="00C279EB">
        <w:trPr>
          <w:trHeight w:val="257"/>
        </w:trPr>
        <w:tc>
          <w:tcPr>
            <w:tcW w:w="2657" w:type="dxa"/>
            <w:shd w:val="clear" w:color="auto" w:fill="FFFFFF" w:themeFill="background1"/>
            <w:vAlign w:val="bottom"/>
          </w:tcPr>
          <w:p w:rsidR="00983855" w:rsidRPr="00C53346" w:rsidRDefault="00983855" w:rsidP="0098385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4" w:type="dxa"/>
            <w:shd w:val="clear" w:color="auto" w:fill="FFFFFF" w:themeFill="background1"/>
            <w:vAlign w:val="bottom"/>
          </w:tcPr>
          <w:p w:rsidR="00983855" w:rsidRPr="00C53346" w:rsidRDefault="00983855" w:rsidP="005B25A0">
            <w:pPr>
              <w:jc w:val="right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983855" w:rsidRPr="00C53346" w:rsidRDefault="00983855" w:rsidP="005B25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983855" w:rsidRPr="00C53346" w:rsidRDefault="00983855">
            <w:pPr>
              <w:jc w:val="right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983855" w:rsidRPr="00C53346" w:rsidRDefault="00983855" w:rsidP="005B25A0">
            <w:pPr>
              <w:rPr>
                <w:sz w:val="22"/>
                <w:szCs w:val="22"/>
                <w:highlight w:val="yellow"/>
              </w:rPr>
            </w:pPr>
          </w:p>
        </w:tc>
      </w:tr>
      <w:tr w:rsidR="003B0EA6" w:rsidRPr="003B0EA6" w:rsidTr="00C279EB">
        <w:trPr>
          <w:trHeight w:val="246"/>
        </w:trPr>
        <w:tc>
          <w:tcPr>
            <w:tcW w:w="2657" w:type="dxa"/>
            <w:shd w:val="clear" w:color="auto" w:fill="FFFFFF" w:themeFill="background1"/>
            <w:vAlign w:val="bottom"/>
          </w:tcPr>
          <w:p w:rsidR="00983855" w:rsidRPr="003B0EA6" w:rsidRDefault="00983855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 xml:space="preserve">Ochranné pásmo </w:t>
            </w:r>
            <w:r w:rsidR="00CB423E">
              <w:t xml:space="preserve"> </w:t>
            </w:r>
            <w:r w:rsidR="00CB423E" w:rsidRPr="00CB423E">
              <w:rPr>
                <w:sz w:val="22"/>
                <w:szCs w:val="22"/>
              </w:rPr>
              <w:t>spolu</w:t>
            </w:r>
          </w:p>
        </w:tc>
        <w:tc>
          <w:tcPr>
            <w:tcW w:w="1454" w:type="dxa"/>
            <w:shd w:val="clear" w:color="auto" w:fill="FFFFFF" w:themeFill="background1"/>
            <w:vAlign w:val="bottom"/>
          </w:tcPr>
          <w:p w:rsidR="00983855" w:rsidRPr="003B0EA6" w:rsidRDefault="00CB423E" w:rsidP="00522B0F">
            <w:pPr>
              <w:jc w:val="right"/>
              <w:rPr>
                <w:sz w:val="22"/>
                <w:szCs w:val="22"/>
              </w:rPr>
            </w:pPr>
            <w:r w:rsidRPr="00CB423E">
              <w:rPr>
                <w:bCs/>
                <w:sz w:val="22"/>
                <w:szCs w:val="22"/>
              </w:rPr>
              <w:t>11 741,57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983855" w:rsidRPr="003B0EA6" w:rsidRDefault="00CB423E" w:rsidP="00983855">
            <w:pPr>
              <w:jc w:val="right"/>
              <w:rPr>
                <w:sz w:val="22"/>
                <w:szCs w:val="22"/>
              </w:rPr>
            </w:pPr>
            <w:r w:rsidRPr="00CB423E">
              <w:rPr>
                <w:sz w:val="22"/>
                <w:szCs w:val="22"/>
              </w:rPr>
              <w:t xml:space="preserve">100 % 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bCs/>
                <w:sz w:val="22"/>
                <w:szCs w:val="22"/>
              </w:rPr>
              <w:t>5</w:t>
            </w:r>
            <w:r w:rsidR="001D0B24" w:rsidRPr="003B0EA6">
              <w:rPr>
                <w:bCs/>
                <w:sz w:val="22"/>
                <w:szCs w:val="22"/>
              </w:rPr>
              <w:t> </w:t>
            </w:r>
            <w:r w:rsidRPr="003B0EA6">
              <w:rPr>
                <w:bCs/>
                <w:sz w:val="22"/>
                <w:szCs w:val="22"/>
              </w:rPr>
              <w:t>715</w:t>
            </w:r>
            <w:r w:rsidR="001D0B24" w:rsidRPr="003B0EA6">
              <w:rPr>
                <w:bCs/>
                <w:sz w:val="22"/>
                <w:szCs w:val="22"/>
              </w:rPr>
              <w:t>,</w:t>
            </w:r>
            <w:r w:rsidRPr="003B0EA6">
              <w:rPr>
                <w:bCs/>
                <w:sz w:val="22"/>
                <w:szCs w:val="22"/>
              </w:rPr>
              <w:t>98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983855" w:rsidRPr="003B0EA6" w:rsidRDefault="00CB423E" w:rsidP="00983855">
            <w:pPr>
              <w:jc w:val="right"/>
              <w:rPr>
                <w:sz w:val="22"/>
                <w:szCs w:val="22"/>
              </w:rPr>
            </w:pPr>
            <w:r w:rsidRPr="00CB423E">
              <w:rPr>
                <w:sz w:val="22"/>
                <w:szCs w:val="22"/>
              </w:rPr>
              <w:t>100 %</w:t>
            </w:r>
            <w:r w:rsidRPr="00CB423E" w:rsidDel="00CB423E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3B0EA6" w:rsidRPr="003B0EA6" w:rsidTr="00C279EB">
        <w:trPr>
          <w:trHeight w:val="246"/>
        </w:trPr>
        <w:tc>
          <w:tcPr>
            <w:tcW w:w="2657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Štvrtý stupeň ochrany</w:t>
            </w:r>
          </w:p>
        </w:tc>
        <w:tc>
          <w:tcPr>
            <w:tcW w:w="1454" w:type="dxa"/>
            <w:shd w:val="clear" w:color="auto" w:fill="FFFFFF" w:themeFill="background1"/>
            <w:vAlign w:val="bottom"/>
            <w:hideMark/>
          </w:tcPr>
          <w:p w:rsidR="00983855" w:rsidRPr="003B0EA6" w:rsidRDefault="00983855" w:rsidP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57,16 ha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0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48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57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16 ha</w:t>
            </w:r>
          </w:p>
        </w:tc>
        <w:tc>
          <w:tcPr>
            <w:tcW w:w="992" w:type="dxa"/>
            <w:shd w:val="clear" w:color="auto" w:fill="FFFFFF" w:themeFill="background1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1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00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</w:tr>
      <w:tr w:rsidR="003B0EA6" w:rsidRPr="003B0EA6" w:rsidTr="003B0EA6">
        <w:trPr>
          <w:trHeight w:val="257"/>
        </w:trPr>
        <w:tc>
          <w:tcPr>
            <w:tcW w:w="2657" w:type="dxa"/>
            <w:shd w:val="clear" w:color="auto" w:fill="auto"/>
            <w:vAlign w:val="bottom"/>
            <w:hideMark/>
          </w:tcPr>
          <w:p w:rsidR="00983855" w:rsidRPr="003B0EA6" w:rsidRDefault="001D0B24">
            <w:pPr>
              <w:jc w:val="center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Druhý stupeň ochrany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11</w:t>
            </w:r>
            <w:r w:rsidR="001D0B24" w:rsidRPr="003B0EA6">
              <w:rPr>
                <w:sz w:val="22"/>
                <w:szCs w:val="22"/>
              </w:rPr>
              <w:t> </w:t>
            </w:r>
            <w:r w:rsidRPr="003B0EA6">
              <w:rPr>
                <w:sz w:val="22"/>
                <w:szCs w:val="22"/>
              </w:rPr>
              <w:t>684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41 ha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99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52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83855" w:rsidRPr="003B0EA6" w:rsidRDefault="00983855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5</w:t>
            </w:r>
            <w:r w:rsidR="001D0B24" w:rsidRPr="003B0EA6">
              <w:rPr>
                <w:sz w:val="22"/>
                <w:szCs w:val="22"/>
              </w:rPr>
              <w:t> </w:t>
            </w:r>
            <w:r w:rsidRPr="003B0EA6">
              <w:rPr>
                <w:sz w:val="22"/>
                <w:szCs w:val="22"/>
              </w:rPr>
              <w:t>658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82 ha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83855" w:rsidRPr="003B0EA6" w:rsidRDefault="00983855" w:rsidP="001D0B24">
            <w:pPr>
              <w:jc w:val="right"/>
              <w:rPr>
                <w:sz w:val="22"/>
                <w:szCs w:val="22"/>
              </w:rPr>
            </w:pPr>
            <w:r w:rsidRPr="003B0EA6">
              <w:rPr>
                <w:sz w:val="22"/>
                <w:szCs w:val="22"/>
              </w:rPr>
              <w:t>99</w:t>
            </w:r>
            <w:r w:rsidR="001D0B24" w:rsidRPr="003B0EA6">
              <w:rPr>
                <w:sz w:val="22"/>
                <w:szCs w:val="22"/>
              </w:rPr>
              <w:t>,</w:t>
            </w:r>
            <w:r w:rsidRPr="003B0EA6">
              <w:rPr>
                <w:sz w:val="22"/>
                <w:szCs w:val="22"/>
              </w:rPr>
              <w:t>00</w:t>
            </w:r>
            <w:r w:rsidR="001D0B24" w:rsidRPr="003B0EA6">
              <w:rPr>
                <w:sz w:val="22"/>
                <w:szCs w:val="22"/>
              </w:rPr>
              <w:t xml:space="preserve"> </w:t>
            </w:r>
            <w:r w:rsidRPr="003B0EA6">
              <w:rPr>
                <w:sz w:val="22"/>
                <w:szCs w:val="22"/>
              </w:rPr>
              <w:t>%</w:t>
            </w:r>
          </w:p>
        </w:tc>
      </w:tr>
    </w:tbl>
    <w:p w:rsidR="00983855" w:rsidRPr="003B0EA6" w:rsidRDefault="00983855" w:rsidP="00983855"/>
    <w:p w:rsidR="00074A4A" w:rsidRPr="00AA65D0" w:rsidRDefault="00074A4A" w:rsidP="00074A4A">
      <w:pPr>
        <w:autoSpaceDE w:val="0"/>
        <w:autoSpaceDN w:val="0"/>
        <w:jc w:val="both"/>
      </w:pPr>
    </w:p>
    <w:p w:rsidR="00A75C93" w:rsidRPr="00AA65D0" w:rsidRDefault="008C3F2F" w:rsidP="00A75C93">
      <w:pPr>
        <w:widowControl/>
        <w:jc w:val="both"/>
      </w:pPr>
      <w:r w:rsidRPr="00AA65D0">
        <w:t xml:space="preserve">Pri </w:t>
      </w:r>
      <w:r w:rsidR="00DB3881" w:rsidRPr="00AA65D0">
        <w:t xml:space="preserve">vymedzovaní zón </w:t>
      </w:r>
      <w:r w:rsidRPr="00AA65D0">
        <w:t>sa zohľadňovala prítomnosť biotopov, ich zachovalosť a vzácnosť, intenzita lesníckeho a poľnohospodárskeho využívania, rekreačno-športové a iné využívanie územia, výskyt zastavaných plôch, infraštruktúry, verejných zariadení a priestorov s iným funkčným zameraním.</w:t>
      </w:r>
    </w:p>
    <w:p w:rsidR="00482FFC" w:rsidRPr="00AA65D0" w:rsidRDefault="00482FFC" w:rsidP="00482FFC">
      <w:pPr>
        <w:pStyle w:val="Textkomentra"/>
        <w:jc w:val="both"/>
        <w:rPr>
          <w:sz w:val="24"/>
          <w:szCs w:val="24"/>
        </w:rPr>
      </w:pPr>
    </w:p>
    <w:p w:rsidR="00687F48" w:rsidRPr="00AA65D0" w:rsidRDefault="00687F48" w:rsidP="00687F48">
      <w:pPr>
        <w:autoSpaceDE w:val="0"/>
        <w:autoSpaceDN w:val="0"/>
        <w:jc w:val="both"/>
        <w:rPr>
          <w:strike/>
        </w:rPr>
      </w:pPr>
      <w:r w:rsidRPr="00AA65D0">
        <w:t>Časové ani územné obmedzenie platnosti zákazov a obmedzení podľa § 13 až 16 zákona sa neuplatňuje.</w:t>
      </w:r>
    </w:p>
    <w:p w:rsidR="00A8322A" w:rsidRPr="00AA65D0" w:rsidRDefault="00A8322A" w:rsidP="00482FFC">
      <w:pPr>
        <w:pStyle w:val="Textkomentra"/>
        <w:jc w:val="both"/>
        <w:rPr>
          <w:sz w:val="24"/>
          <w:szCs w:val="24"/>
        </w:rPr>
      </w:pPr>
    </w:p>
    <w:p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>K § 4  </w:t>
      </w:r>
    </w:p>
    <w:p w:rsidR="008C3F2F" w:rsidRPr="00AA65D0" w:rsidRDefault="008C3F2F" w:rsidP="008C3F2F">
      <w:pPr>
        <w:widowControl/>
        <w:jc w:val="both"/>
      </w:pPr>
    </w:p>
    <w:p w:rsidR="008C3F2F" w:rsidRPr="00AA65D0" w:rsidRDefault="008C3F2F" w:rsidP="008C3F2F">
      <w:pPr>
        <w:widowControl/>
        <w:jc w:val="both"/>
      </w:pPr>
      <w:r w:rsidRPr="00AA65D0">
        <w:t xml:space="preserve">Identifikuje sa ochranné pásmo podľa okresov a jednotlivých katastrálnych území. Jeho funkciou je eliminovať alebo zmierňovať negatívne vplyvy na územie národného parku. </w:t>
      </w:r>
      <w:r w:rsidR="00A75C93">
        <w:t>V</w:t>
      </w:r>
      <w:r w:rsidR="00A75C93" w:rsidRPr="00A75C93">
        <w:t xml:space="preserve">ýmera ochranného pásma </w:t>
      </w:r>
      <w:r w:rsidR="00A75C93">
        <w:t xml:space="preserve">je </w:t>
      </w:r>
      <w:r w:rsidR="00A75C93" w:rsidRPr="00A75C93">
        <w:t>5 715,98 ha</w:t>
      </w:r>
      <w:r w:rsidR="00E91F32" w:rsidRPr="00E91F32">
        <w:t xml:space="preserve"> </w:t>
      </w:r>
      <w:r w:rsidR="00E91F32">
        <w:t xml:space="preserve">a </w:t>
      </w:r>
      <w:r w:rsidR="00E91F32" w:rsidRPr="00E91F32">
        <w:t>platí v ňom druhý stupeň ochrany</w:t>
      </w:r>
      <w:r w:rsidR="00A75C93">
        <w:t xml:space="preserve">. </w:t>
      </w:r>
      <w:r w:rsidR="00A75C93" w:rsidRPr="00A75C93">
        <w:t xml:space="preserve">V ochrannom pásme sa </w:t>
      </w:r>
      <w:r w:rsidR="00A75C93">
        <w:t xml:space="preserve">nachádzajú </w:t>
      </w:r>
      <w:r w:rsidR="00A75C93" w:rsidRPr="00A75C93">
        <w:t xml:space="preserve">dve prírodné </w:t>
      </w:r>
      <w:r w:rsidR="00A75C93" w:rsidRPr="009E3917">
        <w:t xml:space="preserve">rezervácie </w:t>
      </w:r>
      <w:r w:rsidR="00CA2E6C" w:rsidRPr="009E3917">
        <w:t xml:space="preserve">(PR) </w:t>
      </w:r>
      <w:r w:rsidR="00A75C93" w:rsidRPr="009E3917">
        <w:t xml:space="preserve">- PR Zemné hradisko </w:t>
      </w:r>
      <w:r w:rsidR="00E91F32" w:rsidRPr="009E3917">
        <w:t xml:space="preserve">o výmere 55,94 ha </w:t>
      </w:r>
      <w:r w:rsidR="00A75C93" w:rsidRPr="009E3917">
        <w:t xml:space="preserve">a PR Pod </w:t>
      </w:r>
      <w:proofErr w:type="spellStart"/>
      <w:r w:rsidR="00A75C93" w:rsidRPr="009E3917">
        <w:t>Fabiánkou</w:t>
      </w:r>
      <w:proofErr w:type="spellEnd"/>
      <w:r w:rsidR="00E91F32" w:rsidRPr="009E3917">
        <w:t xml:space="preserve"> o výmere 1,22 ha</w:t>
      </w:r>
      <w:r w:rsidR="00A75C93" w:rsidRPr="009E3917">
        <w:t>, v ktorých platí 4. stupeň ochrany.</w:t>
      </w:r>
      <w:r w:rsidR="00E91F32" w:rsidRPr="009E3917">
        <w:t xml:space="preserve"> Podiel týchto dvoch prírodných rezervácií predstavuje 1,0 % výmery ochranného pásma.</w:t>
      </w:r>
    </w:p>
    <w:p w:rsidR="008C3F2F" w:rsidRPr="00AA65D0" w:rsidRDefault="008C3F2F" w:rsidP="008C3F2F">
      <w:pPr>
        <w:widowControl/>
        <w:jc w:val="both"/>
        <w:rPr>
          <w:b/>
        </w:rPr>
      </w:pPr>
    </w:p>
    <w:p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>K § 5 a k prílohe č. 2</w:t>
      </w:r>
    </w:p>
    <w:p w:rsidR="008C3F2F" w:rsidRPr="00AA65D0" w:rsidRDefault="008C3F2F" w:rsidP="008C3F2F">
      <w:pPr>
        <w:widowControl/>
        <w:jc w:val="both"/>
      </w:pPr>
    </w:p>
    <w:p w:rsidR="008C3F2F" w:rsidRDefault="008C3F2F" w:rsidP="008C3F2F">
      <w:pPr>
        <w:pStyle w:val="Normlnywebov"/>
        <w:spacing w:after="120"/>
        <w:jc w:val="both"/>
      </w:pPr>
      <w:r w:rsidRPr="00AA65D0">
        <w:t xml:space="preserve">Národný park </w:t>
      </w:r>
      <w:r w:rsidR="00E91F32">
        <w:t>Slovenský kras</w:t>
      </w:r>
      <w:r w:rsidRPr="00AA65D0">
        <w:t xml:space="preserve"> sa vyhlasuje </w:t>
      </w:r>
      <w:r w:rsidR="005004DD" w:rsidRPr="00AA65D0">
        <w:t>s cieľom</w:t>
      </w:r>
      <w:r w:rsidRPr="00AA65D0">
        <w:t xml:space="preserve"> ochrany prirodzených procesov na podstatnej časti územia. Účelom jeho vyhlásenia je </w:t>
      </w:r>
      <w:r w:rsidR="005004DD" w:rsidRPr="00AA65D0">
        <w:t>tiež</w:t>
      </w:r>
      <w:r w:rsidRPr="00AA65D0">
        <w:t xml:space="preserve"> zabezpečenie priaznivého stavu predmetov ochrany národného parku, ktorými </w:t>
      </w:r>
      <w:r w:rsidR="000B71F8">
        <w:t>sú (prioritné</w:t>
      </w:r>
      <w:r w:rsidRPr="00AA65D0">
        <w:t xml:space="preserve">) </w:t>
      </w:r>
      <w:r w:rsidR="000B71F8">
        <w:t xml:space="preserve">biotopy </w:t>
      </w:r>
      <w:r w:rsidRPr="00AA65D0">
        <w:t xml:space="preserve">európskeho významu a </w:t>
      </w:r>
      <w:r w:rsidR="000B71F8">
        <w:t xml:space="preserve">biotopy </w:t>
      </w:r>
      <w:r w:rsidRPr="00AA65D0">
        <w:t xml:space="preserve">národného významu, </w:t>
      </w:r>
      <w:r w:rsidR="000B71F8">
        <w:t>druhy</w:t>
      </w:r>
      <w:r w:rsidRPr="00AA65D0">
        <w:t xml:space="preserve"> rastlín eu</w:t>
      </w:r>
      <w:r w:rsidR="00A7463E" w:rsidRPr="00AA65D0">
        <w:t xml:space="preserve">rópskeho a národného významu, </w:t>
      </w:r>
      <w:r w:rsidR="000B71F8">
        <w:t>druhy</w:t>
      </w:r>
      <w:r w:rsidRPr="00AA65D0">
        <w:t xml:space="preserve"> živočíchov </w:t>
      </w:r>
      <w:r w:rsidR="000B71F8">
        <w:t>európskeho a národného významu, druhy</w:t>
      </w:r>
      <w:r w:rsidRPr="00AA65D0">
        <w:t xml:space="preserve"> vtákov, ako aj abiotické javy, ktoré sú uvedené v prílohe č. 2 nariadenia vlády.</w:t>
      </w:r>
    </w:p>
    <w:p w:rsidR="00CB423E" w:rsidRDefault="00CB423E" w:rsidP="00CB423E">
      <w:pPr>
        <w:pStyle w:val="Normlnywebov"/>
        <w:spacing w:after="120"/>
        <w:jc w:val="both"/>
      </w:pPr>
      <w:r>
        <w:t xml:space="preserve">Typy biotopov európskeho významu uvedené v prílohe I smernice o biotopoch sú založené na klasifikácii biotopov CORINE, ktorá bola pri vzniku tejto smernice jediným klasifikačným systémom biotopov. Vzhľadom na revíziu a zmenu klasifikačného systému, pri ktorej sa okrem iného typy biotopov rozdelili na podtypy, kódy biotopov v prílohe I uvedenej smernice už plne nekorešpondovali s kódmi a opismi rôznych kategórií biotopov klasifikačného systému. Z tohto dôvodu vznikol „Interpretačný manuál biotopov európskeho významu“, ktorý vysvetľuje a uvádza jednotlivé podtypy biotopov, spadajúce do danej kategórie / typu biotopov. Prevod slovenského systému biotopov na kódy biotopov príloh smernice tvorí prílohu 1 Katalógu biotopov Slovenska, </w:t>
      </w:r>
      <w:r>
        <w:lastRenderedPageBreak/>
        <w:t>kde je pri každom biotope uvedené okrem iných informácií aj vzťah medzi slovenským a inými klasifikačnými systémami biotopov.</w:t>
      </w:r>
    </w:p>
    <w:p w:rsidR="00CB423E" w:rsidRDefault="00CB423E" w:rsidP="00CB423E">
      <w:pPr>
        <w:pStyle w:val="Normlnywebov"/>
        <w:spacing w:after="120"/>
        <w:jc w:val="both"/>
      </w:pPr>
      <w:r>
        <w:t>Dôvodom rozdelenia typov biotopov na podtypy bola okrem iného aj skutočnosť, že určité typy biotopov boli pri príprave smernice Rady 92/43/EHS z 21. mája 1992 o ochrane prirodzených biotopov a voľne žijúcich živočíchov a rastlín (Ú. v. ES L 206, 22.7.1992; Mimoriadne vydanie Ú. v. EÚ, kap. 15/zv. 2) stanovené „širšie“ (napr. brehové porasty riek v nížinách sú odlišné od brehových porastov horských riek). Je preto presnejšie uvádzať podtypy biotopov uvedené vo vyhláške č. 170/2021 Z. z., ktoré súčasne obsahujú aj kódy biotopu európskeho významu</w:t>
      </w:r>
      <w:r w:rsidR="000D5632">
        <w:t>.</w:t>
      </w:r>
    </w:p>
    <w:p w:rsidR="000D5632" w:rsidRPr="00AA65D0" w:rsidRDefault="000D5632" w:rsidP="00CB423E">
      <w:pPr>
        <w:pStyle w:val="Normlnywebov"/>
        <w:spacing w:after="120"/>
        <w:jc w:val="both"/>
      </w:pPr>
      <w:r>
        <w:rPr>
          <w:color w:val="000000"/>
        </w:rPr>
        <w:t>Pre nesplnenie záväzkov na označenie území európskeho významu a na určenie cieľov ochrany a opatrení vedie Európska komisia voči Slovenskej republiky konanie (aktuálne vo fáze odôvodneného stanoviska) k porušeniu č. 2019/2141</w:t>
      </w:r>
      <w:r>
        <w:t>. Navrhovaný Národný park Slovenský kras</w:t>
      </w:r>
      <w:r>
        <w:rPr>
          <w:rStyle w:val="Textzstupnhosymbolu"/>
          <w:color w:val="000000"/>
        </w:rPr>
        <w:t xml:space="preserve"> zasahuje do územia európskeho významu </w:t>
      </w:r>
      <w:r w:rsidRPr="00B40A20">
        <w:rPr>
          <w:color w:val="000000"/>
        </w:rPr>
        <w:t xml:space="preserve">SKUEV0284 </w:t>
      </w:r>
      <w:r w:rsidRPr="00B40A20">
        <w:rPr>
          <w:bCs/>
          <w:color w:val="000000"/>
        </w:rPr>
        <w:t xml:space="preserve">Teplické stráne, </w:t>
      </w:r>
      <w:r w:rsidRPr="00B40A20">
        <w:rPr>
          <w:color w:val="000000"/>
        </w:rPr>
        <w:t xml:space="preserve">SKUEV0340 </w:t>
      </w:r>
      <w:r w:rsidRPr="00B40A20">
        <w:rPr>
          <w:bCs/>
          <w:color w:val="000000"/>
        </w:rPr>
        <w:t xml:space="preserve">Český </w:t>
      </w:r>
      <w:proofErr w:type="spellStart"/>
      <w:r w:rsidRPr="00B40A20">
        <w:rPr>
          <w:bCs/>
          <w:color w:val="000000"/>
        </w:rPr>
        <w:t>závrt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SKUEV0341 </w:t>
      </w:r>
      <w:r w:rsidRPr="00B40A20">
        <w:rPr>
          <w:bCs/>
          <w:color w:val="000000"/>
        </w:rPr>
        <w:t xml:space="preserve">Dolný vrch, </w:t>
      </w:r>
      <w:r w:rsidRPr="00B40A20">
        <w:rPr>
          <w:color w:val="000000"/>
        </w:rPr>
        <w:t xml:space="preserve">SKUEV3341 </w:t>
      </w:r>
      <w:r w:rsidRPr="00B40A20">
        <w:rPr>
          <w:bCs/>
          <w:color w:val="000000"/>
        </w:rPr>
        <w:t xml:space="preserve">Dolný vrch, </w:t>
      </w:r>
      <w:r w:rsidRPr="00B40A20">
        <w:rPr>
          <w:color w:val="000000"/>
        </w:rPr>
        <w:t xml:space="preserve">SKUEV0342 </w:t>
      </w:r>
      <w:proofErr w:type="spellStart"/>
      <w:r w:rsidRPr="00B40A20">
        <w:rPr>
          <w:bCs/>
          <w:color w:val="000000"/>
        </w:rPr>
        <w:t>Drieňovec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SKUEV3342 </w:t>
      </w:r>
      <w:proofErr w:type="spellStart"/>
      <w:r w:rsidRPr="00B40A20">
        <w:rPr>
          <w:bCs/>
          <w:color w:val="000000"/>
        </w:rPr>
        <w:t>Drieňovec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SKUEV0343 </w:t>
      </w:r>
      <w:r w:rsidRPr="00B40A20">
        <w:rPr>
          <w:bCs/>
          <w:color w:val="000000"/>
        </w:rPr>
        <w:t xml:space="preserve">Plešivské stráne, </w:t>
      </w:r>
      <w:r w:rsidRPr="00B40A20">
        <w:rPr>
          <w:color w:val="000000"/>
        </w:rPr>
        <w:t xml:space="preserve">SKUEV0345 </w:t>
      </w:r>
      <w:proofErr w:type="spellStart"/>
      <w:r w:rsidRPr="00B40A20">
        <w:rPr>
          <w:bCs/>
          <w:color w:val="000000"/>
        </w:rPr>
        <w:t>Kečovské</w:t>
      </w:r>
      <w:proofErr w:type="spellEnd"/>
      <w:r w:rsidRPr="00B40A20">
        <w:rPr>
          <w:bCs/>
          <w:color w:val="000000"/>
        </w:rPr>
        <w:t xml:space="preserve"> </w:t>
      </w:r>
      <w:proofErr w:type="spellStart"/>
      <w:r w:rsidRPr="00B40A20">
        <w:rPr>
          <w:bCs/>
          <w:color w:val="000000"/>
        </w:rPr>
        <w:t>škrapy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SKUEV3345 </w:t>
      </w:r>
      <w:proofErr w:type="spellStart"/>
      <w:r w:rsidRPr="00B40A20">
        <w:rPr>
          <w:bCs/>
          <w:color w:val="000000"/>
        </w:rPr>
        <w:t>Kečovské</w:t>
      </w:r>
      <w:proofErr w:type="spellEnd"/>
      <w:r w:rsidRPr="00B40A20">
        <w:rPr>
          <w:bCs/>
          <w:color w:val="000000"/>
        </w:rPr>
        <w:t xml:space="preserve"> </w:t>
      </w:r>
      <w:proofErr w:type="spellStart"/>
      <w:r w:rsidRPr="00B40A20">
        <w:rPr>
          <w:bCs/>
          <w:color w:val="000000"/>
        </w:rPr>
        <w:t>škrapy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SKUEV0346 </w:t>
      </w:r>
      <w:r w:rsidRPr="00B40A20">
        <w:rPr>
          <w:bCs/>
          <w:color w:val="000000"/>
        </w:rPr>
        <w:t xml:space="preserve">Pod Strážnym hrebeňom, </w:t>
      </w:r>
      <w:r w:rsidRPr="00B40A20">
        <w:rPr>
          <w:color w:val="000000"/>
        </w:rPr>
        <w:t xml:space="preserve">SKUEV0347 </w:t>
      </w:r>
      <w:r w:rsidRPr="00B40A20">
        <w:rPr>
          <w:bCs/>
          <w:color w:val="000000"/>
        </w:rPr>
        <w:t xml:space="preserve">Domické </w:t>
      </w:r>
      <w:proofErr w:type="spellStart"/>
      <w:r w:rsidRPr="00B40A20">
        <w:rPr>
          <w:bCs/>
          <w:color w:val="000000"/>
        </w:rPr>
        <w:t>škrapy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SKUEV0349 </w:t>
      </w:r>
      <w:r w:rsidRPr="00B40A20">
        <w:rPr>
          <w:bCs/>
          <w:color w:val="000000"/>
        </w:rPr>
        <w:t xml:space="preserve">Jasovské dubiny, </w:t>
      </w:r>
      <w:r w:rsidRPr="00B40A20">
        <w:rPr>
          <w:color w:val="000000"/>
        </w:rPr>
        <w:t xml:space="preserve">SKUEV0350 </w:t>
      </w:r>
      <w:proofErr w:type="spellStart"/>
      <w:r w:rsidRPr="00B40A20">
        <w:rPr>
          <w:bCs/>
          <w:color w:val="000000"/>
        </w:rPr>
        <w:t>Brzotínske</w:t>
      </w:r>
      <w:proofErr w:type="spellEnd"/>
      <w:r w:rsidRPr="00B40A20">
        <w:rPr>
          <w:bCs/>
          <w:color w:val="000000"/>
        </w:rPr>
        <w:t xml:space="preserve"> skaly, </w:t>
      </w:r>
      <w:r w:rsidRPr="00B40A20">
        <w:rPr>
          <w:color w:val="000000"/>
        </w:rPr>
        <w:t xml:space="preserve">SKUEV0352 </w:t>
      </w:r>
      <w:proofErr w:type="spellStart"/>
      <w:r w:rsidRPr="00B40A20">
        <w:rPr>
          <w:bCs/>
          <w:color w:val="000000"/>
        </w:rPr>
        <w:t>Hrušovská</w:t>
      </w:r>
      <w:proofErr w:type="spellEnd"/>
      <w:r w:rsidRPr="00B40A20">
        <w:rPr>
          <w:bCs/>
          <w:color w:val="000000"/>
        </w:rPr>
        <w:t xml:space="preserve"> lesostep, </w:t>
      </w:r>
      <w:r w:rsidRPr="00B40A20">
        <w:rPr>
          <w:color w:val="000000"/>
        </w:rPr>
        <w:t xml:space="preserve">SKUEV0353 </w:t>
      </w:r>
      <w:r w:rsidRPr="00B40A20">
        <w:rPr>
          <w:bCs/>
          <w:color w:val="000000"/>
        </w:rPr>
        <w:t xml:space="preserve">Plešivská planina, </w:t>
      </w:r>
      <w:r w:rsidRPr="00B40A20">
        <w:rPr>
          <w:color w:val="000000"/>
        </w:rPr>
        <w:t xml:space="preserve">SKUEV3353 </w:t>
      </w:r>
      <w:r w:rsidRPr="00B40A20">
        <w:rPr>
          <w:bCs/>
          <w:color w:val="000000"/>
        </w:rPr>
        <w:t xml:space="preserve">Plešivská planina, </w:t>
      </w:r>
      <w:r w:rsidRPr="00B40A20">
        <w:rPr>
          <w:color w:val="000000"/>
        </w:rPr>
        <w:t xml:space="preserve">SKUEV0355 </w:t>
      </w:r>
      <w:proofErr w:type="spellStart"/>
      <w:r w:rsidRPr="00B40A20">
        <w:rPr>
          <w:bCs/>
          <w:color w:val="000000"/>
        </w:rPr>
        <w:t>Fabiánka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SKUEV3355 </w:t>
      </w:r>
      <w:proofErr w:type="spellStart"/>
      <w:r w:rsidRPr="00B40A20">
        <w:rPr>
          <w:bCs/>
          <w:color w:val="000000"/>
        </w:rPr>
        <w:t>Fabiánka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SKUEV0356 </w:t>
      </w:r>
      <w:r w:rsidRPr="00B40A20">
        <w:rPr>
          <w:bCs/>
          <w:color w:val="000000"/>
        </w:rPr>
        <w:t xml:space="preserve">Horný vrch, </w:t>
      </w:r>
      <w:r w:rsidRPr="00B40A20">
        <w:rPr>
          <w:color w:val="000000"/>
        </w:rPr>
        <w:t xml:space="preserve">SKUEV3356 </w:t>
      </w:r>
      <w:r w:rsidRPr="00B40A20">
        <w:rPr>
          <w:bCs/>
          <w:color w:val="000000"/>
        </w:rPr>
        <w:t xml:space="preserve">Horný vrch, </w:t>
      </w:r>
      <w:r w:rsidRPr="00B40A20">
        <w:rPr>
          <w:color w:val="000000"/>
        </w:rPr>
        <w:t xml:space="preserve">SKUEV0737 </w:t>
      </w:r>
      <w:proofErr w:type="spellStart"/>
      <w:r w:rsidRPr="00B40A20">
        <w:rPr>
          <w:bCs/>
          <w:color w:val="000000"/>
        </w:rPr>
        <w:t>Palanta</w:t>
      </w:r>
      <w:proofErr w:type="spellEnd"/>
      <w:r w:rsidRPr="00B40A20">
        <w:rPr>
          <w:bCs/>
          <w:color w:val="000000"/>
        </w:rPr>
        <w:t xml:space="preserve">, </w:t>
      </w:r>
      <w:r w:rsidRPr="00B40A20">
        <w:rPr>
          <w:color w:val="000000"/>
        </w:rPr>
        <w:t xml:space="preserve">SKUEV0920 </w:t>
      </w:r>
      <w:r w:rsidRPr="00B40A20">
        <w:rPr>
          <w:bCs/>
          <w:color w:val="000000"/>
        </w:rPr>
        <w:t xml:space="preserve">Sokolia skala, </w:t>
      </w:r>
      <w:r w:rsidRPr="00B40A20">
        <w:rPr>
          <w:color w:val="000000"/>
        </w:rPr>
        <w:t xml:space="preserve">SKUEV0922 </w:t>
      </w:r>
      <w:r w:rsidRPr="00B40A20">
        <w:rPr>
          <w:bCs/>
          <w:color w:val="000000"/>
        </w:rPr>
        <w:t xml:space="preserve">Bubeník, </w:t>
      </w:r>
      <w:r w:rsidRPr="00B40A20">
        <w:rPr>
          <w:color w:val="000000"/>
        </w:rPr>
        <w:t xml:space="preserve">SKUEV4000 </w:t>
      </w:r>
      <w:proofErr w:type="spellStart"/>
      <w:r w:rsidRPr="00B40A20">
        <w:rPr>
          <w:bCs/>
          <w:color w:val="000000"/>
        </w:rPr>
        <w:t>Silickobrezovské</w:t>
      </w:r>
      <w:proofErr w:type="spellEnd"/>
      <w:r w:rsidRPr="00B40A20">
        <w:rPr>
          <w:bCs/>
          <w:color w:val="000000"/>
        </w:rPr>
        <w:t xml:space="preserve"> lúky, </w:t>
      </w:r>
      <w:r w:rsidRPr="00B40A20">
        <w:rPr>
          <w:color w:val="000000"/>
        </w:rPr>
        <w:t xml:space="preserve">SKUEV4001 </w:t>
      </w:r>
      <w:r w:rsidRPr="00B40A20">
        <w:rPr>
          <w:bCs/>
          <w:color w:val="000000"/>
        </w:rPr>
        <w:t>Lúky Horného vrchu</w:t>
      </w:r>
      <w:r>
        <w:rPr>
          <w:rStyle w:val="Textzstupnhosymbolu"/>
          <w:color w:val="000000"/>
        </w:rPr>
        <w:t xml:space="preserve"> a do Chráneného vtáčieho územia </w:t>
      </w:r>
      <w:r w:rsidRPr="00BE1E55">
        <w:rPr>
          <w:b/>
        </w:rPr>
        <w:t>Slovenský kras</w:t>
      </w:r>
      <w:r>
        <w:t xml:space="preserve"> (kód SKCHVU027). </w:t>
      </w:r>
      <w:proofErr w:type="spellStart"/>
      <w:r>
        <w:rPr>
          <w:rStyle w:val="Textzstupnhosymbolu"/>
          <w:color w:val="000000"/>
        </w:rPr>
        <w:t>Zonácia</w:t>
      </w:r>
      <w:proofErr w:type="spellEnd"/>
      <w:r>
        <w:rPr>
          <w:rStyle w:val="Textzstupnhosymbolu"/>
          <w:color w:val="000000"/>
        </w:rPr>
        <w:t xml:space="preserve"> Národného parku Slovenský kras </w:t>
      </w:r>
      <w:r>
        <w:t>preto prispeje k splneniu týchto záväzkov v danej lokalite.</w:t>
      </w:r>
    </w:p>
    <w:p w:rsidR="004C3586" w:rsidRPr="00AA65D0" w:rsidRDefault="004C3586" w:rsidP="004C3586">
      <w:pPr>
        <w:pStyle w:val="Textkomentra"/>
      </w:pPr>
    </w:p>
    <w:p w:rsidR="008C3F2F" w:rsidRPr="00AA65D0" w:rsidRDefault="008C3F2F" w:rsidP="008C3F2F">
      <w:pPr>
        <w:autoSpaceDE w:val="0"/>
        <w:autoSpaceDN w:val="0"/>
        <w:jc w:val="both"/>
        <w:rPr>
          <w:b/>
        </w:rPr>
      </w:pPr>
      <w:r w:rsidRPr="00AA65D0">
        <w:rPr>
          <w:b/>
        </w:rPr>
        <w:t xml:space="preserve">K § </w:t>
      </w:r>
      <w:r w:rsidR="00687F48">
        <w:rPr>
          <w:b/>
        </w:rPr>
        <w:t>6</w:t>
      </w:r>
    </w:p>
    <w:p w:rsidR="008C3F2F" w:rsidRPr="00AA65D0" w:rsidRDefault="008C3F2F" w:rsidP="008C3F2F">
      <w:pPr>
        <w:autoSpaceDE w:val="0"/>
        <w:autoSpaceDN w:val="0"/>
        <w:jc w:val="both"/>
        <w:rPr>
          <w:b/>
        </w:rPr>
      </w:pPr>
    </w:p>
    <w:p w:rsidR="00DB3881" w:rsidRPr="00AA65D0" w:rsidRDefault="008C3F2F" w:rsidP="00DB3881">
      <w:pPr>
        <w:widowControl/>
        <w:jc w:val="both"/>
      </w:pPr>
      <w:r w:rsidRPr="00AA65D0">
        <w:t xml:space="preserve">Vyhlásením nariadenia vlády sa </w:t>
      </w:r>
      <w:r w:rsidR="000B71F8">
        <w:t>zruší uvedený právny predpis, ktorý</w:t>
      </w:r>
      <w:r w:rsidRPr="00AA65D0">
        <w:t xml:space="preserve"> </w:t>
      </w:r>
      <w:r w:rsidR="000B71F8">
        <w:t>sa nahradzuje týmto nariadením vlády</w:t>
      </w:r>
      <w:r w:rsidR="00DB3881" w:rsidRPr="00AA65D0">
        <w:t>.</w:t>
      </w:r>
    </w:p>
    <w:p w:rsidR="008C3F2F" w:rsidRDefault="008C3F2F" w:rsidP="008C3F2F">
      <w:pPr>
        <w:widowControl/>
        <w:jc w:val="both"/>
        <w:rPr>
          <w:b/>
        </w:rPr>
      </w:pPr>
      <w:bookmarkStart w:id="1" w:name="OLE_LINK28"/>
      <w:bookmarkStart w:id="2" w:name="OLE_LINK39"/>
      <w:bookmarkStart w:id="3" w:name="OLE_LINK38"/>
      <w:bookmarkStart w:id="4" w:name="OLE_LINK29"/>
      <w:bookmarkEnd w:id="1"/>
      <w:bookmarkEnd w:id="2"/>
      <w:bookmarkEnd w:id="3"/>
      <w:bookmarkEnd w:id="4"/>
    </w:p>
    <w:p w:rsidR="003B0EA6" w:rsidRDefault="003B0EA6" w:rsidP="008C3F2F">
      <w:pPr>
        <w:widowControl/>
        <w:jc w:val="both"/>
        <w:rPr>
          <w:b/>
        </w:rPr>
      </w:pPr>
    </w:p>
    <w:p w:rsidR="003B0EA6" w:rsidRPr="00AA65D0" w:rsidRDefault="003B0EA6" w:rsidP="008C3F2F">
      <w:pPr>
        <w:widowControl/>
        <w:jc w:val="both"/>
        <w:rPr>
          <w:b/>
        </w:rPr>
      </w:pPr>
    </w:p>
    <w:p w:rsidR="008C3F2F" w:rsidRPr="00AA65D0" w:rsidRDefault="008C3F2F" w:rsidP="008C3F2F">
      <w:pPr>
        <w:widowControl/>
        <w:jc w:val="both"/>
        <w:rPr>
          <w:b/>
        </w:rPr>
      </w:pPr>
      <w:r w:rsidRPr="00AA65D0">
        <w:rPr>
          <w:b/>
        </w:rPr>
        <w:t xml:space="preserve">K § </w:t>
      </w:r>
      <w:r w:rsidR="00687F48">
        <w:rPr>
          <w:b/>
        </w:rPr>
        <w:t>7</w:t>
      </w:r>
    </w:p>
    <w:p w:rsidR="008C3F2F" w:rsidRPr="00AA65D0" w:rsidRDefault="008C3F2F" w:rsidP="008C3F2F">
      <w:pPr>
        <w:widowControl/>
        <w:jc w:val="both"/>
        <w:rPr>
          <w:b/>
        </w:rPr>
      </w:pPr>
    </w:p>
    <w:p w:rsidR="000C6228" w:rsidRPr="00AA65D0" w:rsidRDefault="008C3F2F" w:rsidP="008C3F2F">
      <w:pPr>
        <w:widowControl/>
        <w:jc w:val="both"/>
      </w:pPr>
      <w:r w:rsidRPr="00AA65D0">
        <w:t xml:space="preserve">Účinnosť nariadenia vlády sa vzhľadom na predpokladanú dĺžku legislatívneho procesu a potrebnú </w:t>
      </w:r>
      <w:proofErr w:type="spellStart"/>
      <w:r w:rsidRPr="00AA65D0">
        <w:t>legisvakačnú</w:t>
      </w:r>
      <w:proofErr w:type="spellEnd"/>
      <w:r w:rsidRPr="00AA65D0">
        <w:t xml:space="preserve"> lehotu navrhuje na</w:t>
      </w:r>
      <w:r w:rsidR="002E7ACA" w:rsidRPr="00AA65D0">
        <w:t xml:space="preserve"> 1. </w:t>
      </w:r>
      <w:r w:rsidR="00C279EB">
        <w:t>januára 2024</w:t>
      </w:r>
      <w:bookmarkStart w:id="5" w:name="_GoBack"/>
      <w:bookmarkEnd w:id="5"/>
      <w:r w:rsidRPr="00AA65D0">
        <w:t xml:space="preserve">. </w:t>
      </w:r>
    </w:p>
    <w:p w:rsidR="00DB3881" w:rsidRPr="00AA65D0" w:rsidRDefault="00DB3881" w:rsidP="008C3F2F">
      <w:pPr>
        <w:widowControl/>
        <w:jc w:val="both"/>
        <w:rPr>
          <w:rFonts w:eastAsia="Calibri"/>
        </w:rPr>
      </w:pPr>
    </w:p>
    <w:sectPr w:rsidR="00DB3881" w:rsidRPr="00AA65D0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4A" w:rsidRDefault="00993F4A" w:rsidP="00AA65D0">
      <w:r>
        <w:separator/>
      </w:r>
    </w:p>
  </w:endnote>
  <w:endnote w:type="continuationSeparator" w:id="0">
    <w:p w:rsidR="00993F4A" w:rsidRDefault="00993F4A" w:rsidP="00AA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982092"/>
      <w:docPartObj>
        <w:docPartGallery w:val="Page Numbers (Bottom of Page)"/>
        <w:docPartUnique/>
      </w:docPartObj>
    </w:sdtPr>
    <w:sdtEndPr/>
    <w:sdtContent>
      <w:p w:rsidR="00AA65D0" w:rsidRDefault="00AA65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EB">
          <w:rPr>
            <w:noProof/>
          </w:rPr>
          <w:t>3</w:t>
        </w:r>
        <w:r>
          <w:fldChar w:fldCharType="end"/>
        </w:r>
      </w:p>
    </w:sdtContent>
  </w:sdt>
  <w:p w:rsidR="00AA65D0" w:rsidRDefault="00AA6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4A" w:rsidRDefault="00993F4A" w:rsidP="00AA65D0">
      <w:r>
        <w:separator/>
      </w:r>
    </w:p>
  </w:footnote>
  <w:footnote w:type="continuationSeparator" w:id="0">
    <w:p w:rsidR="00993F4A" w:rsidRDefault="00993F4A" w:rsidP="00AA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6F42"/>
    <w:multiLevelType w:val="hybridMultilevel"/>
    <w:tmpl w:val="7994B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2F"/>
    <w:rsid w:val="00012864"/>
    <w:rsid w:val="00037236"/>
    <w:rsid w:val="00050F02"/>
    <w:rsid w:val="00074A4A"/>
    <w:rsid w:val="000B71F8"/>
    <w:rsid w:val="000C6228"/>
    <w:rsid w:val="000D5632"/>
    <w:rsid w:val="001A524F"/>
    <w:rsid w:val="001D0B24"/>
    <w:rsid w:val="00216810"/>
    <w:rsid w:val="00240EF0"/>
    <w:rsid w:val="00256892"/>
    <w:rsid w:val="002920D1"/>
    <w:rsid w:val="002B3531"/>
    <w:rsid w:val="002B3CBE"/>
    <w:rsid w:val="002E7ACA"/>
    <w:rsid w:val="00347605"/>
    <w:rsid w:val="003503D1"/>
    <w:rsid w:val="003A216E"/>
    <w:rsid w:val="003B0EA6"/>
    <w:rsid w:val="003D52E9"/>
    <w:rsid w:val="00464609"/>
    <w:rsid w:val="00482FFC"/>
    <w:rsid w:val="004B5945"/>
    <w:rsid w:val="004C3586"/>
    <w:rsid w:val="004D08CC"/>
    <w:rsid w:val="004F2FF2"/>
    <w:rsid w:val="005004DD"/>
    <w:rsid w:val="00522B0F"/>
    <w:rsid w:val="005856AD"/>
    <w:rsid w:val="005D6E38"/>
    <w:rsid w:val="00606D44"/>
    <w:rsid w:val="00672855"/>
    <w:rsid w:val="00687F48"/>
    <w:rsid w:val="006963BC"/>
    <w:rsid w:val="0070263E"/>
    <w:rsid w:val="00710A62"/>
    <w:rsid w:val="0074291E"/>
    <w:rsid w:val="007C61AB"/>
    <w:rsid w:val="007E6B7A"/>
    <w:rsid w:val="00817848"/>
    <w:rsid w:val="00817FFB"/>
    <w:rsid w:val="00846BA7"/>
    <w:rsid w:val="00884815"/>
    <w:rsid w:val="008C3F2F"/>
    <w:rsid w:val="008E7D93"/>
    <w:rsid w:val="00944301"/>
    <w:rsid w:val="00981D7A"/>
    <w:rsid w:val="00983855"/>
    <w:rsid w:val="00993F4A"/>
    <w:rsid w:val="009A4ADA"/>
    <w:rsid w:val="009B1C59"/>
    <w:rsid w:val="009E3917"/>
    <w:rsid w:val="009E4AA6"/>
    <w:rsid w:val="00A117CB"/>
    <w:rsid w:val="00A345CD"/>
    <w:rsid w:val="00A40F7A"/>
    <w:rsid w:val="00A7463E"/>
    <w:rsid w:val="00A75C93"/>
    <w:rsid w:val="00A8322A"/>
    <w:rsid w:val="00AA65D0"/>
    <w:rsid w:val="00AF1D03"/>
    <w:rsid w:val="00B55D9B"/>
    <w:rsid w:val="00B6551D"/>
    <w:rsid w:val="00B92017"/>
    <w:rsid w:val="00BF46E0"/>
    <w:rsid w:val="00C279EB"/>
    <w:rsid w:val="00C53346"/>
    <w:rsid w:val="00CA2E6C"/>
    <w:rsid w:val="00CB423E"/>
    <w:rsid w:val="00D30707"/>
    <w:rsid w:val="00D773CA"/>
    <w:rsid w:val="00D93B07"/>
    <w:rsid w:val="00DB3881"/>
    <w:rsid w:val="00DD6519"/>
    <w:rsid w:val="00DF6C63"/>
    <w:rsid w:val="00E0397C"/>
    <w:rsid w:val="00E10A1D"/>
    <w:rsid w:val="00E401D8"/>
    <w:rsid w:val="00E50735"/>
    <w:rsid w:val="00E51E36"/>
    <w:rsid w:val="00E855F2"/>
    <w:rsid w:val="00E8670A"/>
    <w:rsid w:val="00E91F32"/>
    <w:rsid w:val="00F1191B"/>
    <w:rsid w:val="00F13AFA"/>
    <w:rsid w:val="00F337EE"/>
    <w:rsid w:val="00F35C44"/>
    <w:rsid w:val="00F41958"/>
    <w:rsid w:val="00F5169E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C027"/>
  <w15:chartTrackingRefBased/>
  <w15:docId w15:val="{F9EA5069-64B7-4204-A0FE-61B99E82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F2F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">
    <w:name w:val="Text zástupného symbolu"/>
    <w:uiPriority w:val="99"/>
    <w:semiHidden/>
    <w:rsid w:val="008C3F2F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rsid w:val="008C3F2F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C3F2F"/>
    <w:pPr>
      <w:widowControl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8C3F2F"/>
    <w:rPr>
      <w:rFonts w:ascii="Calibri" w:eastAsia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45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45C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itle-doc-first">
    <w:name w:val="title-doc-first"/>
    <w:basedOn w:val="Normlny"/>
    <w:rsid w:val="00A345CD"/>
    <w:pPr>
      <w:widowControl/>
      <w:adjustRightInd/>
      <w:spacing w:before="100" w:beforeAutospacing="1" w:after="100" w:afterAutospacing="1"/>
    </w:pPr>
  </w:style>
  <w:style w:type="paragraph" w:customStyle="1" w:styleId="title-doc-last">
    <w:name w:val="title-doc-last"/>
    <w:basedOn w:val="Normlny"/>
    <w:rsid w:val="00A345CD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A345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45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45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5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5C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10A62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65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65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65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65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uiPriority w:val="99"/>
    <w:semiHidden/>
    <w:rsid w:val="00983855"/>
    <w:pPr>
      <w:widowControl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7" ma:contentTypeDescription="Create a new document." ma:contentTypeScope="" ma:versionID="55a538a356f95bde8b8580f5d4d3b013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a873880a969d6b2ef4d2902fb95a08a4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04_2_DS-osobit_NP-Muran-planina-MPK-final"/>
    <f:field ref="objsubject" par="" edit="true" text=""/>
    <f:field ref="objcreatedby" par="" text="Hallonová, Valéria, JUDr."/>
    <f:field ref="objcreatedat" par="" text="27.4.2022 13:42:24"/>
    <f:field ref="objchangedby" par="" text="Administrator, System"/>
    <f:field ref="objmodifiedat" par="" text="27.4.2022 13:42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A368-B9D2-47C5-90DC-BB84F7ED0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BA9A00C-9CC4-42FD-BF93-C9659566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D19B9-0421-42E9-AD9E-CAE529EAA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95E7F0-7053-45BF-BC10-706A3E8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Hallonová Valéria</dc:creator>
  <cp:keywords/>
  <dc:description/>
  <cp:lastModifiedBy>Cao Tienová Laura</cp:lastModifiedBy>
  <cp:revision>6</cp:revision>
  <cp:lastPrinted>2022-07-12T14:10:00Z</cp:lastPrinted>
  <dcterms:created xsi:type="dcterms:W3CDTF">2023-06-20T15:28:00Z</dcterms:created>
  <dcterms:modified xsi:type="dcterms:W3CDTF">2023-08-15T09:25:00Z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0x0101007BF2E88B3F78A349989BFD1CB9544B3E</vt:lpwstr>
  </property>
  <property fmtid="{D5CDD505-2E9C-101B-9397-08002B2CF9AE}" pid="3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aktualnyrok">
    <vt:lpwstr>2022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Medzirezortné pripomienkové konanie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Životné prostredie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JUDr. Valéria Hallonová</vt:lpwstr>
  </property>
  <property fmtid="{D5CDD505-2E9C-101B-9397-08002B2CF9AE}" pid="13" name="FSC#SKEDITIONSLOVLEX@103.510:zodppredkladatel">
    <vt:lpwstr>Ján Budaj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ktorým sa vyhlasuje Národný park Muránska planina, jeho zóny a ochranné pásmo 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životného prostredia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Plán legislatívnych úloh vlády SR na mesiace jún až december 2021</vt:lpwstr>
  </property>
  <property fmtid="{D5CDD505-2E9C-101B-9397-08002B2CF9AE}" pid="24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7968/2022-1.7.3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LP/2022/237</vt:lpwstr>
  </property>
  <property fmtid="{D5CDD505-2E9C-101B-9397-08002B2CF9AE}" pid="38" name="FSC#SKEDITIONSLOVLEX@103.510:typsprievdok">
    <vt:lpwstr>Dôvodová správa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>je upravený v práve Európskej únie</vt:lpwstr>
  </property>
  <property fmtid="{D5CDD505-2E9C-101B-9397-08002B2CF9AE}" pid="47" name="FSC#SKEDITIONSLOVLEX@103.510:AttrStrListDocPropPrimarnePravoEU">
    <vt:lpwstr>Čl. 191 až 193 Zmluvy o fungovaní Európskej únie v platnom znení.</vt:lpwstr>
  </property>
  <property fmtid="{D5CDD505-2E9C-101B-9397-08002B2CF9AE}" pid="48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>- navrhovaný materiál nie je upravený v judikatúre Súdneho dvora Európskej únie.</vt:lpwstr>
  </property>
  <property fmtid="{D5CDD505-2E9C-101B-9397-08002B2CF9AE}" pid="53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56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57" name="FSC#SKEDITIONSLOVLEX@103.510:AttrStrListDocPropStupenZlucitelnostiPP">
    <vt:lpwstr>úplne</vt:lpwstr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>7. 4. 2022</vt:lpwstr>
  </property>
  <property fmtid="{D5CDD505-2E9C-101B-9397-08002B2CF9AE}" pid="60" name="FSC#SKEDITIONSLOVLEX@103.510:AttrDateDocPropUkonceniePKK">
    <vt:lpwstr>20. 4. 2022</vt:lpwstr>
  </property>
  <property fmtid="{D5CDD505-2E9C-101B-9397-08002B2CF9AE}" pid="61" name="FSC#SKEDITIONSLOVLEX@103.510:AttrStrDocPropVplyvRozpocetVS">
    <vt:lpwstr>Negatívne</vt:lpwstr>
  </property>
  <property fmtid="{D5CDD505-2E9C-101B-9397-08002B2CF9AE}" pid="62" name="FSC#SKEDITIONSLOVLEX@103.510:AttrStrDocPropVplyvPodnikatelskeProstr">
    <vt:lpwstr>Pozitívne_x000d_
Negatívne</vt:lpwstr>
  </property>
  <property fmtid="{D5CDD505-2E9C-101B-9397-08002B2CF9AE}" pid="63" name="FSC#SKEDITIONSLOVLEX@103.510:AttrStrDocPropVplyvSocialny">
    <vt:lpwstr>Pozitívne_x000d_
Negatívne</vt:lpwstr>
  </property>
  <property fmtid="{D5CDD505-2E9C-101B-9397-08002B2CF9AE}" pid="64" name="FSC#SKEDITIONSLOVLEX@103.510:AttrStrDocPropVplyvNaZivotProstr">
    <vt:lpwstr>Pozitívne</vt:lpwstr>
  </property>
  <property fmtid="{D5CDD505-2E9C-101B-9397-08002B2CF9AE}" pid="65" name="FSC#SKEDITIONSLOVLEX@103.510:AttrStrDocPropVplyvNaInformatizaciu">
    <vt:lpwstr>Žiadne</vt:lpwstr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68" name="FSC#SKEDITIONSLOVLEX@103.510:AttrStrListDocPropStanoviskoGest">
    <vt:lpwstr>Súhlasné s návrhom na dopracovanie</vt:lpwstr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>predseda vlády Slovenskej republiky</vt:lpwstr>
  </property>
  <property fmtid="{D5CDD505-2E9C-101B-9397-08002B2CF9AE}" pid="138" name="FSC#SKEDITIONSLOVLEX@103.510:AttrStrListDocPropUznesenieNaVedomie">
    <vt:lpwstr/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/>
  </property>
  <property fmtid="{D5CDD505-2E9C-101B-9397-08002B2CF9AE}" pid="143" name="FSC#SKEDITIONSLOVLEX@103.510:funkciaZodpPredAkuzativ">
    <vt:lpwstr/>
  </property>
  <property fmtid="{D5CDD505-2E9C-101B-9397-08002B2CF9AE}" pid="144" name="FSC#SKEDITIONSLOVLEX@103.510:funkciaZodpPredDativ">
    <vt:lpwstr/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Ján Budaj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51" name="FSC#SKEDITIONSLOVLEX@103.510:vytvorenedna">
    <vt:lpwstr>27. 4. 2022</vt:lpwstr>
  </property>
  <property fmtid="{D5CDD505-2E9C-101B-9397-08002B2CF9AE}" pid="152" name="FSC#COOSYSTEM@1.1:Container">
    <vt:lpwstr>COO.2145.1000.3.4931925</vt:lpwstr>
  </property>
  <property fmtid="{D5CDD505-2E9C-101B-9397-08002B2CF9AE}" pid="153" name="FSC#FSCFOLIO@1.1001:docpropproject">
    <vt:lpwstr/>
  </property>
</Properties>
</file>