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CA89" w14:textId="3497F250" w:rsidR="00591E29" w:rsidRPr="00A76A2C" w:rsidRDefault="00591E29" w:rsidP="0059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A2C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0D791C9" w14:textId="0153C123" w:rsidR="00842DEA" w:rsidRDefault="000B6286" w:rsidP="00E83818">
      <w:pPr>
        <w:pStyle w:val="Normlnywebov"/>
        <w:jc w:val="both"/>
      </w:pPr>
      <w:r w:rsidRPr="00331AC2">
        <w:t>Podpredsedníčka vlády a ministerka investícií, regionálneho rozvoja a informatizácie</w:t>
      </w:r>
      <w:r>
        <w:t xml:space="preserve"> </w:t>
      </w:r>
      <w:r w:rsidR="00591E29" w:rsidRPr="004F0EFA">
        <w:t xml:space="preserve">predkladá </w:t>
      </w:r>
      <w:r>
        <w:t xml:space="preserve">na </w:t>
      </w:r>
      <w:r w:rsidR="001B7144">
        <w:t xml:space="preserve">rokovanie </w:t>
      </w:r>
      <w:r w:rsidR="003E2435" w:rsidRPr="003E2435">
        <w:t xml:space="preserve">Legislatívnej rady vlády Slovenskej republiky </w:t>
      </w:r>
      <w:r w:rsidRPr="00E83818">
        <w:rPr>
          <w:i/>
        </w:rPr>
        <w:t>N</w:t>
      </w:r>
      <w:r w:rsidR="00591E29" w:rsidRPr="00E83818">
        <w:rPr>
          <w:i/>
        </w:rPr>
        <w:t xml:space="preserve">ávrh zákona, </w:t>
      </w:r>
      <w:r w:rsidR="003C5875" w:rsidRPr="00E83818">
        <w:rPr>
          <w:i/>
        </w:rPr>
        <w:t xml:space="preserve">ktorým sa mení a dopĺňa zákon č. 95/2019 Z. z. o informačných technológiách vo verejnej správe a o zmene a doplnení niektorých zákonov v znení neskorších predpisov a ktorým sa </w:t>
      </w:r>
      <w:r w:rsidR="00DA6109">
        <w:rPr>
          <w:i/>
        </w:rPr>
        <w:t xml:space="preserve">menia a </w:t>
      </w:r>
      <w:r w:rsidR="003C5875" w:rsidRPr="00E83818">
        <w:rPr>
          <w:i/>
        </w:rPr>
        <w:t>dopĺňajú niektoré zákony</w:t>
      </w:r>
      <w:r w:rsidR="00591E29" w:rsidRPr="004F0EFA">
        <w:t xml:space="preserve"> (ďalej len „návrh zákona“)</w:t>
      </w:r>
      <w:r w:rsidR="00842DEA">
        <w:t xml:space="preserve"> na základe úlohy B.1. z uznesenia vlády Slovenskej republiky č. 340 zo 16. júna 2021 k Plánu legislatívnych úloh vlády Slovenskej republiky na mesiace jún až december 2021.</w:t>
      </w:r>
    </w:p>
    <w:p w14:paraId="73223D10" w14:textId="481E29A1" w:rsidR="00842DEA" w:rsidRDefault="00842DEA" w:rsidP="00E83818">
      <w:pPr>
        <w:pStyle w:val="Normlnywebov"/>
        <w:jc w:val="both"/>
      </w:pPr>
      <w:r>
        <w:t xml:space="preserve">Cieľom návrhu zákona je </w:t>
      </w:r>
      <w:r w:rsidR="0055603D">
        <w:t xml:space="preserve">reagovať </w:t>
      </w:r>
      <w:r>
        <w:t xml:space="preserve">na aplikačné problémy </w:t>
      </w:r>
      <w:r w:rsidR="000B6286">
        <w:t xml:space="preserve">v praxi </w:t>
      </w:r>
      <w:r>
        <w:t xml:space="preserve">súvisiace s výkladom </w:t>
      </w:r>
      <w:r w:rsidR="000B6286">
        <w:t xml:space="preserve">niektorých </w:t>
      </w:r>
      <w:r>
        <w:t>ustanovení zákona</w:t>
      </w:r>
      <w:r w:rsidR="000B6286" w:rsidRPr="000B6286">
        <w:t xml:space="preserve"> č. 95/2019 Z. z. o informačných technológiách vo verejnej správe a o zmene a doplnení niektorých zákonov v znení neskorších predpisov</w:t>
      </w:r>
      <w:r w:rsidR="000B6286">
        <w:t xml:space="preserve"> (ďalej len „zákon o ITVS“)</w:t>
      </w:r>
      <w:r>
        <w:t xml:space="preserve"> týkajúcich sa pôsobnosti</w:t>
      </w:r>
      <w:r w:rsidR="000B6286">
        <w:t xml:space="preserve"> tohto</w:t>
      </w:r>
      <w:r>
        <w:t xml:space="preserve"> zákona. Návrh zákona </w:t>
      </w:r>
      <w:r w:rsidR="000B6286">
        <w:t>z toh</w:t>
      </w:r>
      <w:r w:rsidR="000F76B3">
        <w:t>t</w:t>
      </w:r>
      <w:r w:rsidR="000B6286">
        <w:t xml:space="preserve">o dôvodu </w:t>
      </w:r>
      <w:r>
        <w:t>jasnejšie vymedzuje pôsobnosť zákona</w:t>
      </w:r>
      <w:r w:rsidR="000B6286">
        <w:t xml:space="preserve"> o ITVS</w:t>
      </w:r>
      <w:r>
        <w:t>, aby nedochádzalo k rozdielnym interpretáciám.</w:t>
      </w:r>
      <w:r w:rsidR="00730B4A">
        <w:t xml:space="preserve"> </w:t>
      </w:r>
      <w:r w:rsidR="000B6286">
        <w:t>N</w:t>
      </w:r>
      <w:r>
        <w:t>ávrh zákona dopĺňa jednoznačnejšie vymedzenie pre orgány riadenia používať jednotný dizajn</w:t>
      </w:r>
      <w:r w:rsidR="00FC3254">
        <w:t>ový</w:t>
      </w:r>
      <w:r>
        <w:t xml:space="preserve"> manuál, </w:t>
      </w:r>
      <w:r w:rsidR="00FC3254">
        <w:t>s cieľom</w:t>
      </w:r>
      <w:r>
        <w:t xml:space="preserve"> zjednotiť používateľské rozhrania a spôsob komunikácie s používateľom pri poskytovaní elektronických služieb</w:t>
      </w:r>
      <w:r w:rsidR="00AB3045">
        <w:t xml:space="preserve">, a to aj vo vzťahu k vyhláške </w:t>
      </w:r>
      <w:r w:rsidR="00AB3045" w:rsidRPr="00AB3045">
        <w:t>Ministerstva investícií, regionálneho rozvoja a informatizácie Slovenskej republiky</w:t>
      </w:r>
      <w:r w:rsidR="00AB3045">
        <w:t xml:space="preserve"> č. 547/2021 Z. z. o </w:t>
      </w:r>
      <w:r w:rsidR="00AB3045" w:rsidRPr="00AB3045">
        <w:t>elektronizácii agendy verejnej správy</w:t>
      </w:r>
      <w:r w:rsidR="00A44010">
        <w:t>.</w:t>
      </w:r>
    </w:p>
    <w:p w14:paraId="72947B8A" w14:textId="364690AB" w:rsidR="00842DEA" w:rsidRDefault="00842DEA" w:rsidP="00E83818">
      <w:pPr>
        <w:pStyle w:val="Normlnywebov"/>
        <w:jc w:val="both"/>
      </w:pPr>
      <w:r w:rsidRPr="002A566C">
        <w:t xml:space="preserve">Návrh zákona má </w:t>
      </w:r>
      <w:r w:rsidR="00AB3045" w:rsidRPr="002A566C">
        <w:t xml:space="preserve">ďalej </w:t>
      </w:r>
      <w:r w:rsidRPr="002A566C">
        <w:t xml:space="preserve">za cieľ precizovať kompetencie vládnej jednotky CSIRT </w:t>
      </w:r>
      <w:r w:rsidR="00816A20" w:rsidRPr="002A566C">
        <w:t xml:space="preserve">a MIRRI SR </w:t>
      </w:r>
      <w:r w:rsidRPr="002A566C">
        <w:t>a s tým súvisiacu úpravu vzťahov medzi zákonom o ITVS a zákonom č. 69/2018 Z. z. o kybernetickej bezpečnosti a o zmene a doplnení niektorých zákonov</w:t>
      </w:r>
      <w:r w:rsidR="00AB3045" w:rsidRPr="002A566C">
        <w:t xml:space="preserve"> v znení neskorších predpisov</w:t>
      </w:r>
      <w:r w:rsidRPr="002A566C">
        <w:t>.</w:t>
      </w:r>
      <w:r w:rsidR="00816A20" w:rsidRPr="002A566C">
        <w:t xml:space="preserve"> </w:t>
      </w:r>
      <w:r w:rsidR="00405D7B" w:rsidRPr="002A566C">
        <w:t>Cieľom uvedených legislatívnych zmien je zlepšenie aplikačnej praxe a tým</w:t>
      </w:r>
      <w:r w:rsidR="00816A20" w:rsidRPr="002A566C">
        <w:t xml:space="preserve"> </w:t>
      </w:r>
      <w:r w:rsidR="00405D7B" w:rsidRPr="002A566C">
        <w:t>zvýšenie plnenia a efektivity</w:t>
      </w:r>
      <w:r w:rsidR="00816A20" w:rsidRPr="002A566C">
        <w:t xml:space="preserve"> preventívnych a proaktívnych činností v rámci kybernetickej a informačnej bezpečnosti verejného sektora.</w:t>
      </w:r>
      <w:r w:rsidRPr="002A566C">
        <w:t xml:space="preserve"> </w:t>
      </w:r>
      <w:r w:rsidR="002B2094" w:rsidRPr="002A566C">
        <w:t>N</w:t>
      </w:r>
      <w:r w:rsidRPr="002A566C">
        <w:t>ávrh</w:t>
      </w:r>
      <w:r w:rsidR="002B2094" w:rsidRPr="002A566C">
        <w:t>om</w:t>
      </w:r>
      <w:r w:rsidRPr="002A566C">
        <w:t xml:space="preserve"> </w:t>
      </w:r>
      <w:r w:rsidR="00AB3045" w:rsidRPr="002A566C">
        <w:t xml:space="preserve">zákona </w:t>
      </w:r>
      <w:r w:rsidRPr="002A566C">
        <w:t>sa tiež spresňujú ustanovenia vyplývajúce z aplikačnej praxe</w:t>
      </w:r>
      <w:r w:rsidR="00730B4A" w:rsidRPr="002A566C">
        <w:t>,</w:t>
      </w:r>
      <w:r w:rsidR="006D0D81" w:rsidRPr="002A566C">
        <w:t xml:space="preserve"> napríklad </w:t>
      </w:r>
      <w:r w:rsidR="007C2902" w:rsidRPr="002A566C">
        <w:t>stanovenie postupov riešenia kybernetických bezpečnostných incidentov</w:t>
      </w:r>
      <w:r w:rsidR="00816A20" w:rsidRPr="002A566C">
        <w:t xml:space="preserve"> pre všetkých správcov, keďže v súčasnej dobe absentujú</w:t>
      </w:r>
      <w:r w:rsidR="00730B4A" w:rsidRPr="002A566C">
        <w:t>,</w:t>
      </w:r>
      <w:r w:rsidR="006D0D81" w:rsidRPr="002A566C">
        <w:t xml:space="preserve"> </w:t>
      </w:r>
      <w:r w:rsidRPr="002A566C">
        <w:t>a</w:t>
      </w:r>
      <w:r w:rsidR="006953B3" w:rsidRPr="002A566C">
        <w:t> </w:t>
      </w:r>
      <w:r w:rsidRPr="002A566C">
        <w:t>reflektuj</w:t>
      </w:r>
      <w:r w:rsidR="006953B3" w:rsidRPr="002A566C">
        <w:t xml:space="preserve">ú </w:t>
      </w:r>
      <w:r w:rsidRPr="002A566C">
        <w:t xml:space="preserve">sa </w:t>
      </w:r>
      <w:r w:rsidR="006953B3" w:rsidRPr="002A566C">
        <w:t xml:space="preserve">ním </w:t>
      </w:r>
      <w:r w:rsidRPr="002A566C">
        <w:t>požiadavky vyplývajúce z Národnej koncepcie informatizácie verejnej správy</w:t>
      </w:r>
      <w:r w:rsidR="00AB3045" w:rsidRPr="002A566C">
        <w:t>, ktorá bola schválená uznesením vlády Slovenskej republiky č. 763 zo 14. decembra 2021</w:t>
      </w:r>
      <w:r w:rsidRPr="002A566C">
        <w:t>.</w:t>
      </w:r>
    </w:p>
    <w:p w14:paraId="45545159" w14:textId="4E281D78" w:rsidR="00842DEA" w:rsidRDefault="00842DEA" w:rsidP="00E83818">
      <w:pPr>
        <w:pStyle w:val="Normlnywebov"/>
        <w:jc w:val="both"/>
      </w:pPr>
      <w:r>
        <w:t xml:space="preserve">Návrh zákona bude mať </w:t>
      </w:r>
      <w:r w:rsidR="00194242">
        <w:t xml:space="preserve">negatívne </w:t>
      </w:r>
      <w:r>
        <w:t>vplyv</w:t>
      </w:r>
      <w:r w:rsidR="006953B3">
        <w:t>y</w:t>
      </w:r>
      <w:r>
        <w:t xml:space="preserve"> na rozpočet verejnej správy</w:t>
      </w:r>
      <w:r w:rsidR="00194242">
        <w:t xml:space="preserve"> a nebude mať</w:t>
      </w:r>
      <w:r>
        <w:t xml:space="preserve"> vplyv</w:t>
      </w:r>
      <w:r w:rsidR="006953B3">
        <w:t>y</w:t>
      </w:r>
      <w:r>
        <w:t xml:space="preserve"> na podnikateľské prostredie, sociálne vplyvy, vplyvy na životné prostredie, vplyv</w:t>
      </w:r>
      <w:r w:rsidR="006953B3">
        <w:t>y</w:t>
      </w:r>
      <w:r>
        <w:t xml:space="preserve"> na informatizáciu spoločnosti, vplyv</w:t>
      </w:r>
      <w:r w:rsidR="006953B3">
        <w:t>y</w:t>
      </w:r>
      <w:r>
        <w:t xml:space="preserve"> na služby verejnej správy pre občana a ani vplyvy na manželstvo, rodičovstvo a rodinu. </w:t>
      </w:r>
    </w:p>
    <w:p w14:paraId="4EC192AE" w14:textId="23F59062" w:rsidR="00842DEA" w:rsidRDefault="00842DEA" w:rsidP="00E83818">
      <w:pPr>
        <w:pStyle w:val="Normlnywebov"/>
        <w:jc w:val="both"/>
      </w:pPr>
      <w: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 Návrh zákona nie je predmetom vnútrokomunitárneho pripomienkového konania. </w:t>
      </w:r>
    </w:p>
    <w:p w14:paraId="732504C2" w14:textId="789A67D2" w:rsidR="00842DEA" w:rsidRDefault="00842DEA" w:rsidP="00E83818">
      <w:pPr>
        <w:pStyle w:val="Normlnywebov"/>
        <w:jc w:val="both"/>
      </w:pPr>
      <w:r>
        <w:t xml:space="preserve">Predbežná informácia k návrhu zákona bola zverejnená na portáli Slov-Lex od 7. januára 2022 do 24. januára 2022, počas tohto obdobia prebiehali aj konzultácie s podnikateľskými subjektmi. </w:t>
      </w:r>
      <w:r w:rsidR="00F96FAF">
        <w:t>Medzirezortné pripomienkové konanie prebiehalo od 22. decembra 2022 do 16. januára 2023.</w:t>
      </w:r>
    </w:p>
    <w:p w14:paraId="6E3487BA" w14:textId="795F5710" w:rsidR="00842DEA" w:rsidRDefault="00842DEA" w:rsidP="00E83818">
      <w:pPr>
        <w:pStyle w:val="Normlnywebov"/>
        <w:jc w:val="both"/>
        <w:rPr>
          <w:highlight w:val="yellow"/>
        </w:rPr>
      </w:pPr>
      <w:r>
        <w:t xml:space="preserve">Navrhuje sa, aby zákon s prihliadnutím na dĺžku legislatívneho procesu a primeranú </w:t>
      </w:r>
      <w:proofErr w:type="spellStart"/>
      <w:r>
        <w:t>legisvakačnú</w:t>
      </w:r>
      <w:proofErr w:type="spellEnd"/>
      <w:r>
        <w:t xml:space="preserve"> dobu nadobudol účinnosť 1. </w:t>
      </w:r>
      <w:r w:rsidR="00651F21">
        <w:t>augusta</w:t>
      </w:r>
      <w:r w:rsidR="00DA6109">
        <w:t xml:space="preserve"> </w:t>
      </w:r>
      <w:r>
        <w:t>2023</w:t>
      </w:r>
      <w:r w:rsidR="00772E6B">
        <w:t>.</w:t>
      </w:r>
    </w:p>
    <w:sectPr w:rsidR="00842DEA" w:rsidSect="00CE04F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29"/>
    <w:rsid w:val="00011437"/>
    <w:rsid w:val="000B6286"/>
    <w:rsid w:val="000F76B3"/>
    <w:rsid w:val="00125D43"/>
    <w:rsid w:val="00154BDB"/>
    <w:rsid w:val="00194242"/>
    <w:rsid w:val="00195D23"/>
    <w:rsid w:val="001B7144"/>
    <w:rsid w:val="002A566C"/>
    <w:rsid w:val="002B2094"/>
    <w:rsid w:val="003062D2"/>
    <w:rsid w:val="003320A7"/>
    <w:rsid w:val="003C5875"/>
    <w:rsid w:val="003E2435"/>
    <w:rsid w:val="00405D7B"/>
    <w:rsid w:val="004D468F"/>
    <w:rsid w:val="0055603D"/>
    <w:rsid w:val="00582BFB"/>
    <w:rsid w:val="005855E2"/>
    <w:rsid w:val="00591E29"/>
    <w:rsid w:val="00651F21"/>
    <w:rsid w:val="006953B3"/>
    <w:rsid w:val="006D0D81"/>
    <w:rsid w:val="006F1C7B"/>
    <w:rsid w:val="00714654"/>
    <w:rsid w:val="00730B4A"/>
    <w:rsid w:val="00772E6B"/>
    <w:rsid w:val="00791E5F"/>
    <w:rsid w:val="007C2902"/>
    <w:rsid w:val="00816A20"/>
    <w:rsid w:val="00834D9A"/>
    <w:rsid w:val="00842DEA"/>
    <w:rsid w:val="00886A69"/>
    <w:rsid w:val="00975CE6"/>
    <w:rsid w:val="009D436A"/>
    <w:rsid w:val="009D6695"/>
    <w:rsid w:val="009F58EA"/>
    <w:rsid w:val="00A44010"/>
    <w:rsid w:val="00AB3045"/>
    <w:rsid w:val="00BE3248"/>
    <w:rsid w:val="00C01931"/>
    <w:rsid w:val="00C2003B"/>
    <w:rsid w:val="00C7617E"/>
    <w:rsid w:val="00CE04F5"/>
    <w:rsid w:val="00DA6109"/>
    <w:rsid w:val="00DC70C6"/>
    <w:rsid w:val="00E04A3F"/>
    <w:rsid w:val="00E10121"/>
    <w:rsid w:val="00E83818"/>
    <w:rsid w:val="00E8571A"/>
    <w:rsid w:val="00ED39D1"/>
    <w:rsid w:val="00F96FAF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F9E2"/>
  <w15:chartTrackingRefBased/>
  <w15:docId w15:val="{D584A173-86C3-4679-8079-DE537BE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E29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9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286"/>
    <w:rPr>
      <w:rFonts w:ascii="Segoe UI" w:eastAsiaTheme="minorEastAsia" w:hAnsi="Segoe UI" w:cs="Segoe UI"/>
      <w:noProof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953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53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53B3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53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53B3"/>
    <w:rPr>
      <w:rFonts w:eastAsiaTheme="minorEastAsia"/>
      <w:b/>
      <w:bCs/>
      <w:noProof/>
      <w:sz w:val="20"/>
      <w:szCs w:val="20"/>
    </w:rPr>
  </w:style>
  <w:style w:type="paragraph" w:styleId="Revzia">
    <w:name w:val="Revision"/>
    <w:hidden/>
    <w:uiPriority w:val="99"/>
    <w:semiHidden/>
    <w:rsid w:val="009D6695"/>
    <w:pPr>
      <w:spacing w:after="0" w:line="240" w:lineRule="auto"/>
    </w:pPr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4" ma:contentTypeDescription="Create a new document." ma:contentTypeScope="" ma:versionID="8e962dba40445628f1c5b4f54e22807d">
  <xsd:schema xmlns:xsd="http://www.w3.org/2001/XMLSchema" xmlns:xs="http://www.w3.org/2001/XMLSchema" xmlns:p="http://schemas.microsoft.com/office/2006/metadata/properties" xmlns:ns2="d26c6947-7193-433e-9fee-b9383e5fa34c" xmlns:ns3="4e491ae2-bd53-4995-98ac-e251fc1d93db" targetNamespace="http://schemas.microsoft.com/office/2006/metadata/properties" ma:root="true" ma:fieldsID="fabb74d6aa14c965a5d5bd6b7d960d7e" ns2:_="" ns3:_="">
    <xsd:import namespace="d26c6947-7193-433e-9fee-b9383e5fa34c"/>
    <xsd:import namespace="4e491ae2-bd53-4995-98ac-e251fc1d9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074e46-be42-49cb-8029-13db79c29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1ae2-bd53-4995-98ac-e251fc1d93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9b0d3b-acb5-4b54-bf8f-581fcd62b9ea}" ma:internalName="TaxCatchAll" ma:showField="CatchAllData" ma:web="4e491ae2-bd53-4995-98ac-e251fc1d9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08C20-7FFF-43D8-9CA3-FDF348C50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28E85-1A01-4683-8633-768C12771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4e491ae2-bd53-4995-98ac-e251fc1d9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Kabátová, Karolína</dc:creator>
  <cp:keywords/>
  <dc:description/>
  <cp:lastModifiedBy>Synková, Nikola</cp:lastModifiedBy>
  <cp:revision>7</cp:revision>
  <dcterms:created xsi:type="dcterms:W3CDTF">2023-03-14T12:17:00Z</dcterms:created>
  <dcterms:modified xsi:type="dcterms:W3CDTF">2023-03-21T10:58:00Z</dcterms:modified>
</cp:coreProperties>
</file>