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E5D06" w14:textId="77777777" w:rsidR="0081708C" w:rsidRDefault="0081708C" w:rsidP="0081708C">
      <w:pPr>
        <w:jc w:val="center"/>
        <w:rPr>
          <w:rFonts w:ascii="Times New Roman" w:hAnsi="Times New Roman"/>
          <w:sz w:val="24"/>
          <w:szCs w:val="24"/>
          <w:lang w:val="en-US"/>
        </w:rPr>
      </w:pPr>
      <w:r>
        <w:rPr>
          <w:noProof/>
          <w:szCs w:val="24"/>
        </w:rPr>
        <w:drawing>
          <wp:inline distT="0" distB="0" distL="0" distR="0" wp14:anchorId="7B9A7056" wp14:editId="6ED492B2">
            <wp:extent cx="6096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781050"/>
                    </a:xfrm>
                    <a:prstGeom prst="rect">
                      <a:avLst/>
                    </a:prstGeom>
                    <a:noFill/>
                    <a:ln>
                      <a:noFill/>
                    </a:ln>
                  </pic:spPr>
                </pic:pic>
              </a:graphicData>
            </a:graphic>
          </wp:inline>
        </w:drawing>
      </w:r>
    </w:p>
    <w:tbl>
      <w:tblPr>
        <w:tblW w:w="5000" w:type="pct"/>
        <w:tblCellSpacing w:w="15" w:type="dxa"/>
        <w:tblLook w:val="04A0" w:firstRow="1" w:lastRow="0" w:firstColumn="1" w:lastColumn="0" w:noHBand="0" w:noVBand="1"/>
      </w:tblPr>
      <w:tblGrid>
        <w:gridCol w:w="9406"/>
      </w:tblGrid>
      <w:tr w:rsidR="0081708C" w14:paraId="68CCB7E9" w14:textId="77777777" w:rsidTr="008073D9">
        <w:trPr>
          <w:tblCellSpacing w:w="15" w:type="dxa"/>
        </w:trPr>
        <w:tc>
          <w:tcPr>
            <w:tcW w:w="0" w:type="auto"/>
            <w:tcMar>
              <w:top w:w="15" w:type="dxa"/>
              <w:left w:w="15" w:type="dxa"/>
              <w:bottom w:w="15" w:type="dxa"/>
              <w:right w:w="15" w:type="dxa"/>
            </w:tcMar>
            <w:vAlign w:val="center"/>
            <w:hideMark/>
          </w:tcPr>
          <w:p w14:paraId="7B438831" w14:textId="77777777" w:rsidR="0081708C" w:rsidRDefault="0081708C" w:rsidP="008073D9">
            <w:pPr>
              <w:spacing w:line="276" w:lineRule="auto"/>
              <w:jc w:val="center"/>
              <w:rPr>
                <w:rFonts w:ascii="Times" w:hAnsi="Times" w:cs="Times"/>
                <w:sz w:val="28"/>
                <w:szCs w:val="28"/>
              </w:rPr>
            </w:pPr>
            <w:r>
              <w:rPr>
                <w:rFonts w:ascii="Times" w:hAnsi="Times" w:cs="Times"/>
                <w:sz w:val="28"/>
                <w:szCs w:val="28"/>
              </w:rPr>
              <w:t>NÁVRH</w:t>
            </w:r>
          </w:p>
        </w:tc>
      </w:tr>
      <w:tr w:rsidR="0081708C" w14:paraId="08653E57" w14:textId="77777777" w:rsidTr="008073D9">
        <w:trPr>
          <w:tblCellSpacing w:w="15" w:type="dxa"/>
        </w:trPr>
        <w:tc>
          <w:tcPr>
            <w:tcW w:w="0" w:type="auto"/>
            <w:tcMar>
              <w:top w:w="15" w:type="dxa"/>
              <w:left w:w="15" w:type="dxa"/>
              <w:bottom w:w="15" w:type="dxa"/>
              <w:right w:w="15" w:type="dxa"/>
            </w:tcMar>
            <w:vAlign w:val="center"/>
            <w:hideMark/>
          </w:tcPr>
          <w:p w14:paraId="10B84615" w14:textId="77777777" w:rsidR="0081708C" w:rsidRDefault="0081708C" w:rsidP="008073D9">
            <w:pPr>
              <w:spacing w:line="276" w:lineRule="auto"/>
              <w:jc w:val="center"/>
              <w:rPr>
                <w:rFonts w:ascii="Times" w:hAnsi="Times" w:cs="Times"/>
                <w:sz w:val="28"/>
                <w:szCs w:val="28"/>
              </w:rPr>
            </w:pPr>
            <w:r>
              <w:rPr>
                <w:rFonts w:ascii="Times" w:hAnsi="Times" w:cs="Times"/>
                <w:sz w:val="28"/>
                <w:szCs w:val="28"/>
              </w:rPr>
              <w:t>UZNESENIE VLÁDY SLOVENSKEJ REPUBLIKY</w:t>
            </w:r>
          </w:p>
        </w:tc>
      </w:tr>
      <w:tr w:rsidR="0081708C" w14:paraId="7C0DD78C" w14:textId="77777777" w:rsidTr="008073D9">
        <w:trPr>
          <w:tblCellSpacing w:w="15" w:type="dxa"/>
        </w:trPr>
        <w:tc>
          <w:tcPr>
            <w:tcW w:w="0" w:type="auto"/>
            <w:tcMar>
              <w:top w:w="15" w:type="dxa"/>
              <w:left w:w="15" w:type="dxa"/>
              <w:bottom w:w="15" w:type="dxa"/>
              <w:right w:w="15" w:type="dxa"/>
            </w:tcMar>
            <w:vAlign w:val="center"/>
            <w:hideMark/>
          </w:tcPr>
          <w:tbl>
            <w:tblPr>
              <w:tblW w:w="0" w:type="auto"/>
              <w:jc w:val="center"/>
              <w:tblCellSpacing w:w="15" w:type="dxa"/>
              <w:tblLook w:val="04A0" w:firstRow="1" w:lastRow="0" w:firstColumn="1" w:lastColumn="0" w:noHBand="0" w:noVBand="1"/>
            </w:tblPr>
            <w:tblGrid>
              <w:gridCol w:w="635"/>
            </w:tblGrid>
            <w:tr w:rsidR="0081708C" w14:paraId="60CEEADD" w14:textId="77777777" w:rsidTr="008073D9">
              <w:trPr>
                <w:tblCellSpacing w:w="15" w:type="dxa"/>
                <w:jc w:val="center"/>
              </w:trPr>
              <w:tc>
                <w:tcPr>
                  <w:tcW w:w="0" w:type="auto"/>
                  <w:noWrap/>
                  <w:tcMar>
                    <w:top w:w="15" w:type="dxa"/>
                    <w:left w:w="15" w:type="dxa"/>
                    <w:bottom w:w="15" w:type="dxa"/>
                    <w:right w:w="15" w:type="dxa"/>
                  </w:tcMar>
                  <w:vAlign w:val="center"/>
                  <w:hideMark/>
                </w:tcPr>
                <w:p w14:paraId="2F15579D" w14:textId="77777777" w:rsidR="0081708C" w:rsidRDefault="0081708C" w:rsidP="008073D9">
                  <w:pPr>
                    <w:spacing w:line="276" w:lineRule="auto"/>
                    <w:jc w:val="center"/>
                    <w:rPr>
                      <w:sz w:val="28"/>
                      <w:szCs w:val="28"/>
                    </w:rPr>
                  </w:pPr>
                  <w:r>
                    <w:rPr>
                      <w:b/>
                      <w:bCs/>
                      <w:sz w:val="28"/>
                      <w:szCs w:val="28"/>
                    </w:rPr>
                    <w:t>č. ...</w:t>
                  </w:r>
                </w:p>
              </w:tc>
            </w:tr>
            <w:tr w:rsidR="0081708C" w14:paraId="2BFCCA92" w14:textId="77777777" w:rsidTr="008073D9">
              <w:trPr>
                <w:tblCellSpacing w:w="15" w:type="dxa"/>
                <w:jc w:val="center"/>
              </w:trPr>
              <w:tc>
                <w:tcPr>
                  <w:tcW w:w="0" w:type="auto"/>
                  <w:tcMar>
                    <w:top w:w="15" w:type="dxa"/>
                    <w:left w:w="15" w:type="dxa"/>
                    <w:bottom w:w="15" w:type="dxa"/>
                    <w:right w:w="15" w:type="dxa"/>
                  </w:tcMar>
                  <w:vAlign w:val="center"/>
                  <w:hideMark/>
                </w:tcPr>
                <w:p w14:paraId="7D150F67" w14:textId="77777777" w:rsidR="0081708C" w:rsidRDefault="0081708C" w:rsidP="008073D9">
                  <w:pPr>
                    <w:spacing w:line="276" w:lineRule="auto"/>
                    <w:jc w:val="center"/>
                  </w:pPr>
                  <w:r>
                    <w:rPr>
                      <w:sz w:val="22"/>
                      <w:szCs w:val="22"/>
                    </w:rPr>
                    <w:t>z ...</w:t>
                  </w:r>
                </w:p>
              </w:tc>
            </w:tr>
          </w:tbl>
          <w:p w14:paraId="1BF40919" w14:textId="77777777" w:rsidR="0081708C" w:rsidRDefault="0081708C" w:rsidP="008073D9">
            <w:pPr>
              <w:widowControl/>
              <w:autoSpaceDE/>
              <w:autoSpaceDN/>
              <w:adjustRightInd/>
              <w:spacing w:line="276" w:lineRule="auto"/>
              <w:jc w:val="center"/>
              <w:rPr>
                <w:sz w:val="22"/>
                <w:szCs w:val="22"/>
              </w:rPr>
            </w:pPr>
          </w:p>
        </w:tc>
      </w:tr>
      <w:tr w:rsidR="0081708C" w14:paraId="0A4F57E6" w14:textId="77777777" w:rsidTr="008073D9">
        <w:trPr>
          <w:tblCellSpacing w:w="15" w:type="dxa"/>
        </w:trPr>
        <w:tc>
          <w:tcPr>
            <w:tcW w:w="0" w:type="auto"/>
            <w:tcMar>
              <w:top w:w="15" w:type="dxa"/>
              <w:left w:w="15" w:type="dxa"/>
              <w:bottom w:w="15" w:type="dxa"/>
              <w:right w:w="15" w:type="dxa"/>
            </w:tcMar>
            <w:vAlign w:val="center"/>
            <w:hideMark/>
          </w:tcPr>
          <w:tbl>
            <w:tblPr>
              <w:tblW w:w="9238" w:type="dxa"/>
              <w:jc w:val="center"/>
              <w:tblCellSpacing w:w="15" w:type="dxa"/>
              <w:tblLook w:val="04A0" w:firstRow="1" w:lastRow="0" w:firstColumn="1" w:lastColumn="0" w:noHBand="0" w:noVBand="1"/>
            </w:tblPr>
            <w:tblGrid>
              <w:gridCol w:w="9238"/>
            </w:tblGrid>
            <w:tr w:rsidR="0081708C" w14:paraId="0B41DE8B" w14:textId="77777777" w:rsidTr="008073D9">
              <w:trPr>
                <w:trHeight w:val="54"/>
                <w:tblCellSpacing w:w="15" w:type="dxa"/>
                <w:jc w:val="center"/>
              </w:trPr>
              <w:tc>
                <w:tcPr>
                  <w:tcW w:w="0" w:type="auto"/>
                  <w:tcMar>
                    <w:top w:w="15" w:type="dxa"/>
                    <w:left w:w="15" w:type="dxa"/>
                    <w:bottom w:w="15" w:type="dxa"/>
                    <w:right w:w="15" w:type="dxa"/>
                  </w:tcMar>
                  <w:hideMark/>
                </w:tcPr>
                <w:p w14:paraId="3A132366" w14:textId="0D21708B" w:rsidR="0081708C" w:rsidRPr="00CA6E29" w:rsidRDefault="00C0662A" w:rsidP="008173DF">
                  <w:pPr>
                    <w:spacing w:line="276" w:lineRule="auto"/>
                    <w:jc w:val="center"/>
                    <w:rPr>
                      <w:rFonts w:ascii="Times New Roman" w:hAnsi="Times New Roman" w:cs="Times New Roman"/>
                      <w:b/>
                      <w:sz w:val="28"/>
                      <w:szCs w:val="28"/>
                    </w:rPr>
                  </w:pPr>
                  <w:r>
                    <w:rPr>
                      <w:rFonts w:ascii="Times New Roman" w:hAnsi="Times New Roman" w:cs="Times New Roman"/>
                      <w:b/>
                      <w:bCs/>
                      <w:sz w:val="28"/>
                      <w:szCs w:val="28"/>
                    </w:rPr>
                    <w:t xml:space="preserve">k </w:t>
                  </w:r>
                  <w:r w:rsidR="008173DF">
                    <w:rPr>
                      <w:rFonts w:ascii="Times" w:hAnsi="Times" w:cs="Times"/>
                      <w:b/>
                      <w:bCs/>
                      <w:sz w:val="28"/>
                      <w:szCs w:val="28"/>
                    </w:rPr>
                    <w:t xml:space="preserve">návrhu zákona ktorým sa mení a dopĺňa zákon č. </w:t>
                  </w:r>
                  <w:r w:rsidR="008A6CBF">
                    <w:rPr>
                      <w:rFonts w:ascii="Times" w:hAnsi="Times" w:cs="Times"/>
                      <w:b/>
                      <w:bCs/>
                      <w:sz w:val="28"/>
                      <w:szCs w:val="28"/>
                    </w:rPr>
                    <w:t>34</w:t>
                  </w:r>
                  <w:r w:rsidR="008173DF">
                    <w:rPr>
                      <w:rFonts w:ascii="Times" w:hAnsi="Times" w:cs="Times"/>
                      <w:b/>
                      <w:bCs/>
                      <w:sz w:val="28"/>
                      <w:szCs w:val="28"/>
                    </w:rPr>
                    <w:t>/2002 Z. z. o nadáciách a o zmene Občianskeho zákonníka v znení neskorších predpisov a ktorým sa menia a dopĺňajú niektoré zákony</w:t>
                  </w:r>
                </w:p>
              </w:tc>
            </w:tr>
          </w:tbl>
          <w:p w14:paraId="79032FD8" w14:textId="77777777" w:rsidR="0081708C" w:rsidRDefault="0081708C" w:rsidP="008073D9">
            <w:pPr>
              <w:widowControl/>
              <w:autoSpaceDE/>
              <w:autoSpaceDN/>
              <w:adjustRightInd/>
              <w:spacing w:line="276" w:lineRule="auto"/>
              <w:jc w:val="center"/>
              <w:rPr>
                <w:sz w:val="22"/>
                <w:szCs w:val="22"/>
              </w:rPr>
            </w:pPr>
          </w:p>
        </w:tc>
      </w:tr>
    </w:tbl>
    <w:p w14:paraId="20EBD1B9" w14:textId="77777777" w:rsidR="0081708C" w:rsidRDefault="0081708C" w:rsidP="0081708C">
      <w:pPr>
        <w:jc w:val="center"/>
        <w:rPr>
          <w:rFonts w:ascii="Times New Roman" w:hAnsi="Times New Roman"/>
          <w:sz w:val="24"/>
          <w:szCs w:val="24"/>
          <w:lang w:val="en-US"/>
        </w:rPr>
      </w:pPr>
    </w:p>
    <w:p w14:paraId="11D95E68" w14:textId="77777777" w:rsidR="0081708C" w:rsidRDefault="0081708C" w:rsidP="0081708C">
      <w:pPr>
        <w:rPr>
          <w:rFonts w:ascii="Times New Roman" w:hAnsi="Times New Roman"/>
          <w:sz w:val="24"/>
          <w:szCs w:val="24"/>
          <w:lang w:val="en-US"/>
        </w:rPr>
      </w:pPr>
    </w:p>
    <w:tbl>
      <w:tblPr>
        <w:tblW w:w="9543" w:type="dxa"/>
        <w:tblCellSpacing w:w="15" w:type="dxa"/>
        <w:tblCellMar>
          <w:top w:w="15" w:type="dxa"/>
          <w:left w:w="15" w:type="dxa"/>
          <w:bottom w:w="15" w:type="dxa"/>
          <w:right w:w="15" w:type="dxa"/>
        </w:tblCellMar>
        <w:tblLook w:val="04A0" w:firstRow="1" w:lastRow="0" w:firstColumn="1" w:lastColumn="0" w:noHBand="0" w:noVBand="1"/>
      </w:tblPr>
      <w:tblGrid>
        <w:gridCol w:w="1742"/>
        <w:gridCol w:w="7801"/>
      </w:tblGrid>
      <w:tr w:rsidR="0081708C" w14:paraId="6C8170CA" w14:textId="77777777" w:rsidTr="008073D9">
        <w:trPr>
          <w:tblCellSpacing w:w="15" w:type="dxa"/>
        </w:trPr>
        <w:tc>
          <w:tcPr>
            <w:tcW w:w="1697" w:type="dxa"/>
            <w:hideMark/>
          </w:tcPr>
          <w:p w14:paraId="5B077819" w14:textId="77777777" w:rsidR="0081708C" w:rsidRDefault="0081708C" w:rsidP="008073D9">
            <w:pPr>
              <w:rPr>
                <w:rFonts w:ascii="Times" w:hAnsi="Times" w:cs="Times"/>
                <w:sz w:val="25"/>
                <w:szCs w:val="25"/>
              </w:rPr>
            </w:pPr>
            <w:r>
              <w:rPr>
                <w:rFonts w:ascii="Times" w:hAnsi="Times" w:cs="Times"/>
                <w:sz w:val="25"/>
                <w:szCs w:val="25"/>
              </w:rPr>
              <w:t>Číslo materiálu: </w:t>
            </w:r>
          </w:p>
        </w:tc>
        <w:tc>
          <w:tcPr>
            <w:tcW w:w="7756" w:type="dxa"/>
            <w:hideMark/>
          </w:tcPr>
          <w:p w14:paraId="48973963" w14:textId="304406A3" w:rsidR="0081708C" w:rsidRPr="00CA6E29" w:rsidRDefault="0081708C" w:rsidP="008073D9">
            <w:pPr>
              <w:rPr>
                <w:rFonts w:ascii="Times New Roman" w:hAnsi="Times New Roman" w:cs="Times New Roman"/>
                <w:sz w:val="25"/>
                <w:szCs w:val="25"/>
              </w:rPr>
            </w:pPr>
          </w:p>
        </w:tc>
      </w:tr>
      <w:tr w:rsidR="0081708C" w14:paraId="58F703CE" w14:textId="77777777" w:rsidTr="008073D9">
        <w:trPr>
          <w:tblCellSpacing w:w="15" w:type="dxa"/>
        </w:trPr>
        <w:tc>
          <w:tcPr>
            <w:tcW w:w="1697" w:type="dxa"/>
            <w:hideMark/>
          </w:tcPr>
          <w:p w14:paraId="3CD0EFD1" w14:textId="77777777" w:rsidR="0081708C" w:rsidRDefault="0081708C" w:rsidP="008073D9">
            <w:pPr>
              <w:rPr>
                <w:rFonts w:ascii="Times" w:hAnsi="Times" w:cs="Times"/>
                <w:sz w:val="25"/>
                <w:szCs w:val="25"/>
              </w:rPr>
            </w:pPr>
            <w:r>
              <w:rPr>
                <w:rFonts w:ascii="Times" w:hAnsi="Times" w:cs="Times"/>
                <w:sz w:val="25"/>
                <w:szCs w:val="25"/>
              </w:rPr>
              <w:t>Predkladateľ: </w:t>
            </w:r>
          </w:p>
        </w:tc>
        <w:tc>
          <w:tcPr>
            <w:tcW w:w="7756" w:type="dxa"/>
            <w:hideMark/>
          </w:tcPr>
          <w:p w14:paraId="368CF746" w14:textId="2F9800C0" w:rsidR="0081708C" w:rsidRPr="00ED412E" w:rsidRDefault="00ED412E" w:rsidP="008073D9">
            <w:pPr>
              <w:rPr>
                <w:rFonts w:ascii="Times New Roman" w:hAnsi="Times New Roman" w:cs="Times New Roman"/>
                <w:sz w:val="25"/>
                <w:szCs w:val="25"/>
              </w:rPr>
            </w:pPr>
            <w:r w:rsidRPr="00ED412E">
              <w:rPr>
                <w:rFonts w:ascii="Times New Roman" w:hAnsi="Times New Roman" w:cs="Times New Roman"/>
                <w:sz w:val="25"/>
                <w:szCs w:val="25"/>
              </w:rPr>
              <w:fldChar w:fldCharType="begin"/>
            </w:r>
            <w:r w:rsidRPr="00ED412E">
              <w:rPr>
                <w:rFonts w:ascii="Times New Roman" w:hAnsi="Times New Roman" w:cs="Times New Roman"/>
                <w:sz w:val="25"/>
                <w:szCs w:val="25"/>
              </w:rPr>
              <w:instrText xml:space="preserve"> DOCPROPERTY  FSC#SKEDITIONSLOVLEX@103.510:funkciaZodpPred\* MERGEFORMAT </w:instrText>
            </w:r>
            <w:r w:rsidRPr="00ED412E">
              <w:rPr>
                <w:rFonts w:ascii="Times New Roman" w:hAnsi="Times New Roman" w:cs="Times New Roman"/>
                <w:sz w:val="25"/>
                <w:szCs w:val="25"/>
              </w:rPr>
              <w:fldChar w:fldCharType="separate"/>
            </w:r>
            <w:r w:rsidR="009A5565">
              <w:rPr>
                <w:rFonts w:ascii="Times New Roman" w:hAnsi="Times New Roman" w:cs="Times New Roman"/>
                <w:sz w:val="25"/>
                <w:szCs w:val="25"/>
              </w:rPr>
              <w:t>minister spravodlivosti Slovenskej republiky</w:t>
            </w:r>
            <w:r w:rsidRPr="00ED412E">
              <w:rPr>
                <w:rFonts w:ascii="Times New Roman" w:hAnsi="Times New Roman" w:cs="Times New Roman"/>
                <w:sz w:val="25"/>
                <w:szCs w:val="25"/>
              </w:rPr>
              <w:fldChar w:fldCharType="end"/>
            </w:r>
          </w:p>
        </w:tc>
      </w:tr>
    </w:tbl>
    <w:p w14:paraId="1759EBB3" w14:textId="77777777" w:rsidR="0081708C" w:rsidRDefault="00505632" w:rsidP="0081708C">
      <w:r>
        <w:rPr>
          <w:noProof/>
        </w:rPr>
        <w:pict w14:anchorId="3FBF5A77">
          <v:rect id="_x0000_i1025" alt="" style="width:453.6pt;height:.05pt;mso-width-percent:0;mso-height-percent:0;mso-width-percent:0;mso-height-percent:0" o:hralign="center" o:hrstd="t" o:hr="t" fillcolor="gray" stroked="f"/>
        </w:pict>
      </w:r>
    </w:p>
    <w:p w14:paraId="6FB40126" w14:textId="77777777" w:rsidR="0081708C" w:rsidRDefault="0081708C" w:rsidP="0081708C"/>
    <w:p w14:paraId="28C3DD38" w14:textId="4A583F05" w:rsidR="009C4F6D" w:rsidRPr="009C4F6D" w:rsidRDefault="009C4F6D" w:rsidP="0081708C">
      <w:pPr>
        <w:rPr>
          <w:rFonts w:ascii="Times New Roman" w:hAnsi="Times New Roman" w:cs="Times New Roman"/>
          <w:b/>
          <w:sz w:val="32"/>
          <w:szCs w:val="32"/>
        </w:rPr>
      </w:pPr>
      <w:r w:rsidRPr="009C4F6D">
        <w:rPr>
          <w:rFonts w:ascii="Times New Roman" w:hAnsi="Times New Roman" w:cs="Times New Roman"/>
          <w:b/>
          <w:sz w:val="32"/>
          <w:szCs w:val="32"/>
        </w:rPr>
        <w:t>Vláda</w:t>
      </w:r>
    </w:p>
    <w:p w14:paraId="6B230215" w14:textId="25B1E3DD" w:rsidR="008173DF" w:rsidRDefault="008173DF" w:rsidP="0081708C"/>
    <w:tbl>
      <w:tblPr>
        <w:tblW w:w="5000" w:type="pct"/>
        <w:jc w:val="center"/>
        <w:tblCellMar>
          <w:top w:w="120" w:type="dxa"/>
          <w:left w:w="120" w:type="dxa"/>
          <w:bottom w:w="120" w:type="dxa"/>
          <w:right w:w="120" w:type="dxa"/>
        </w:tblCellMar>
        <w:tblLook w:val="04A0" w:firstRow="1" w:lastRow="0" w:firstColumn="1" w:lastColumn="0" w:noHBand="0" w:noVBand="1"/>
      </w:tblPr>
      <w:tblGrid>
        <w:gridCol w:w="753"/>
        <w:gridCol w:w="752"/>
        <w:gridCol w:w="7901"/>
      </w:tblGrid>
      <w:tr w:rsidR="008173DF" w14:paraId="7C3BA251" w14:textId="77777777">
        <w:trPr>
          <w:divId w:val="586964841"/>
          <w:trHeight w:val="450"/>
          <w:jc w:val="center"/>
        </w:trPr>
        <w:tc>
          <w:tcPr>
            <w:tcW w:w="400" w:type="pct"/>
            <w:tcBorders>
              <w:top w:val="nil"/>
              <w:left w:val="nil"/>
              <w:bottom w:val="nil"/>
              <w:right w:val="nil"/>
            </w:tcBorders>
            <w:hideMark/>
          </w:tcPr>
          <w:p w14:paraId="122092F3" w14:textId="77777777" w:rsidR="008173DF" w:rsidRDefault="008173DF">
            <w:pPr>
              <w:rPr>
                <w:rFonts w:ascii="Times" w:hAnsi="Times" w:cs="Times"/>
                <w:b/>
                <w:bCs/>
                <w:sz w:val="28"/>
                <w:szCs w:val="28"/>
              </w:rPr>
            </w:pPr>
            <w:r>
              <w:rPr>
                <w:rFonts w:ascii="Times" w:hAnsi="Times" w:cs="Times"/>
                <w:b/>
                <w:bCs/>
                <w:sz w:val="28"/>
                <w:szCs w:val="28"/>
              </w:rPr>
              <w:t>A.</w:t>
            </w:r>
          </w:p>
        </w:tc>
        <w:tc>
          <w:tcPr>
            <w:tcW w:w="4600" w:type="pct"/>
            <w:gridSpan w:val="2"/>
            <w:tcBorders>
              <w:top w:val="nil"/>
              <w:left w:val="nil"/>
              <w:bottom w:val="nil"/>
              <w:right w:val="nil"/>
            </w:tcBorders>
            <w:hideMark/>
          </w:tcPr>
          <w:p w14:paraId="06B22B81" w14:textId="77777777" w:rsidR="008173DF" w:rsidRDefault="008173DF">
            <w:pPr>
              <w:rPr>
                <w:rFonts w:ascii="Times" w:hAnsi="Times" w:cs="Times"/>
                <w:b/>
                <w:bCs/>
                <w:sz w:val="28"/>
                <w:szCs w:val="28"/>
              </w:rPr>
            </w:pPr>
            <w:r>
              <w:rPr>
                <w:rFonts w:ascii="Times" w:hAnsi="Times" w:cs="Times"/>
                <w:b/>
                <w:bCs/>
                <w:sz w:val="28"/>
                <w:szCs w:val="28"/>
              </w:rPr>
              <w:t>schvaľuje</w:t>
            </w:r>
          </w:p>
        </w:tc>
      </w:tr>
      <w:tr w:rsidR="008173DF" w14:paraId="7DE9F9E4" w14:textId="77777777">
        <w:trPr>
          <w:divId w:val="586964841"/>
          <w:trHeight w:val="450"/>
          <w:jc w:val="center"/>
        </w:trPr>
        <w:tc>
          <w:tcPr>
            <w:tcW w:w="400" w:type="pct"/>
            <w:tcBorders>
              <w:top w:val="nil"/>
              <w:left w:val="nil"/>
              <w:bottom w:val="nil"/>
              <w:right w:val="nil"/>
            </w:tcBorders>
            <w:hideMark/>
          </w:tcPr>
          <w:p w14:paraId="16CEEEF2" w14:textId="77777777" w:rsidR="008173DF" w:rsidRDefault="008173DF">
            <w:pPr>
              <w:rPr>
                <w:rFonts w:ascii="Times" w:hAnsi="Times" w:cs="Times"/>
                <w:b/>
                <w:bCs/>
                <w:sz w:val="28"/>
                <w:szCs w:val="28"/>
              </w:rPr>
            </w:pPr>
          </w:p>
        </w:tc>
        <w:tc>
          <w:tcPr>
            <w:tcW w:w="400" w:type="pct"/>
            <w:tcBorders>
              <w:top w:val="nil"/>
              <w:left w:val="nil"/>
              <w:bottom w:val="nil"/>
              <w:right w:val="nil"/>
            </w:tcBorders>
            <w:hideMark/>
          </w:tcPr>
          <w:p w14:paraId="1BB17496" w14:textId="77777777" w:rsidR="008173DF" w:rsidRDefault="008173DF">
            <w:pPr>
              <w:rPr>
                <w:rFonts w:ascii="Times" w:hAnsi="Times" w:cs="Times"/>
                <w:sz w:val="25"/>
                <w:szCs w:val="25"/>
              </w:rPr>
            </w:pPr>
            <w:r>
              <w:rPr>
                <w:rFonts w:ascii="Times" w:hAnsi="Times" w:cs="Times"/>
                <w:sz w:val="25"/>
                <w:szCs w:val="25"/>
              </w:rPr>
              <w:t>A. 1.</w:t>
            </w:r>
          </w:p>
        </w:tc>
        <w:tc>
          <w:tcPr>
            <w:tcW w:w="4200" w:type="pct"/>
            <w:tcBorders>
              <w:top w:val="nil"/>
              <w:left w:val="nil"/>
              <w:bottom w:val="nil"/>
              <w:right w:val="nil"/>
            </w:tcBorders>
            <w:hideMark/>
          </w:tcPr>
          <w:p w14:paraId="01D25A97" w14:textId="5011133F" w:rsidR="008173DF" w:rsidRDefault="008173DF" w:rsidP="0044166D">
            <w:pPr>
              <w:jc w:val="both"/>
              <w:rPr>
                <w:rFonts w:ascii="Times" w:hAnsi="Times" w:cs="Times"/>
                <w:sz w:val="25"/>
                <w:szCs w:val="25"/>
              </w:rPr>
            </w:pPr>
            <w:r>
              <w:rPr>
                <w:rFonts w:ascii="Times" w:hAnsi="Times" w:cs="Times"/>
                <w:sz w:val="25"/>
                <w:szCs w:val="25"/>
              </w:rPr>
              <w:t xml:space="preserve">návrh zákona ktorým sa mení a dopĺňa zákon č. </w:t>
            </w:r>
            <w:r w:rsidR="008A6CBF">
              <w:rPr>
                <w:rFonts w:ascii="Times" w:hAnsi="Times" w:cs="Times"/>
                <w:sz w:val="25"/>
                <w:szCs w:val="25"/>
              </w:rPr>
              <w:t>34</w:t>
            </w:r>
            <w:r>
              <w:rPr>
                <w:rFonts w:ascii="Times" w:hAnsi="Times" w:cs="Times"/>
                <w:sz w:val="25"/>
                <w:szCs w:val="25"/>
              </w:rPr>
              <w:t>/2002 Z. z. o nadáciách a o zmene Občianskeho zákonníka v znení neskorších predpisov a ktorým sa menia a dopĺňajú niektoré zákony;</w:t>
            </w:r>
          </w:p>
        </w:tc>
      </w:tr>
      <w:tr w:rsidR="008173DF" w14:paraId="33F159AE" w14:textId="77777777">
        <w:trPr>
          <w:divId w:val="586964841"/>
          <w:trHeight w:val="450"/>
          <w:jc w:val="center"/>
        </w:trPr>
        <w:tc>
          <w:tcPr>
            <w:tcW w:w="400" w:type="pct"/>
            <w:tcBorders>
              <w:top w:val="nil"/>
              <w:left w:val="nil"/>
              <w:bottom w:val="nil"/>
              <w:right w:val="nil"/>
            </w:tcBorders>
            <w:hideMark/>
          </w:tcPr>
          <w:p w14:paraId="34BA19C5" w14:textId="77777777" w:rsidR="008173DF" w:rsidRDefault="008173DF">
            <w:pPr>
              <w:rPr>
                <w:rFonts w:ascii="Times" w:hAnsi="Times" w:cs="Times"/>
                <w:b/>
                <w:bCs/>
                <w:sz w:val="28"/>
                <w:szCs w:val="28"/>
              </w:rPr>
            </w:pPr>
            <w:r>
              <w:rPr>
                <w:rFonts w:ascii="Times" w:hAnsi="Times" w:cs="Times"/>
                <w:b/>
                <w:bCs/>
                <w:sz w:val="28"/>
                <w:szCs w:val="28"/>
              </w:rPr>
              <w:t>B.</w:t>
            </w:r>
          </w:p>
        </w:tc>
        <w:tc>
          <w:tcPr>
            <w:tcW w:w="4600" w:type="pct"/>
            <w:gridSpan w:val="2"/>
            <w:tcBorders>
              <w:top w:val="nil"/>
              <w:left w:val="nil"/>
              <w:bottom w:val="nil"/>
              <w:right w:val="nil"/>
            </w:tcBorders>
            <w:hideMark/>
          </w:tcPr>
          <w:p w14:paraId="627B6C29" w14:textId="77777777" w:rsidR="008173DF" w:rsidRDefault="008173DF">
            <w:pPr>
              <w:rPr>
                <w:rFonts w:ascii="Times" w:hAnsi="Times" w:cs="Times"/>
                <w:b/>
                <w:bCs/>
                <w:sz w:val="28"/>
                <w:szCs w:val="28"/>
              </w:rPr>
            </w:pPr>
            <w:r>
              <w:rPr>
                <w:rFonts w:ascii="Times" w:hAnsi="Times" w:cs="Times"/>
                <w:b/>
                <w:bCs/>
                <w:sz w:val="28"/>
                <w:szCs w:val="28"/>
              </w:rPr>
              <w:t>poveruje</w:t>
            </w:r>
          </w:p>
        </w:tc>
      </w:tr>
      <w:tr w:rsidR="008173DF" w14:paraId="5AD7A503" w14:textId="77777777">
        <w:trPr>
          <w:divId w:val="586964841"/>
          <w:trHeight w:val="450"/>
          <w:jc w:val="center"/>
        </w:trPr>
        <w:tc>
          <w:tcPr>
            <w:tcW w:w="400" w:type="pct"/>
            <w:tcBorders>
              <w:top w:val="nil"/>
              <w:left w:val="nil"/>
              <w:bottom w:val="nil"/>
              <w:right w:val="nil"/>
            </w:tcBorders>
            <w:hideMark/>
          </w:tcPr>
          <w:p w14:paraId="4D0A3A8F" w14:textId="77777777" w:rsidR="008173DF" w:rsidRDefault="008173DF">
            <w:pPr>
              <w:rPr>
                <w:rFonts w:ascii="Times" w:hAnsi="Times" w:cs="Times"/>
                <w:b/>
                <w:bCs/>
                <w:sz w:val="28"/>
                <w:szCs w:val="28"/>
              </w:rPr>
            </w:pPr>
          </w:p>
        </w:tc>
        <w:tc>
          <w:tcPr>
            <w:tcW w:w="4600" w:type="pct"/>
            <w:gridSpan w:val="2"/>
            <w:tcBorders>
              <w:top w:val="nil"/>
              <w:left w:val="nil"/>
              <w:bottom w:val="nil"/>
              <w:right w:val="nil"/>
            </w:tcBorders>
            <w:hideMark/>
          </w:tcPr>
          <w:p w14:paraId="1C754B54" w14:textId="77777777" w:rsidR="008173DF" w:rsidRDefault="008173DF">
            <w:pPr>
              <w:rPr>
                <w:rFonts w:ascii="Times" w:hAnsi="Times" w:cs="Times"/>
                <w:b/>
                <w:bCs/>
                <w:sz w:val="25"/>
                <w:szCs w:val="25"/>
              </w:rPr>
            </w:pPr>
            <w:r>
              <w:rPr>
                <w:rFonts w:ascii="Times" w:hAnsi="Times" w:cs="Times"/>
                <w:b/>
                <w:bCs/>
                <w:sz w:val="25"/>
                <w:szCs w:val="25"/>
              </w:rPr>
              <w:t>predsedu vlády Slovenskej republiky</w:t>
            </w:r>
          </w:p>
        </w:tc>
      </w:tr>
      <w:tr w:rsidR="008173DF" w14:paraId="2023FC12" w14:textId="77777777">
        <w:trPr>
          <w:divId w:val="586964841"/>
          <w:trHeight w:val="450"/>
          <w:jc w:val="center"/>
        </w:trPr>
        <w:tc>
          <w:tcPr>
            <w:tcW w:w="400" w:type="pct"/>
            <w:tcBorders>
              <w:top w:val="nil"/>
              <w:left w:val="nil"/>
              <w:bottom w:val="nil"/>
              <w:right w:val="nil"/>
            </w:tcBorders>
            <w:hideMark/>
          </w:tcPr>
          <w:p w14:paraId="1DE25994" w14:textId="77777777" w:rsidR="008173DF" w:rsidRDefault="008173DF">
            <w:pPr>
              <w:rPr>
                <w:rFonts w:ascii="Times" w:hAnsi="Times" w:cs="Times"/>
                <w:b/>
                <w:bCs/>
                <w:sz w:val="25"/>
                <w:szCs w:val="25"/>
              </w:rPr>
            </w:pPr>
          </w:p>
        </w:tc>
        <w:tc>
          <w:tcPr>
            <w:tcW w:w="400" w:type="pct"/>
            <w:tcBorders>
              <w:top w:val="nil"/>
              <w:left w:val="nil"/>
              <w:bottom w:val="nil"/>
              <w:right w:val="nil"/>
            </w:tcBorders>
            <w:hideMark/>
          </w:tcPr>
          <w:p w14:paraId="0F93556A" w14:textId="77777777" w:rsidR="008173DF" w:rsidRDefault="008173DF">
            <w:pPr>
              <w:rPr>
                <w:rFonts w:ascii="Times" w:hAnsi="Times" w:cs="Times"/>
                <w:sz w:val="25"/>
                <w:szCs w:val="25"/>
              </w:rPr>
            </w:pPr>
            <w:r>
              <w:rPr>
                <w:rFonts w:ascii="Times" w:hAnsi="Times" w:cs="Times"/>
                <w:sz w:val="25"/>
                <w:szCs w:val="25"/>
              </w:rPr>
              <w:t>B. 1.</w:t>
            </w:r>
          </w:p>
        </w:tc>
        <w:tc>
          <w:tcPr>
            <w:tcW w:w="4200" w:type="pct"/>
            <w:tcBorders>
              <w:top w:val="nil"/>
              <w:left w:val="nil"/>
              <w:bottom w:val="nil"/>
              <w:right w:val="nil"/>
            </w:tcBorders>
            <w:hideMark/>
          </w:tcPr>
          <w:p w14:paraId="22408466" w14:textId="77777777" w:rsidR="008173DF" w:rsidRDefault="008173DF" w:rsidP="001848E7">
            <w:pPr>
              <w:jc w:val="both"/>
              <w:rPr>
                <w:rFonts w:ascii="Times" w:hAnsi="Times" w:cs="Times"/>
                <w:sz w:val="25"/>
                <w:szCs w:val="25"/>
              </w:rPr>
            </w:pPr>
            <w:r>
              <w:rPr>
                <w:rFonts w:ascii="Times" w:hAnsi="Times" w:cs="Times"/>
                <w:sz w:val="25"/>
                <w:szCs w:val="25"/>
              </w:rPr>
              <w:t>predložiť vládny návrh zákona predsedovi Národnej rady Slovenskej republiky na ďalšie ústavné prerokovanie,</w:t>
            </w:r>
          </w:p>
        </w:tc>
      </w:tr>
      <w:tr w:rsidR="008173DF" w14:paraId="1539C281" w14:textId="77777777">
        <w:trPr>
          <w:divId w:val="586964841"/>
          <w:trHeight w:val="450"/>
          <w:jc w:val="center"/>
        </w:trPr>
        <w:tc>
          <w:tcPr>
            <w:tcW w:w="400" w:type="pct"/>
            <w:tcBorders>
              <w:top w:val="nil"/>
              <w:left w:val="nil"/>
              <w:bottom w:val="nil"/>
              <w:right w:val="nil"/>
            </w:tcBorders>
            <w:hideMark/>
          </w:tcPr>
          <w:p w14:paraId="26CB6D7C" w14:textId="77777777" w:rsidR="008173DF" w:rsidRDefault="008173DF"/>
        </w:tc>
        <w:tc>
          <w:tcPr>
            <w:tcW w:w="4600" w:type="pct"/>
            <w:gridSpan w:val="2"/>
            <w:tcBorders>
              <w:top w:val="nil"/>
              <w:left w:val="nil"/>
              <w:bottom w:val="nil"/>
              <w:right w:val="nil"/>
            </w:tcBorders>
            <w:hideMark/>
          </w:tcPr>
          <w:p w14:paraId="6533F48D" w14:textId="77777777" w:rsidR="008173DF" w:rsidRDefault="008173DF">
            <w:pPr>
              <w:rPr>
                <w:rFonts w:ascii="Times" w:hAnsi="Times" w:cs="Times"/>
                <w:b/>
                <w:bCs/>
                <w:sz w:val="25"/>
                <w:szCs w:val="25"/>
              </w:rPr>
            </w:pPr>
            <w:r>
              <w:rPr>
                <w:rFonts w:ascii="Times" w:hAnsi="Times" w:cs="Times"/>
                <w:b/>
                <w:bCs/>
                <w:sz w:val="25"/>
                <w:szCs w:val="25"/>
              </w:rPr>
              <w:t>ministra spravodlivosti Slovenskej republiky</w:t>
            </w:r>
          </w:p>
        </w:tc>
      </w:tr>
      <w:tr w:rsidR="008173DF" w14:paraId="4C8C884B" w14:textId="77777777">
        <w:trPr>
          <w:divId w:val="586964841"/>
          <w:trHeight w:val="450"/>
          <w:jc w:val="center"/>
        </w:trPr>
        <w:tc>
          <w:tcPr>
            <w:tcW w:w="400" w:type="pct"/>
            <w:tcBorders>
              <w:top w:val="nil"/>
              <w:left w:val="nil"/>
              <w:bottom w:val="nil"/>
              <w:right w:val="nil"/>
            </w:tcBorders>
            <w:hideMark/>
          </w:tcPr>
          <w:p w14:paraId="63E79D50" w14:textId="77777777" w:rsidR="008173DF" w:rsidRDefault="008173DF">
            <w:pPr>
              <w:rPr>
                <w:rFonts w:ascii="Times" w:hAnsi="Times" w:cs="Times"/>
                <w:b/>
                <w:bCs/>
                <w:sz w:val="25"/>
                <w:szCs w:val="25"/>
              </w:rPr>
            </w:pPr>
          </w:p>
        </w:tc>
        <w:tc>
          <w:tcPr>
            <w:tcW w:w="400" w:type="pct"/>
            <w:tcBorders>
              <w:top w:val="nil"/>
              <w:left w:val="nil"/>
              <w:bottom w:val="nil"/>
              <w:right w:val="nil"/>
            </w:tcBorders>
            <w:hideMark/>
          </w:tcPr>
          <w:p w14:paraId="478AE6B8" w14:textId="77777777" w:rsidR="008173DF" w:rsidRDefault="008173DF">
            <w:pPr>
              <w:rPr>
                <w:rFonts w:ascii="Times" w:hAnsi="Times" w:cs="Times"/>
                <w:sz w:val="25"/>
                <w:szCs w:val="25"/>
              </w:rPr>
            </w:pPr>
            <w:r>
              <w:rPr>
                <w:rFonts w:ascii="Times" w:hAnsi="Times" w:cs="Times"/>
                <w:sz w:val="25"/>
                <w:szCs w:val="25"/>
              </w:rPr>
              <w:t>B. 2.</w:t>
            </w:r>
          </w:p>
        </w:tc>
        <w:tc>
          <w:tcPr>
            <w:tcW w:w="4200" w:type="pct"/>
            <w:tcBorders>
              <w:top w:val="nil"/>
              <w:left w:val="nil"/>
              <w:bottom w:val="nil"/>
              <w:right w:val="nil"/>
            </w:tcBorders>
            <w:hideMark/>
          </w:tcPr>
          <w:p w14:paraId="36C206D2" w14:textId="77777777" w:rsidR="008173DF" w:rsidRDefault="008173DF" w:rsidP="001848E7">
            <w:pPr>
              <w:jc w:val="both"/>
              <w:rPr>
                <w:rFonts w:ascii="Times" w:hAnsi="Times" w:cs="Times"/>
                <w:sz w:val="25"/>
                <w:szCs w:val="25"/>
              </w:rPr>
            </w:pPr>
            <w:r>
              <w:rPr>
                <w:rFonts w:ascii="Times" w:hAnsi="Times" w:cs="Times"/>
                <w:sz w:val="25"/>
                <w:szCs w:val="25"/>
              </w:rPr>
              <w:t>uviesť a odôvodniť vládny návrh zákona v Národnej rade Slovenskej republiky.</w:t>
            </w:r>
          </w:p>
        </w:tc>
      </w:tr>
    </w:tbl>
    <w:p w14:paraId="58EF137F" w14:textId="347F4C5C" w:rsidR="00596D02" w:rsidRDefault="00596D02" w:rsidP="0081708C"/>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1"/>
        <w:gridCol w:w="7745"/>
      </w:tblGrid>
      <w:tr w:rsidR="00557779" w14:paraId="76EC7E75" w14:textId="77777777" w:rsidTr="005E1E88">
        <w:trPr>
          <w:cantSplit/>
        </w:trPr>
        <w:tc>
          <w:tcPr>
            <w:tcW w:w="1668" w:type="dxa"/>
          </w:tcPr>
          <w:p w14:paraId="545FD5E8" w14:textId="4BD8203D" w:rsidR="00557779" w:rsidRPr="00557779" w:rsidRDefault="00557779" w:rsidP="0081708C">
            <w:pPr>
              <w:rPr>
                <w:rFonts w:ascii="Times New Roman" w:hAnsi="Times New Roman" w:cs="Times New Roman"/>
                <w:b/>
                <w:sz w:val="25"/>
                <w:szCs w:val="25"/>
              </w:rPr>
            </w:pPr>
            <w:r w:rsidRPr="00557779">
              <w:rPr>
                <w:rFonts w:ascii="Times New Roman" w:hAnsi="Times New Roman" w:cs="Times New Roman"/>
                <w:b/>
                <w:sz w:val="25"/>
                <w:szCs w:val="25"/>
              </w:rPr>
              <w:t>Vykonajú:</w:t>
            </w:r>
          </w:p>
        </w:tc>
        <w:tc>
          <w:tcPr>
            <w:tcW w:w="7878" w:type="dxa"/>
          </w:tcPr>
          <w:p w14:paraId="09816362" w14:textId="5D123211" w:rsidR="008173DF" w:rsidRDefault="008173DF">
            <w:pPr>
              <w:divId w:val="1328905288"/>
              <w:rPr>
                <w:rFonts w:ascii="Times" w:hAnsi="Times" w:cs="Times"/>
                <w:sz w:val="25"/>
                <w:szCs w:val="25"/>
              </w:rPr>
            </w:pPr>
            <w:r>
              <w:rPr>
                <w:rFonts w:ascii="Times" w:hAnsi="Times" w:cs="Times"/>
                <w:sz w:val="25"/>
                <w:szCs w:val="25"/>
              </w:rPr>
              <w:t>predseda vlády Slovenskej republiky</w:t>
            </w:r>
          </w:p>
          <w:p w14:paraId="7B9DFC7F" w14:textId="1E17A55F" w:rsidR="00557779" w:rsidRPr="00557779" w:rsidRDefault="008173DF" w:rsidP="008173DF">
            <w:r>
              <w:rPr>
                <w:rFonts w:ascii="Times" w:hAnsi="Times" w:cs="Times"/>
                <w:sz w:val="25"/>
                <w:szCs w:val="25"/>
              </w:rPr>
              <w:t>minister spravodlivosti Slovenskej republiky</w:t>
            </w:r>
          </w:p>
        </w:tc>
      </w:tr>
      <w:tr w:rsidR="00557779" w14:paraId="7FA2E7D9" w14:textId="77777777" w:rsidTr="005E1E88">
        <w:trPr>
          <w:cantSplit/>
        </w:trPr>
        <w:tc>
          <w:tcPr>
            <w:tcW w:w="1668" w:type="dxa"/>
          </w:tcPr>
          <w:p w14:paraId="69BC451D" w14:textId="77777777" w:rsidR="00557779" w:rsidRPr="00557779" w:rsidRDefault="00557779" w:rsidP="0081708C">
            <w:pPr>
              <w:rPr>
                <w:rFonts w:ascii="Times New Roman" w:hAnsi="Times New Roman" w:cs="Times New Roman"/>
                <w:b/>
                <w:sz w:val="25"/>
                <w:szCs w:val="25"/>
              </w:rPr>
            </w:pPr>
          </w:p>
        </w:tc>
        <w:tc>
          <w:tcPr>
            <w:tcW w:w="7878" w:type="dxa"/>
          </w:tcPr>
          <w:p w14:paraId="76B4580D" w14:textId="77777777" w:rsidR="00557779" w:rsidRDefault="00557779" w:rsidP="0081708C"/>
        </w:tc>
      </w:tr>
      <w:tr w:rsidR="00557779" w14:paraId="2E92D592" w14:textId="77777777" w:rsidTr="005E1E88">
        <w:trPr>
          <w:cantSplit/>
        </w:trPr>
        <w:tc>
          <w:tcPr>
            <w:tcW w:w="1668" w:type="dxa"/>
          </w:tcPr>
          <w:p w14:paraId="27A57D39" w14:textId="711C75CD" w:rsidR="00557779" w:rsidRPr="0010780A" w:rsidRDefault="008173DF" w:rsidP="008173DF">
            <w:pPr>
              <w:rPr>
                <w:rFonts w:ascii="Times New Roman" w:hAnsi="Times New Roman" w:cs="Times New Roman"/>
                <w:b/>
                <w:sz w:val="10"/>
                <w:szCs w:val="10"/>
              </w:rPr>
            </w:pPr>
            <w:r>
              <w:rPr>
                <w:rFonts w:ascii="Times" w:hAnsi="Times" w:cs="Times"/>
                <w:b/>
                <w:bCs/>
                <w:sz w:val="25"/>
                <w:szCs w:val="25"/>
              </w:rPr>
              <w:t>Na vedomie:</w:t>
            </w:r>
          </w:p>
        </w:tc>
        <w:tc>
          <w:tcPr>
            <w:tcW w:w="7878" w:type="dxa"/>
          </w:tcPr>
          <w:p w14:paraId="12C1C442" w14:textId="7599DF65" w:rsidR="00557779" w:rsidRDefault="008173DF" w:rsidP="008173DF">
            <w:r>
              <w:rPr>
                <w:rFonts w:ascii="Times" w:hAnsi="Times" w:cs="Times"/>
                <w:sz w:val="25"/>
                <w:szCs w:val="25"/>
              </w:rPr>
              <w:t>predseda Národnej rady Slovenskej republiky</w:t>
            </w:r>
          </w:p>
        </w:tc>
      </w:tr>
    </w:tbl>
    <w:p w14:paraId="4FF3A38B" w14:textId="77777777" w:rsidR="00557779" w:rsidRDefault="00557779" w:rsidP="0044166D"/>
    <w:sectPr w:rsidR="00557779" w:rsidSect="00C858E5">
      <w:pgSz w:w="12240" w:h="15840"/>
      <w:pgMar w:top="56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09"/>
  <w:hyphenationZone w:val="425"/>
  <w:doNotShadeFormData/>
  <w:characterSpacingControl w:val="doNotCompress"/>
  <w:doNotValidateAgainstSchema/>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B67"/>
    <w:rsid w:val="00061FED"/>
    <w:rsid w:val="00074658"/>
    <w:rsid w:val="0010780A"/>
    <w:rsid w:val="00175B8A"/>
    <w:rsid w:val="001848E7"/>
    <w:rsid w:val="001D495F"/>
    <w:rsid w:val="00266B00"/>
    <w:rsid w:val="002B0D08"/>
    <w:rsid w:val="00356199"/>
    <w:rsid w:val="00372BCE"/>
    <w:rsid w:val="00376D2B"/>
    <w:rsid w:val="00402F32"/>
    <w:rsid w:val="0044166D"/>
    <w:rsid w:val="00456D57"/>
    <w:rsid w:val="00505632"/>
    <w:rsid w:val="005151A4"/>
    <w:rsid w:val="00557779"/>
    <w:rsid w:val="00596D02"/>
    <w:rsid w:val="005E1E88"/>
    <w:rsid w:val="006740F9"/>
    <w:rsid w:val="006A2A39"/>
    <w:rsid w:val="006B6F58"/>
    <w:rsid w:val="006F2EA0"/>
    <w:rsid w:val="006F3C1D"/>
    <w:rsid w:val="006F6506"/>
    <w:rsid w:val="007C2AD6"/>
    <w:rsid w:val="0081708C"/>
    <w:rsid w:val="008173DF"/>
    <w:rsid w:val="008462F5"/>
    <w:rsid w:val="008A6CBF"/>
    <w:rsid w:val="008C3A96"/>
    <w:rsid w:val="0092640A"/>
    <w:rsid w:val="00976A51"/>
    <w:rsid w:val="009964F3"/>
    <w:rsid w:val="009A5565"/>
    <w:rsid w:val="009C4F6D"/>
    <w:rsid w:val="00A3474E"/>
    <w:rsid w:val="00A91019"/>
    <w:rsid w:val="00B07CB6"/>
    <w:rsid w:val="00BD2459"/>
    <w:rsid w:val="00BD562D"/>
    <w:rsid w:val="00BE47B1"/>
    <w:rsid w:val="00C0662A"/>
    <w:rsid w:val="00C604FB"/>
    <w:rsid w:val="00C82652"/>
    <w:rsid w:val="00C858E5"/>
    <w:rsid w:val="00CC3A18"/>
    <w:rsid w:val="00D26F72"/>
    <w:rsid w:val="00D30B43"/>
    <w:rsid w:val="00D912E3"/>
    <w:rsid w:val="00E22B67"/>
    <w:rsid w:val="00EA65D1"/>
    <w:rsid w:val="00EB7696"/>
    <w:rsid w:val="00ED412E"/>
    <w:rsid w:val="00F94F2B"/>
    <w:rsid w:val="00F972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9B848F"/>
  <w14:defaultImageDpi w14:val="96"/>
  <w15:docId w15:val="{ADFBE77D-F9AA-4FAE-B214-F61F793D4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widowControl w:val="0"/>
      <w:autoSpaceDE w:val="0"/>
      <w:autoSpaceDN w:val="0"/>
      <w:adjustRightInd w:val="0"/>
      <w:spacing w:after="0" w:line="240" w:lineRule="auto"/>
    </w:pPr>
    <w:rPr>
      <w:sz w:val="20"/>
      <w:szCs w:val="20"/>
    </w:rPr>
  </w:style>
  <w:style w:type="paragraph" w:styleId="Nadpis1">
    <w:name w:val="heading 1"/>
    <w:basedOn w:val="Normlny"/>
    <w:link w:val="Nadpis1Char"/>
    <w:uiPriority w:val="99"/>
    <w:qFormat/>
    <w:pPr>
      <w:outlineLvl w:val="0"/>
    </w:pPr>
  </w:style>
  <w:style w:type="paragraph" w:styleId="Nadpis2">
    <w:name w:val="heading 2"/>
    <w:basedOn w:val="Normlny"/>
    <w:link w:val="Nadpis2Char"/>
    <w:uiPriority w:val="99"/>
    <w:qFormat/>
    <w:pPr>
      <w:outlineLvl w:val="1"/>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rPr>
      <w:rFonts w:asciiTheme="majorHAnsi" w:eastAsiaTheme="majorEastAsia" w:hAnsiTheme="majorHAnsi" w:cstheme="majorBidi"/>
      <w:b/>
      <w:bCs/>
      <w:i/>
      <w:iCs/>
      <w:sz w:val="28"/>
      <w:szCs w:val="28"/>
    </w:rPr>
  </w:style>
  <w:style w:type="paragraph" w:styleId="Textbubliny">
    <w:name w:val="Balloon Text"/>
    <w:basedOn w:val="Normlny"/>
    <w:link w:val="TextbublinyChar"/>
    <w:uiPriority w:val="99"/>
    <w:semiHidden/>
    <w:unhideWhenUsed/>
    <w:rsid w:val="00EA65D1"/>
    <w:rPr>
      <w:rFonts w:ascii="Tahoma" w:hAnsi="Tahoma" w:cs="Tahoma"/>
      <w:sz w:val="16"/>
      <w:szCs w:val="16"/>
    </w:rPr>
  </w:style>
  <w:style w:type="character" w:customStyle="1" w:styleId="TextbublinyChar">
    <w:name w:val="Text bubliny Char"/>
    <w:basedOn w:val="Predvolenpsmoodseku"/>
    <w:link w:val="Textbubliny"/>
    <w:uiPriority w:val="99"/>
    <w:semiHidden/>
    <w:rsid w:val="00EA65D1"/>
    <w:rPr>
      <w:rFonts w:ascii="Tahoma" w:hAnsi="Tahoma" w:cs="Tahoma"/>
      <w:sz w:val="16"/>
      <w:szCs w:val="16"/>
    </w:rPr>
  </w:style>
  <w:style w:type="character" w:styleId="Odkaznakomentr">
    <w:name w:val="annotation reference"/>
    <w:basedOn w:val="Predvolenpsmoodseku"/>
    <w:uiPriority w:val="99"/>
    <w:semiHidden/>
    <w:unhideWhenUsed/>
    <w:rsid w:val="00EA65D1"/>
    <w:rPr>
      <w:sz w:val="16"/>
      <w:szCs w:val="16"/>
    </w:rPr>
  </w:style>
  <w:style w:type="paragraph" w:styleId="Textkomentra">
    <w:name w:val="annotation text"/>
    <w:basedOn w:val="Normlny"/>
    <w:link w:val="TextkomentraChar"/>
    <w:uiPriority w:val="99"/>
    <w:semiHidden/>
    <w:unhideWhenUsed/>
    <w:rsid w:val="00EA65D1"/>
  </w:style>
  <w:style w:type="character" w:customStyle="1" w:styleId="TextkomentraChar">
    <w:name w:val="Text komentára Char"/>
    <w:basedOn w:val="Predvolenpsmoodseku"/>
    <w:link w:val="Textkomentra"/>
    <w:uiPriority w:val="99"/>
    <w:semiHidden/>
    <w:rsid w:val="00EA65D1"/>
    <w:rPr>
      <w:sz w:val="20"/>
      <w:szCs w:val="20"/>
    </w:rPr>
  </w:style>
  <w:style w:type="paragraph" w:styleId="Predmetkomentra">
    <w:name w:val="annotation subject"/>
    <w:basedOn w:val="Textkomentra"/>
    <w:next w:val="Textkomentra"/>
    <w:link w:val="PredmetkomentraChar"/>
    <w:uiPriority w:val="99"/>
    <w:semiHidden/>
    <w:unhideWhenUsed/>
    <w:rsid w:val="00EA65D1"/>
    <w:rPr>
      <w:b/>
      <w:bCs/>
    </w:rPr>
  </w:style>
  <w:style w:type="character" w:customStyle="1" w:styleId="PredmetkomentraChar">
    <w:name w:val="Predmet komentára Char"/>
    <w:basedOn w:val="TextkomentraChar"/>
    <w:link w:val="Predmetkomentra"/>
    <w:uiPriority w:val="99"/>
    <w:semiHidden/>
    <w:rsid w:val="00EA65D1"/>
    <w:rPr>
      <w:b/>
      <w:bCs/>
      <w:sz w:val="20"/>
      <w:szCs w:val="20"/>
    </w:rPr>
  </w:style>
  <w:style w:type="paragraph" w:styleId="Pta">
    <w:name w:val="footer"/>
    <w:basedOn w:val="Normlny"/>
    <w:link w:val="PtaChar"/>
    <w:rsid w:val="00BD2459"/>
    <w:pPr>
      <w:keepNext/>
      <w:keepLines/>
      <w:widowControl/>
      <w:tabs>
        <w:tab w:val="center" w:pos="4536"/>
        <w:tab w:val="right" w:pos="9072"/>
      </w:tabs>
      <w:autoSpaceDE/>
      <w:autoSpaceDN/>
      <w:adjustRightInd/>
      <w:jc w:val="center"/>
    </w:pPr>
    <w:rPr>
      <w:rFonts w:eastAsia="Times New Roman" w:cs="Times New Roman"/>
      <w:sz w:val="24"/>
    </w:rPr>
  </w:style>
  <w:style w:type="character" w:customStyle="1" w:styleId="PtaChar">
    <w:name w:val="Päta Char"/>
    <w:basedOn w:val="Predvolenpsmoodseku"/>
    <w:link w:val="Pta"/>
    <w:rsid w:val="00BD2459"/>
    <w:rPr>
      <w:rFonts w:eastAsia="Times New Roman" w:cs="Times New Roman"/>
      <w:sz w:val="24"/>
      <w:szCs w:val="20"/>
    </w:rPr>
  </w:style>
  <w:style w:type="table" w:styleId="Mriekatabuky">
    <w:name w:val="Table Grid"/>
    <w:basedOn w:val="Normlnatabuka"/>
    <w:uiPriority w:val="99"/>
    <w:unhideWhenUsed/>
    <w:rsid w:val="00557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58386">
      <w:bodyDiv w:val="1"/>
      <w:marLeft w:val="0"/>
      <w:marRight w:val="0"/>
      <w:marTop w:val="0"/>
      <w:marBottom w:val="0"/>
      <w:divBdr>
        <w:top w:val="none" w:sz="0" w:space="0" w:color="auto"/>
        <w:left w:val="none" w:sz="0" w:space="0" w:color="auto"/>
        <w:bottom w:val="none" w:sz="0" w:space="0" w:color="auto"/>
        <w:right w:val="none" w:sz="0" w:space="0" w:color="auto"/>
      </w:divBdr>
    </w:div>
    <w:div w:id="125782353">
      <w:bodyDiv w:val="1"/>
      <w:marLeft w:val="0"/>
      <w:marRight w:val="0"/>
      <w:marTop w:val="0"/>
      <w:marBottom w:val="0"/>
      <w:divBdr>
        <w:top w:val="none" w:sz="0" w:space="0" w:color="auto"/>
        <w:left w:val="none" w:sz="0" w:space="0" w:color="auto"/>
        <w:bottom w:val="none" w:sz="0" w:space="0" w:color="auto"/>
        <w:right w:val="none" w:sz="0" w:space="0" w:color="auto"/>
      </w:divBdr>
      <w:divsChild>
        <w:div w:id="1684434962">
          <w:marLeft w:val="0"/>
          <w:marRight w:val="0"/>
          <w:marTop w:val="0"/>
          <w:marBottom w:val="0"/>
          <w:divBdr>
            <w:top w:val="none" w:sz="0" w:space="0" w:color="auto"/>
            <w:left w:val="none" w:sz="0" w:space="0" w:color="auto"/>
            <w:bottom w:val="none" w:sz="0" w:space="0" w:color="auto"/>
            <w:right w:val="none" w:sz="0" w:space="0" w:color="auto"/>
          </w:divBdr>
        </w:div>
      </w:divsChild>
    </w:div>
    <w:div w:id="143209102">
      <w:bodyDiv w:val="1"/>
      <w:marLeft w:val="0"/>
      <w:marRight w:val="0"/>
      <w:marTop w:val="0"/>
      <w:marBottom w:val="0"/>
      <w:divBdr>
        <w:top w:val="none" w:sz="0" w:space="0" w:color="auto"/>
        <w:left w:val="none" w:sz="0" w:space="0" w:color="auto"/>
        <w:bottom w:val="none" w:sz="0" w:space="0" w:color="auto"/>
        <w:right w:val="none" w:sz="0" w:space="0" w:color="auto"/>
      </w:divBdr>
    </w:div>
    <w:div w:id="586964841">
      <w:bodyDiv w:val="1"/>
      <w:marLeft w:val="0"/>
      <w:marRight w:val="0"/>
      <w:marTop w:val="0"/>
      <w:marBottom w:val="0"/>
      <w:divBdr>
        <w:top w:val="none" w:sz="0" w:space="0" w:color="auto"/>
        <w:left w:val="none" w:sz="0" w:space="0" w:color="auto"/>
        <w:bottom w:val="none" w:sz="0" w:space="0" w:color="auto"/>
        <w:right w:val="none" w:sz="0" w:space="0" w:color="auto"/>
      </w:divBdr>
    </w:div>
    <w:div w:id="1328905288">
      <w:bodyDiv w:val="1"/>
      <w:marLeft w:val="0"/>
      <w:marRight w:val="0"/>
      <w:marTop w:val="0"/>
      <w:marBottom w:val="0"/>
      <w:divBdr>
        <w:top w:val="none" w:sz="0" w:space="0" w:color="auto"/>
        <w:left w:val="none" w:sz="0" w:space="0" w:color="auto"/>
        <w:bottom w:val="none" w:sz="0" w:space="0" w:color="auto"/>
        <w:right w:val="none" w:sz="0" w:space="0" w:color="auto"/>
      </w:divBdr>
    </w:div>
    <w:div w:id="209755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Zákon - návrh uznesenia vlády"/>
    <f:field ref="objsubject" par="" edit="true" text="Zákon - návrh uznesenia vlády"/>
    <f:field ref="objcreatedby" par="" text="Administrator, System"/>
    <f:field ref="objcreatedat" par="" text="14.2.2023 20:16:54"/>
    <f:field ref="objchangedby" par="" text="Administrator, System"/>
    <f:field ref="objmodifiedat" par="" text="14.2.2023 20:16:58"/>
    <f:field ref="doc_FSCFOLIO_1_1001_FieldDocumentNumber" par="" text=""/>
    <f:field ref="doc_FSCFOLIO_1_1001_FieldSubject" par="" edit="true" text="Zákon - návrh uznesenia vlády"/>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1D7689C-F07B-44EA-9710-E1E8C941D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159</Words>
  <Characters>912</Characters>
  <Application>Microsoft Office Word</Application>
  <DocSecurity>0</DocSecurity>
  <Lines>7</Lines>
  <Paragraphs>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Pavol Gibala</dc:creator>
  <cp:lastModifiedBy>Juraj Palúš</cp:lastModifiedBy>
  <cp:revision>5</cp:revision>
  <dcterms:created xsi:type="dcterms:W3CDTF">2023-03-23T11:44:00Z</dcterms:created>
  <dcterms:modified xsi:type="dcterms:W3CDTF">2023-03-23T11:45:00Z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COO.2145.1000.3.5507139</vt:lpwstr>
  </property>
  <property fmtid="{D5CDD505-2E9C-101B-9397-08002B2CF9AE}" pid="3" name="FSC#FSCFOLIO@1.1001:docpropproject">
    <vt:lpwstr/>
  </property>
  <property fmtid="{D5CDD505-2E9C-101B-9397-08002B2CF9AE}" pid="4" name="FSC#SKEDITIONSLOVLEX@103.510:typpredpis">
    <vt:lpwstr>Zákon</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Občianske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Veronika Kerekešová</vt:lpwstr>
  </property>
  <property fmtid="{D5CDD505-2E9C-101B-9397-08002B2CF9AE}" pid="11" name="FSC#SKEDITIONSLOVLEX@103.510:zodppredkladatel">
    <vt:lpwstr>Viliam Karas</vt:lpwstr>
  </property>
  <property fmtid="{D5CDD505-2E9C-101B-9397-08002B2CF9AE}" pid="12" name="FSC#SKEDITIONSLOVLEX@103.510:nazovpredpis">
    <vt:lpwstr> ktorým sa mení a dopĺňa zákon č. 37/2002 Z. z. o nadáciách a o zmene Občianskeho zákonníka v znení neskorších predpisov a ktorým sa menia a dopĺňajú niektoré zákony</vt:lpwstr>
  </property>
  <property fmtid="{D5CDD505-2E9C-101B-9397-08002B2CF9AE}" pid="13" name="FSC#SKEDITIONSLOVLEX@103.510:cislopredpis">
    <vt:lpwstr/>
  </property>
  <property fmtid="{D5CDD505-2E9C-101B-9397-08002B2CF9AE}" pid="14" name="FSC#SKEDITIONSLOVLEX@103.510:zodpinstitucia">
    <vt:lpwstr>Ministerstvo spravodlivosti Slovenskej republiky - Sekcia legislatívy</vt:lpwstr>
  </property>
  <property fmtid="{D5CDD505-2E9C-101B-9397-08002B2CF9AE}" pid="15" name="FSC#SKEDITIONSLOVLEX@103.510:pripomienkovatelia">
    <vt:lpwstr/>
  </property>
  <property fmtid="{D5CDD505-2E9C-101B-9397-08002B2CF9AE}" pid="16" name="FSC#SKEDITIONSLOVLEX@103.510:autorpredpis">
    <vt:lpwstr/>
  </property>
  <property fmtid="{D5CDD505-2E9C-101B-9397-08002B2CF9AE}" pid="17" name="FSC#SKEDITIONSLOVLEX@103.510:podnetpredpis">
    <vt:lpwstr>Programové vyhlásenie vlády Slovenskej republiky na obdobie rokov 2021 – 2024</vt:lpwstr>
  </property>
  <property fmtid="{D5CDD505-2E9C-101B-9397-08002B2CF9AE}" pid="18" name="FSC#SKEDITIONSLOVLEX@103.510:plnynazovpredpis">
    <vt:lpwstr> Zákon ktorým sa mení a dopĺňa zákon č. 37/2002 Z. z. o nadáciách a o zmene Občianskeho zákonníka v znení neskorších predpisov a ktorým sa menia a dopĺňajú niektoré zákony</vt:lpwstr>
  </property>
  <property fmtid="{D5CDD505-2E9C-101B-9397-08002B2CF9AE}" pid="19" name="FSC#SKEDITIONSLOVLEX@103.510:rezortcislopredpis">
    <vt:lpwstr>12206/2023/110</vt:lpwstr>
  </property>
  <property fmtid="{D5CDD505-2E9C-101B-9397-08002B2CF9AE}" pid="20" name="FSC#SKEDITIONSLOVLEX@103.510:citaciapredpis">
    <vt:lpwstr/>
  </property>
  <property fmtid="{D5CDD505-2E9C-101B-9397-08002B2CF9AE}" pid="21" name="FSC#SKEDITIONSLOVLEX@103.510:spiscislouv">
    <vt:lpwstr/>
  </property>
  <property fmtid="{D5CDD505-2E9C-101B-9397-08002B2CF9AE}" pid="22" name="FSC#SKEDITIONSLOVLEX@103.510:datumschvalpredpis">
    <vt:lpwstr/>
  </property>
  <property fmtid="{D5CDD505-2E9C-101B-9397-08002B2CF9AE}" pid="23" name="FSC#SKEDITIONSLOVLEX@103.510:platneod">
    <vt:lpwstr/>
  </property>
  <property fmtid="{D5CDD505-2E9C-101B-9397-08002B2CF9AE}" pid="24" name="FSC#SKEDITIONSLOVLEX@103.510:platnedo">
    <vt:lpwstr/>
  </property>
  <property fmtid="{D5CDD505-2E9C-101B-9397-08002B2CF9AE}" pid="25" name="FSC#SKEDITIONSLOVLEX@103.510:ucinnostod">
    <vt:lpwstr/>
  </property>
  <property fmtid="{D5CDD505-2E9C-101B-9397-08002B2CF9AE}" pid="26" name="FSC#SKEDITIONSLOVLEX@103.510:ucinnostdo">
    <vt:lpwstr/>
  </property>
  <property fmtid="{D5CDD505-2E9C-101B-9397-08002B2CF9AE}" pid="27" name="FSC#SKEDITIONSLOVLEX@103.510:datumplatnosti">
    <vt:lpwstr/>
  </property>
  <property fmtid="{D5CDD505-2E9C-101B-9397-08002B2CF9AE}" pid="28" name="FSC#SKEDITIONSLOVLEX@103.510:cislolp">
    <vt:lpwstr>LP/2023/63</vt:lpwstr>
  </property>
  <property fmtid="{D5CDD505-2E9C-101B-9397-08002B2CF9AE}" pid="29" name="FSC#SKEDITIONSLOVLEX@103.510:typsprievdok">
    <vt:lpwstr>Návrh uznesenia vlády Slovenskej republiky</vt:lpwstr>
  </property>
  <property fmtid="{D5CDD505-2E9C-101B-9397-08002B2CF9AE}" pid="30" name="FSC#SKEDITIONSLOVLEX@103.510:cislopartlac">
    <vt:lpwstr/>
  </property>
  <property fmtid="{D5CDD505-2E9C-101B-9397-08002B2CF9AE}" pid="31" name="FSC#SKEDITIONSLOVLEX@103.510:AttrStrListDocPropUcelPredmetZmluvy">
    <vt:lpwstr/>
  </property>
  <property fmtid="{D5CDD505-2E9C-101B-9397-08002B2CF9AE}" pid="32" name="FSC#SKEDITIONSLOVLEX@103.510:AttrStrListDocPropUpravaPravFOPRO">
    <vt:lpwstr/>
  </property>
  <property fmtid="{D5CDD505-2E9C-101B-9397-08002B2CF9AE}" pid="33" name="FSC#SKEDITIONSLOVLEX@103.510:AttrStrListDocPropUpravaPredmetuZmluvy">
    <vt:lpwstr/>
  </property>
  <property fmtid="{D5CDD505-2E9C-101B-9397-08002B2CF9AE}" pid="34" name="FSC#SKEDITIONSLOVLEX@103.510:AttrStrListDocPropKategoriaZmluvy74">
    <vt:lpwstr/>
  </property>
  <property fmtid="{D5CDD505-2E9C-101B-9397-08002B2CF9AE}" pid="35" name="FSC#SKEDITIONSLOVLEX@103.510:AttrStrListDocPropKategoriaZmluvy75">
    <vt:lpwstr/>
  </property>
  <property fmtid="{D5CDD505-2E9C-101B-9397-08002B2CF9AE}" pid="36" name="FSC#SKEDITIONSLOVLEX@103.510:AttrStrListDocPropDopadyPrijatiaZmluvy">
    <vt:lpwstr/>
  </property>
  <property fmtid="{D5CDD505-2E9C-101B-9397-08002B2CF9AE}" pid="37" name="FSC#SKEDITIONSLOVLEX@103.510:AttrStrListDocPropProblematikaPPa">
    <vt:lpwstr>nie je upravený v práve Európskej únie</vt:lpwstr>
  </property>
  <property fmtid="{D5CDD505-2E9C-101B-9397-08002B2CF9AE}" pid="38" name="FSC#SKEDITIONSLOVLEX@103.510:AttrStrListDocPropPrimarnePravoEU">
    <vt:lpwstr/>
  </property>
  <property fmtid="{D5CDD505-2E9C-101B-9397-08002B2CF9AE}" pid="39" name="FSC#SKEDITIONSLOVLEX@103.510:AttrStrListDocPropSekundarneLegPravoPO">
    <vt:lpwstr/>
  </property>
  <property fmtid="{D5CDD505-2E9C-101B-9397-08002B2CF9AE}" pid="40" name="FSC#SKEDITIONSLOVLEX@103.510:AttrStrListDocPropSekundarneNelegPravoPO">
    <vt:lpwstr/>
  </property>
  <property fmtid="{D5CDD505-2E9C-101B-9397-08002B2CF9AE}" pid="41" name="FSC#SKEDITIONSLOVLEX@103.510:AttrStrListDocPropSekundarneLegPravoDO">
    <vt:lpwstr/>
  </property>
  <property fmtid="{D5CDD505-2E9C-101B-9397-08002B2CF9AE}" pid="42" name="FSC#SKEDITIONSLOVLEX@103.510:AttrStrListDocPropProblematikaPPb">
    <vt:lpwstr/>
  </property>
  <property fmtid="{D5CDD505-2E9C-101B-9397-08002B2CF9AE}" pid="43" name="FSC#SKEDITIONSLOVLEX@103.510:AttrStrListDocPropNazovPredpisuEU">
    <vt:lpwstr/>
  </property>
  <property fmtid="{D5CDD505-2E9C-101B-9397-08002B2CF9AE}" pid="44" name="FSC#SKEDITIONSLOVLEX@103.510:AttrStrListDocPropLehotaPrebratieSmernice">
    <vt:lpwstr/>
  </property>
  <property fmtid="{D5CDD505-2E9C-101B-9397-08002B2CF9AE}" pid="45" name="FSC#SKEDITIONSLOVLEX@103.510:AttrStrListDocPropLehotaNaPredlozenie">
    <vt:lpwstr/>
  </property>
  <property fmtid="{D5CDD505-2E9C-101B-9397-08002B2CF9AE}" pid="46" name="FSC#SKEDITIONSLOVLEX@103.510:AttrStrListDocPropInfoZaciatokKonania">
    <vt:lpwstr/>
  </property>
  <property fmtid="{D5CDD505-2E9C-101B-9397-08002B2CF9AE}" pid="47" name="FSC#SKEDITIONSLOVLEX@103.510:AttrStrListDocPropInfoUzPreberanePP">
    <vt:lpwstr/>
  </property>
  <property fmtid="{D5CDD505-2E9C-101B-9397-08002B2CF9AE}" pid="48" name="FSC#SKEDITIONSLOVLEX@103.510:AttrStrListDocPropStupenZlucitelnostiPP">
    <vt:lpwstr>úplne</vt:lpwstr>
  </property>
  <property fmtid="{D5CDD505-2E9C-101B-9397-08002B2CF9AE}" pid="49" name="FSC#SKEDITIONSLOVLEX@103.510:AttrStrListDocPropGestorSpolupRezorty">
    <vt:lpwstr/>
  </property>
  <property fmtid="{D5CDD505-2E9C-101B-9397-08002B2CF9AE}" pid="50" name="FSC#SKEDITIONSLOVLEX@103.510:AttrDateDocPropZaciatokPKK">
    <vt:lpwstr/>
  </property>
  <property fmtid="{D5CDD505-2E9C-101B-9397-08002B2CF9AE}" pid="51" name="FSC#SKEDITIONSLOVLEX@103.510:AttrDateDocPropUkonceniePKK">
    <vt:lpwstr/>
  </property>
  <property fmtid="{D5CDD505-2E9C-101B-9397-08002B2CF9AE}" pid="52" name="FSC#SKEDITIONSLOVLEX@103.510:AttrStrDocPropVplyvRozpocetVS">
    <vt:lpwstr/>
  </property>
  <property fmtid="{D5CDD505-2E9C-101B-9397-08002B2CF9AE}" pid="53" name="FSC#SKEDITIONSLOVLEX@103.510:AttrStrDocPropVplyvPodnikatelskeProstr">
    <vt:lpwstr/>
  </property>
  <property fmtid="{D5CDD505-2E9C-101B-9397-08002B2CF9AE}" pid="54" name="FSC#SKEDITIONSLOVLEX@103.510:AttrStrDocPropVplyvSocialny">
    <vt:lpwstr/>
  </property>
  <property fmtid="{D5CDD505-2E9C-101B-9397-08002B2CF9AE}" pid="55" name="FSC#SKEDITIONSLOVLEX@103.510:AttrStrDocPropVplyvNaZivotProstr">
    <vt:lpwstr/>
  </property>
  <property fmtid="{D5CDD505-2E9C-101B-9397-08002B2CF9AE}" pid="56" name="FSC#SKEDITIONSLOVLEX@103.510:AttrStrDocPropVplyvNaInformatizaciu">
    <vt:lpwstr/>
  </property>
  <property fmtid="{D5CDD505-2E9C-101B-9397-08002B2CF9AE}" pid="57" name="FSC#SKEDITIONSLOVLEX@103.510:AttrStrListDocPropPoznamkaVplyv">
    <vt:lpwstr/>
  </property>
  <property fmtid="{D5CDD505-2E9C-101B-9397-08002B2CF9AE}" pid="58" name="FSC#SKEDITIONSLOVLEX@103.510:AttrStrListDocPropAltRiesenia">
    <vt:lpwstr/>
  </property>
  <property fmtid="{D5CDD505-2E9C-101B-9397-08002B2CF9AE}" pid="59" name="FSC#SKEDITIONSLOVLEX@103.510:AttrStrListDocPropStanoviskoGest">
    <vt:lpwstr/>
  </property>
  <property fmtid="{D5CDD505-2E9C-101B-9397-08002B2CF9AE}" pid="60" name="FSC#SKEDITIONSLOVLEX@103.510:AttrStrListDocPropTextKomunike">
    <vt:lpwstr/>
  </property>
  <property fmtid="{D5CDD505-2E9C-101B-9397-08002B2CF9AE}" pid="61" name="FSC#SKEDITIONSLOVLEX@103.510:AttrStrListDocPropUznesenieCastA">
    <vt:lpwstr/>
  </property>
  <property fmtid="{D5CDD505-2E9C-101B-9397-08002B2CF9AE}" pid="62" name="FSC#SKEDITIONSLOVLEX@103.510:AttrStrListDocPropUznesenieZodpovednyA1">
    <vt:lpwstr/>
  </property>
  <property fmtid="{D5CDD505-2E9C-101B-9397-08002B2CF9AE}" pid="63" name="FSC#SKEDITIONSLOVLEX@103.510:AttrStrListDocPropUznesenieTextA1">
    <vt:lpwstr/>
  </property>
  <property fmtid="{D5CDD505-2E9C-101B-9397-08002B2CF9AE}" pid="64" name="FSC#SKEDITIONSLOVLEX@103.510:AttrStrListDocPropUznesenieTerminA1">
    <vt:lpwstr/>
  </property>
  <property fmtid="{D5CDD505-2E9C-101B-9397-08002B2CF9AE}" pid="65" name="FSC#SKEDITIONSLOVLEX@103.510:AttrStrListDocPropUznesenieBODA1">
    <vt:lpwstr/>
  </property>
  <property fmtid="{D5CDD505-2E9C-101B-9397-08002B2CF9AE}" pid="66" name="FSC#SKEDITIONSLOVLEX@103.510:AttrStrListDocPropUznesenieZodpovednyA2">
    <vt:lpwstr/>
  </property>
  <property fmtid="{D5CDD505-2E9C-101B-9397-08002B2CF9AE}" pid="67" name="FSC#SKEDITIONSLOVLEX@103.510:AttrStrListDocPropUznesenieTextA2">
    <vt:lpwstr/>
  </property>
  <property fmtid="{D5CDD505-2E9C-101B-9397-08002B2CF9AE}" pid="68" name="FSC#SKEDITIONSLOVLEX@103.510:AttrStrListDocPropUznesenieTerminA2">
    <vt:lpwstr/>
  </property>
  <property fmtid="{D5CDD505-2E9C-101B-9397-08002B2CF9AE}" pid="69" name="FSC#SKEDITIONSLOVLEX@103.510:AttrStrListDocPropUznesenieBODA3">
    <vt:lpwstr/>
  </property>
  <property fmtid="{D5CDD505-2E9C-101B-9397-08002B2CF9AE}" pid="70" name="FSC#SKEDITIONSLOVLEX@103.510:AttrStrListDocPropUznesenieZodpovednyA3">
    <vt:lpwstr/>
  </property>
  <property fmtid="{D5CDD505-2E9C-101B-9397-08002B2CF9AE}" pid="71" name="FSC#SKEDITIONSLOVLEX@103.510:AttrStrListDocPropUznesenieTextA3">
    <vt:lpwstr/>
  </property>
  <property fmtid="{D5CDD505-2E9C-101B-9397-08002B2CF9AE}" pid="72" name="FSC#SKEDITIONSLOVLEX@103.510:AttrStrListDocPropUznesenieTerminA3">
    <vt:lpwstr/>
  </property>
  <property fmtid="{D5CDD505-2E9C-101B-9397-08002B2CF9AE}" pid="73" name="FSC#SKEDITIONSLOVLEX@103.510:AttrStrListDocPropUznesenieBODA4">
    <vt:lpwstr/>
  </property>
  <property fmtid="{D5CDD505-2E9C-101B-9397-08002B2CF9AE}" pid="74" name="FSC#SKEDITIONSLOVLEX@103.510:AttrStrListDocPropUznesenieZodpovednyA4">
    <vt:lpwstr/>
  </property>
  <property fmtid="{D5CDD505-2E9C-101B-9397-08002B2CF9AE}" pid="75" name="FSC#SKEDITIONSLOVLEX@103.510:AttrStrListDocPropUznesenieTextA4">
    <vt:lpwstr/>
  </property>
  <property fmtid="{D5CDD505-2E9C-101B-9397-08002B2CF9AE}" pid="76" name="FSC#SKEDITIONSLOVLEX@103.510:AttrStrListDocPropUznesenieTerminA4">
    <vt:lpwstr/>
  </property>
  <property fmtid="{D5CDD505-2E9C-101B-9397-08002B2CF9AE}" pid="77" name="FSC#SKEDITIONSLOVLEX@103.510:AttrStrListDocPropUznesenieCastB">
    <vt:lpwstr/>
  </property>
  <property fmtid="{D5CDD505-2E9C-101B-9397-08002B2CF9AE}" pid="78" name="FSC#SKEDITIONSLOVLEX@103.510:AttrStrListDocPropUznesenieBODB1">
    <vt:lpwstr/>
  </property>
  <property fmtid="{D5CDD505-2E9C-101B-9397-08002B2CF9AE}" pid="79" name="FSC#SKEDITIONSLOVLEX@103.510:AttrStrListDocPropUznesenieZodpovednyB1">
    <vt:lpwstr/>
  </property>
  <property fmtid="{D5CDD505-2E9C-101B-9397-08002B2CF9AE}" pid="80" name="FSC#SKEDITIONSLOVLEX@103.510:AttrStrListDocPropUznesenieTextB1">
    <vt:lpwstr/>
  </property>
  <property fmtid="{D5CDD505-2E9C-101B-9397-08002B2CF9AE}" pid="81" name="FSC#SKEDITIONSLOVLEX@103.510:AttrStrListDocPropUznesenieTerminB1">
    <vt:lpwstr/>
  </property>
  <property fmtid="{D5CDD505-2E9C-101B-9397-08002B2CF9AE}" pid="82" name="FSC#SKEDITIONSLOVLEX@103.510:AttrStrListDocPropUznesenieBODB2">
    <vt:lpwstr/>
  </property>
  <property fmtid="{D5CDD505-2E9C-101B-9397-08002B2CF9AE}" pid="83" name="FSC#SKEDITIONSLOVLEX@103.510:AttrStrListDocPropUznesenieZodpovednyB2">
    <vt:lpwstr/>
  </property>
  <property fmtid="{D5CDD505-2E9C-101B-9397-08002B2CF9AE}" pid="84" name="FSC#SKEDITIONSLOVLEX@103.510:AttrStrListDocPropUznesenieTextB2">
    <vt:lpwstr/>
  </property>
  <property fmtid="{D5CDD505-2E9C-101B-9397-08002B2CF9AE}" pid="85" name="FSC#SKEDITIONSLOVLEX@103.510:AttrStrListDocPropUznesenieTerminB2">
    <vt:lpwstr/>
  </property>
  <property fmtid="{D5CDD505-2E9C-101B-9397-08002B2CF9AE}" pid="86" name="FSC#SKEDITIONSLOVLEX@103.510:AttrStrListDocPropUznesenieBODB3">
    <vt:lpwstr/>
  </property>
  <property fmtid="{D5CDD505-2E9C-101B-9397-08002B2CF9AE}" pid="87" name="FSC#SKEDITIONSLOVLEX@103.510:AttrStrListDocPropUznesenieZodpovednyB3">
    <vt:lpwstr/>
  </property>
  <property fmtid="{D5CDD505-2E9C-101B-9397-08002B2CF9AE}" pid="88" name="FSC#SKEDITIONSLOVLEX@103.510:AttrStrListDocPropUznesenieTextB3">
    <vt:lpwstr/>
  </property>
  <property fmtid="{D5CDD505-2E9C-101B-9397-08002B2CF9AE}" pid="89" name="FSC#SKEDITIONSLOVLEX@103.510:AttrStrListDocPropUznesenieTerminB3">
    <vt:lpwstr/>
  </property>
  <property fmtid="{D5CDD505-2E9C-101B-9397-08002B2CF9AE}" pid="90" name="FSC#SKEDITIONSLOVLEX@103.510:AttrStrListDocPropUznesenieBODB4">
    <vt:lpwstr/>
  </property>
  <property fmtid="{D5CDD505-2E9C-101B-9397-08002B2CF9AE}" pid="91" name="FSC#SKEDITIONSLOVLEX@103.510:AttrStrListDocPropUznesenieZodpovednyB4">
    <vt:lpwstr/>
  </property>
  <property fmtid="{D5CDD505-2E9C-101B-9397-08002B2CF9AE}" pid="92" name="FSC#SKEDITIONSLOVLEX@103.510:AttrStrListDocPropUznesenieTextB4">
    <vt:lpwstr/>
  </property>
  <property fmtid="{D5CDD505-2E9C-101B-9397-08002B2CF9AE}" pid="93" name="FSC#SKEDITIONSLOVLEX@103.510:AttrStrListDocPropUznesenieTerminB4">
    <vt:lpwstr/>
  </property>
  <property fmtid="{D5CDD505-2E9C-101B-9397-08002B2CF9AE}" pid="94" name="FSC#SKEDITIONSLOVLEX@103.510:AttrStrListDocPropUznesenieCastC">
    <vt:lpwstr/>
  </property>
  <property fmtid="{D5CDD505-2E9C-101B-9397-08002B2CF9AE}" pid="95" name="FSC#SKEDITIONSLOVLEX@103.510:AttrStrListDocPropUznesenieBODC1">
    <vt:lpwstr/>
  </property>
  <property fmtid="{D5CDD505-2E9C-101B-9397-08002B2CF9AE}" pid="96" name="FSC#SKEDITIONSLOVLEX@103.510:AttrStrListDocPropUznesenieZodpovednyC1">
    <vt:lpwstr/>
  </property>
  <property fmtid="{D5CDD505-2E9C-101B-9397-08002B2CF9AE}" pid="97" name="FSC#SKEDITIONSLOVLEX@103.510:AttrStrListDocPropUznesenieTextC1">
    <vt:lpwstr/>
  </property>
  <property fmtid="{D5CDD505-2E9C-101B-9397-08002B2CF9AE}" pid="98" name="FSC#SKEDITIONSLOVLEX@103.510:AttrStrListDocPropUznesenieTerminC1">
    <vt:lpwstr/>
  </property>
  <property fmtid="{D5CDD505-2E9C-101B-9397-08002B2CF9AE}" pid="99" name="FSC#SKEDITIONSLOVLEX@103.510:AttrStrListDocPropUznesenieBODC2">
    <vt:lpwstr/>
  </property>
  <property fmtid="{D5CDD505-2E9C-101B-9397-08002B2CF9AE}" pid="100" name="FSC#SKEDITIONSLOVLEX@103.510:AttrStrListDocPropUznesenieZodpovednyC2">
    <vt:lpwstr/>
  </property>
  <property fmtid="{D5CDD505-2E9C-101B-9397-08002B2CF9AE}" pid="101" name="FSC#SKEDITIONSLOVLEX@103.510:AttrStrListDocPropUznesenieTextC2">
    <vt:lpwstr/>
  </property>
  <property fmtid="{D5CDD505-2E9C-101B-9397-08002B2CF9AE}" pid="102" name="FSC#SKEDITIONSLOVLEX@103.510:AttrStrListDocPropUznesenieTerminC2">
    <vt:lpwstr/>
  </property>
  <property fmtid="{D5CDD505-2E9C-101B-9397-08002B2CF9AE}" pid="103" name="FSC#SKEDITIONSLOVLEX@103.510:AttrStrListDocPropUznesenieBODC3">
    <vt:lpwstr/>
  </property>
  <property fmtid="{D5CDD505-2E9C-101B-9397-08002B2CF9AE}" pid="104" name="FSC#SKEDITIONSLOVLEX@103.510:AttrStrListDocPropUznesenieZodpovednyC3">
    <vt:lpwstr/>
  </property>
  <property fmtid="{D5CDD505-2E9C-101B-9397-08002B2CF9AE}" pid="105" name="FSC#SKEDITIONSLOVLEX@103.510:AttrStrListDocPropUznesenieTextC3">
    <vt:lpwstr/>
  </property>
  <property fmtid="{D5CDD505-2E9C-101B-9397-08002B2CF9AE}" pid="106" name="FSC#SKEDITIONSLOVLEX@103.510:AttrStrListDocPropUznesenieTerminC3">
    <vt:lpwstr/>
  </property>
  <property fmtid="{D5CDD505-2E9C-101B-9397-08002B2CF9AE}" pid="107" name="FSC#SKEDITIONSLOVLEX@103.510:AttrStrListDocPropUznesenieBODC4">
    <vt:lpwstr/>
  </property>
  <property fmtid="{D5CDD505-2E9C-101B-9397-08002B2CF9AE}" pid="108" name="FSC#SKEDITIONSLOVLEX@103.510:AttrStrListDocPropUznesenieZodpovednyC4">
    <vt:lpwstr/>
  </property>
  <property fmtid="{D5CDD505-2E9C-101B-9397-08002B2CF9AE}" pid="109" name="FSC#SKEDITIONSLOVLEX@103.510:AttrStrListDocPropUznesenieTextC4">
    <vt:lpwstr/>
  </property>
  <property fmtid="{D5CDD505-2E9C-101B-9397-08002B2CF9AE}" pid="110" name="FSC#SKEDITIONSLOVLEX@103.510:AttrStrListDocPropUznesenieTerminC4">
    <vt:lpwstr/>
  </property>
  <property fmtid="{D5CDD505-2E9C-101B-9397-08002B2CF9AE}" pid="111" name="FSC#SKEDITIONSLOVLEX@103.510:AttrStrListDocPropUznesenieCastD">
    <vt:lpwstr/>
  </property>
  <property fmtid="{D5CDD505-2E9C-101B-9397-08002B2CF9AE}" pid="112" name="FSC#SKEDITIONSLOVLEX@103.510:AttrStrListDocPropUznesenieBODD1">
    <vt:lpwstr/>
  </property>
  <property fmtid="{D5CDD505-2E9C-101B-9397-08002B2CF9AE}" pid="113" name="FSC#SKEDITIONSLOVLEX@103.510:AttrStrListDocPropUznesenieZodpovednyD1">
    <vt:lpwstr/>
  </property>
  <property fmtid="{D5CDD505-2E9C-101B-9397-08002B2CF9AE}" pid="114" name="FSC#SKEDITIONSLOVLEX@103.510:AttrStrListDocPropUznesenieTextD1">
    <vt:lpwstr/>
  </property>
  <property fmtid="{D5CDD505-2E9C-101B-9397-08002B2CF9AE}" pid="115" name="FSC#SKEDITIONSLOVLEX@103.510:AttrStrListDocPropUznesenieTerminD1">
    <vt:lpwstr/>
  </property>
  <property fmtid="{D5CDD505-2E9C-101B-9397-08002B2CF9AE}" pid="116" name="FSC#SKEDITIONSLOVLEX@103.510:AttrStrListDocPropUznesenieBODD2">
    <vt:lpwstr/>
  </property>
  <property fmtid="{D5CDD505-2E9C-101B-9397-08002B2CF9AE}" pid="117" name="FSC#SKEDITIONSLOVLEX@103.510:AttrStrListDocPropUznesenieZodpovednyD2">
    <vt:lpwstr/>
  </property>
  <property fmtid="{D5CDD505-2E9C-101B-9397-08002B2CF9AE}" pid="118" name="FSC#SKEDITIONSLOVLEX@103.510:AttrStrListDocPropUznesenieTextD2">
    <vt:lpwstr/>
  </property>
  <property fmtid="{D5CDD505-2E9C-101B-9397-08002B2CF9AE}" pid="119" name="FSC#SKEDITIONSLOVLEX@103.510:AttrStrListDocPropUznesenieTerminD2">
    <vt:lpwstr/>
  </property>
  <property fmtid="{D5CDD505-2E9C-101B-9397-08002B2CF9AE}" pid="120" name="FSC#SKEDITIONSLOVLEX@103.510:AttrStrListDocPropUznesenieBODD3">
    <vt:lpwstr/>
  </property>
  <property fmtid="{D5CDD505-2E9C-101B-9397-08002B2CF9AE}" pid="121" name="FSC#SKEDITIONSLOVLEX@103.510:AttrStrListDocPropUznesenieZodpovednyD3">
    <vt:lpwstr/>
  </property>
  <property fmtid="{D5CDD505-2E9C-101B-9397-08002B2CF9AE}" pid="122" name="FSC#SKEDITIONSLOVLEX@103.510:AttrStrListDocPropUznesenieTextD3">
    <vt:lpwstr/>
  </property>
  <property fmtid="{D5CDD505-2E9C-101B-9397-08002B2CF9AE}" pid="123" name="FSC#SKEDITIONSLOVLEX@103.510:AttrStrListDocPropUznesenieTerminD3">
    <vt:lpwstr/>
  </property>
  <property fmtid="{D5CDD505-2E9C-101B-9397-08002B2CF9AE}" pid="124" name="FSC#SKEDITIONSLOVLEX@103.510:AttrStrListDocPropUznesenieBODD4">
    <vt:lpwstr/>
  </property>
  <property fmtid="{D5CDD505-2E9C-101B-9397-08002B2CF9AE}" pid="125" name="FSC#SKEDITIONSLOVLEX@103.510:AttrStrListDocPropUznesenieZodpovednyD4">
    <vt:lpwstr/>
  </property>
  <property fmtid="{D5CDD505-2E9C-101B-9397-08002B2CF9AE}" pid="126" name="FSC#SKEDITIONSLOVLEX@103.510:AttrStrListDocPropUznesenieTextD4">
    <vt:lpwstr/>
  </property>
  <property fmtid="{D5CDD505-2E9C-101B-9397-08002B2CF9AE}" pid="127" name="FSC#SKEDITIONSLOVLEX@103.510:AttrStrListDocPropUznesenieTerminD4">
    <vt:lpwstr/>
  </property>
  <property fmtid="{D5CDD505-2E9C-101B-9397-08002B2CF9AE}" pid="128" name="FSC#SKEDITIONSLOVLEX@103.510:AttrStrListDocPropUznesenieVykonaju">
    <vt:lpwstr>predseda vlády Slovenskej republiky_x000d_
minister spravodlivosti Slovenskej republiky</vt:lpwstr>
  </property>
  <property fmtid="{D5CDD505-2E9C-101B-9397-08002B2CF9AE}" pid="129" name="FSC#SKEDITIONSLOVLEX@103.510:AttrStrListDocPropUznesenieNaVedomie">
    <vt:lpwstr>predseda Národnej rady Slovenskej republiky</vt:lpwstr>
  </property>
  <property fmtid="{D5CDD505-2E9C-101B-9397-08002B2CF9AE}" pid="130" name="FSC#SKEDITIONSLOVLEX@103.510:AttrStrListDocPropTextVseobPrilohy">
    <vt:lpwstr/>
  </property>
  <property fmtid="{D5CDD505-2E9C-101B-9397-08002B2CF9AE}" pid="131" name="FSC#SKEDITIONSLOVLEX@103.510:AttrStrListDocPropTextPredklSpravy">
    <vt:lpwstr>&lt;p&gt;Ministerstvo spravodlivosti Slovenskej republiky predkladá do medzirezortného pripomienkového konania návrh zákona, ktorým sa mení a dopĺňa zákon č. 37/2002 Z. z. o nadáciách a o zmene Občianskeho zákonníka v znení neskorších predpisov a ktorým sa menia a dopĺňajú niektoré zákony (ďalej len „návrh zákona“).&lt;/p&gt;&lt;p&gt;Predložený návrh zákona má za ciel zlepšiť postavenia navzájom blízkych ľudí ako aj zabezpečiť kontinuitu správy majetku, jeho ovládanie, využívanie jeho výnosov na podporu rodiny, nakoľko aktuálne neexistuje dostatočne rozmanitý počet právnych nástrojov ako uvedené realizovať s výnimkou závetu so všetkými jeho limitmi, rizikami a s tým súvisiacimi spormi. Zámerom návrhu zákona je obnoviť v právnom poriadku osvedčené európske nástroje po vzore trustov/zvereneckých fondov, ktoré umožnia občanom efektívnu správu majetku, jeho ovládanie a vhodnú distribúciu rodine ako aj iným osobám dôležitým pre súčasných majiteľov.&lt;/p&gt;&lt;p&gt;Ďalším cieľom je rozširovanie účelu využitia už existujúcej formy právnickej osoby na podporu súkromných účelov a to predovšetkým s poukazom na tzv. rodinné podniky. Zavedenie právneho nástroja na podporu súkromného účelu má ambíciu napomôcť riešeniu dlhotrvajúcich a komplikovaných dedičských konaní a sporov o dedičstvo.&lt;/p&gt;&lt;p&gt;V platnom právnom poriadku vo všeobecnosti absentuje právny nástoj pre správu majetku, ktorý by mohol byť zriadený na podporu súkromného účelu. V zahraničí ide typicky o zverenecké fondy („trusty“) či súkromné nadačné fondy. Absentuje teda nástroj pre efektívnu správu majetku, jeho ovládanie a vhodnú distribúciu rodine ako aj iným osobám dôležitým pre súčasných majiteľov majetkov. Uvedený nedostatok limituje slovenské rodiny, ako aj nezosobášené páry a taktiež negatívne vplýva na ekonomiku Slovenska.&lt;/p&gt;&lt;p&gt;Predkladaný návrh zákona je v súlade s Ústavou Slovenskej republiky, s ústavnými zákonmi, nálezmi Ústavného súdu Slovenskej republiky, so zákonmi a ostatnými všeobecne záväznými právnymi predpismi, s medzinárodnými zmluvami a inými medzinárodnými dokumentmi, ktorými je Slovenská republika viazaná a s právom Európskej únie.&lt;/p&gt;&lt;p&gt;Účinnosť návrhu zákona sa navrhuje od 1. januára 2024, čo zohľadňuje predpokladanú dĺžku trvania legislatívneho procesu.&lt;/p&gt;&lt;p&gt;Návrh zákona nie je predmetom vnútrokomunitárneho pripomienkového konania.&lt;/p&gt;</vt:lpwstr>
  </property>
  <property fmtid="{D5CDD505-2E9C-101B-9397-08002B2CF9AE}" pid="132" name="FSC#SKEDITIONSLOVLEX@103.510:dalsipredkladatel">
    <vt:lpwstr/>
  </property>
  <property fmtid="{D5CDD505-2E9C-101B-9397-08002B2CF9AE}" pid="133" name="FSC#SKEDITIONSLOVLEX@103.510:funkciaPred">
    <vt:lpwstr/>
  </property>
  <property fmtid="{D5CDD505-2E9C-101B-9397-08002B2CF9AE}" pid="134" name="FSC#SKEDITIONSLOVLEX@103.510:funkciaPredAkuzativ">
    <vt:lpwstr/>
  </property>
  <property fmtid="{D5CDD505-2E9C-101B-9397-08002B2CF9AE}" pid="135" name="FSC#SKEDITIONSLOVLEX@103.510:funkciaPredDativ">
    <vt:lpwstr/>
  </property>
  <property fmtid="{D5CDD505-2E9C-101B-9397-08002B2CF9AE}" pid="136" name="FSC#SKEDITIONSLOVLEX@103.510:funkciaZodpPred">
    <vt:lpwstr>minister spravodlivosti Slovenskej republiky</vt:lpwstr>
  </property>
  <property fmtid="{D5CDD505-2E9C-101B-9397-08002B2CF9AE}" pid="137" name="FSC#SKEDITIONSLOVLEX@103.510:funkciaZodpPredAkuzativ">
    <vt:lpwstr>ministra spravodlivosti Slovenskej republiky</vt:lpwstr>
  </property>
  <property fmtid="{D5CDD505-2E9C-101B-9397-08002B2CF9AE}" pid="138" name="FSC#SKEDITIONSLOVLEX@103.510:funkciaZodpPredDativ">
    <vt:lpwstr>ministrovi spravodlivosti Slovenskej republiky</vt:lpwstr>
  </property>
  <property fmtid="{D5CDD505-2E9C-101B-9397-08002B2CF9AE}" pid="139" name="FSC#SKEDITIONSLOVLEX@103.510:funkciaDalsiPred">
    <vt:lpwstr/>
  </property>
  <property fmtid="{D5CDD505-2E9C-101B-9397-08002B2CF9AE}" pid="140" name="FSC#SKEDITIONSLOVLEX@103.510:funkciaDalsiPredAkuzativ">
    <vt:lpwstr/>
  </property>
  <property fmtid="{D5CDD505-2E9C-101B-9397-08002B2CF9AE}" pid="141" name="FSC#SKEDITIONSLOVLEX@103.510:funkciaDalsiPredDativ">
    <vt:lpwstr/>
  </property>
  <property fmtid="{D5CDD505-2E9C-101B-9397-08002B2CF9AE}" pid="142" name="FSC#SKEDITIONSLOVLEX@103.510:predkladateliaObalSD">
    <vt:lpwstr>Viliam Karas_x000d_
minister spravodlivosti Slovenskej republiky</vt:lpwstr>
  </property>
  <property fmtid="{D5CDD505-2E9C-101B-9397-08002B2CF9AE}" pid="143" name="FSC#SKEDITIONSLOVLEX@103.510:spravaucastverej">
    <vt:lpwstr>&lt;p&gt;&lt;strong&gt;1. &amp;nbsp;&amp;nbsp; Spôsob zapojenia verejnosti do tvorby právneho predpisu&lt;/strong&gt;&lt;/p&gt;&lt;table align="left" border="1" cellpadding="0" cellspacing="0" width="99%"&gt;	&lt;tbody&gt;		&lt;tr&gt;			&lt;td style="width:90.38%;height:3px;"&gt;			&lt;p&gt;Informovanie – vyplnia sa body 2 a 3&lt;/p&gt;			&lt;/td&gt;			&lt;td style="width:9.62%;height:3px;"&gt;			&lt;p align="center"&gt;☒&lt;/p&gt;			&lt;/td&gt;		&lt;/tr&gt;		&lt;tr&gt;			&lt;td style="width:90.38%;height:6px;"&gt;			&lt;p&gt;Prerokovanie – vyplnia sa body 2 až 11&lt;/p&gt;			&lt;/td&gt;			&lt;td style="width:9.62%;height:6px;"&gt;			&lt;p align="center"&gt;☒&lt;/p&gt;			&lt;/td&gt;		&lt;/tr&gt;	&lt;/tbody&gt;&lt;/table&gt;&lt;ul style="list-style-type:circle;"&gt;	&lt;li&gt;&lt;sup&gt;1&lt;/sup&gt;&lt;/li&gt;&lt;/ul&gt;&lt;p&gt;&amp;nbsp;&lt;/p&gt;&lt;p&gt;&lt;strong&gt;2. Spôsob informovania verejnosti o&amp;nbsp;začatí tvorby právneho predpisu&lt;/strong&gt;&lt;/p&gt;&lt;table align="left" border="1" cellpadding="0" cellspacing="0" width="99%"&gt;	&lt;tbody&gt;		&lt;tr&gt;			&lt;td style="width:90.38%;height:18px;"&gt;			&lt;p&gt;Predbežná informácia&lt;/p&gt;			&lt;/td&gt;			&lt;td style="width:9.62%;height:18px;"&gt;			&lt;p align="center"&gt;☒&lt;/p&gt;			&lt;/td&gt;		&lt;/tr&gt;		&lt;tr&gt;			&lt;td style="width:90.38%;height:9px;"&gt;			&lt;p&gt;Legislatívny zámer&lt;/p&gt;			&lt;/td&gt;			&lt;td style="width:9.62%;height:9px;"&gt;			&lt;p align="center"&gt;☐&lt;/p&gt;			&lt;/td&gt;		&lt;/tr&gt;		&lt;tr&gt;			&lt;td style="width:90.38%;height:22px;"&gt;			&lt;p&gt;Iné:&lt;sup&gt;1&lt;/sup&gt;&lt;/p&gt;			&lt;/td&gt;			&lt;td style="width:9.62%;height:22px;"&gt;			&lt;p align="center"&gt;☐&lt;/p&gt;			&lt;/td&gt;		&lt;/tr&gt;	&lt;/tbody&gt;&lt;/table&gt;&lt;p&gt;&amp;nbsp;&lt;/p&gt;&lt;p&gt;&lt;strong&gt;3. Informácie poskytnuté verejnosti&lt;/strong&gt;&lt;/p&gt;&lt;table align="left" border="1" cellpadding="0" cellspacing="0" width="99%"&gt;	&lt;tbody&gt;		&lt;tr&gt;			&lt;td style="width:90.38%;height:8px;"&gt;			&lt;p&gt;O&amp;nbsp;probléme, ktorý má právny predpis riešiť&lt;/p&gt;			&lt;/td&gt;			&lt;td style="width:9.62%;height:8px;"&gt;			&lt;p align="center"&gt;☒&lt;/p&gt;			&lt;/td&gt;		&lt;/tr&gt;		&lt;tr&gt;			&lt;td style="width:90.38%;height:15px;"&gt;			&lt;p&gt;O&amp;nbsp;spôsobe zapojenia verejnosti do tvorby právneho predpisu&lt;/p&gt;			&lt;/td&gt;			&lt;td style="width:9.62%;height:15px;"&gt;			&lt;p align="center"&gt;☒&lt;/p&gt;			&lt;/td&gt;		&lt;/tr&gt;		&lt;tr&gt;			&lt;td style="width:90.38%;height:12px;"&gt;			&lt;p&gt;O&amp;nbsp;časovom rámci tvorby právneho predpisu&lt;/p&gt;			&lt;/td&gt;			&lt;td style="width:9.62%;height:12px;"&gt;			&lt;p align="center"&gt;☒&lt;/p&gt;			&lt;/td&gt;		&lt;/tr&gt;		&lt;tr&gt;			&lt;td style="width:90.38%;height:9px;"&gt;			&lt;p&gt;O procese tvorby právneho predpisu&lt;/p&gt;			&lt;/td&gt;			&lt;td style="width:9.62%;height:9px;"&gt;			&lt;p align="center"&gt;☐&lt;/p&gt;			&lt;/td&gt;		&lt;/tr&gt;		&lt;tr&gt;			&lt;td style="width:90.38%;height:13px;"&gt;			&lt;p&gt;O&amp;nbsp;spôsobe naloženia s&amp;nbsp;vyjadreniami a&amp;nbsp;návrhmi verejnosti&lt;/p&gt;			&lt;/td&gt;			&lt;td style="width:9.62%;height:13px;"&gt;			&lt;p align="center"&gt;☐&lt;/p&gt;			&lt;/td&gt;		&lt;/tr&gt;		&lt;tr&gt;			&lt;td style="width:90.38%;height:3px;"&gt;			&lt;p&gt;Iné:&lt;sup&gt;1&lt;/sup&gt;&lt;/p&gt;			&lt;/td&gt;			&lt;td style="width:9.62%;height:3px;"&gt;			&lt;p align="center"&gt;☐&lt;/p&gt;			&lt;/td&gt;		&lt;/tr&gt;	&lt;/tbody&gt;&lt;/table&gt;&lt;p&gt;&amp;nbsp;&lt;/p&gt;&lt;p&gt;&lt;strong&gt;4. Forma prerokovania s&amp;nbsp;verejnosťou&lt;/strong&gt;&lt;/p&gt;&lt;table align="left" border="1" cellpadding="0" cellspacing="0" width="99%"&gt;	&lt;tbody&gt;		&lt;tr&gt;			&lt;td style="width:90.38%;height:19px;"&gt;			&lt;p&gt;Osobne&lt;/p&gt;			&lt;/td&gt;			&lt;td style="width:9.62%;height:19px;"&gt;			&lt;p align="center"&gt;☐&lt;/p&gt;			&lt;/td&gt;		&lt;/tr&gt;		&lt;tr&gt;			&lt;td style="width:90.38%;height:6px;"&gt;			&lt;p&gt;Ústne&lt;/p&gt;			&lt;/td&gt;			&lt;td style="width:9.62%;height:6px;"&gt;			&lt;p align="center"&gt;☐&lt;/p&gt;			&lt;/td&gt;		&lt;/tr&gt;		&lt;tr&gt;			&lt;td style="width:90.38%;height:3px;"&gt;			&lt;p&gt;Písomne&lt;/p&gt;			&lt;/td&gt;			&lt;td style="width:9.62%;height:3px;"&gt;			&lt;p align="center"&gt;☐&lt;/p&gt;			&lt;/td&gt;		&lt;/tr&gt;		&lt;tr&gt;			&lt;td style="width:90.38%;height:9px;"&gt;			&lt;p&gt;Inou formou:&lt;sup&gt;1&lt;/sup&gt;&lt;/p&gt;			&lt;/td&gt;			&lt;td style="width:9.62%;height:9px;"&gt;			&lt;p align="center"&gt;☐&lt;/p&gt;			&lt;/td&gt;		&lt;/tr&gt;	&lt;/tbody&gt;&lt;/table&gt;&lt;ul style="list-style-type:circle;"&gt;	&lt;li&gt;&lt;sup&gt;1&lt;/sup&gt;&lt;/li&gt;&lt;/ul&gt;&lt;p&gt;&amp;nbsp;&lt;/p&gt;&lt;p&gt;&lt;strong&gt;5.Spôsoby prerokovania s verejnosťou &lt;/strong&gt;&lt;/p&gt;&lt;table align="left" border="1" cellpadding="0" cellspacing="0" width="99%"&gt;	&lt;tbody&gt;		&lt;tr&gt;			&lt;td style="width:90.82%;height:9px;"&gt;			&lt;p&gt;Pracovná skupina&lt;/p&gt;			&lt;/td&gt;			&lt;td style="width:9.18%;height:9px;"&gt;			&lt;p align="center"&gt;☐&lt;/p&gt;			&lt;/td&gt;		&lt;/tr&gt;		&lt;tr&gt;			&lt;td style="width:90.82%;height:6px;"&gt;			&lt;p&gt;Konferencia&lt;/p&gt;			&lt;/td&gt;			&lt;td style="width:9.18%;height:6px;"&gt;			&lt;p align="center"&gt;☐&lt;/p&gt;			&lt;/td&gt;		&lt;/tr&gt;		&lt;tr&gt;			&lt;td style="width:90.82%;height:3px;"&gt;			&lt;p&gt;Diskusia k&amp;nbsp;legislatívnemu procesu&lt;sup&gt;2&lt;/sup&gt;&lt;/p&gt;			&lt;/td&gt;			&lt;td style="width:9.18%;height:3px;"&gt;			&lt;p align="center"&gt;☐&lt;/p&gt;			&lt;/td&gt;		&lt;/tr&gt;		&lt;tr&gt;			&lt;td style="width:90.82%;height:6px;"&gt;			&lt;p&gt;Konzultácia&lt;sup&gt;3&lt;/sup&gt;&lt;/p&gt;			&lt;/td&gt;			&lt;td style="width:9.18%;height:6px;"&gt;			&lt;p align="center"&gt;☐&lt;/p&gt;			&lt;/td&gt;		&lt;/tr&gt;		&lt;tr&gt;			&lt;td style="width:90.82%;height:13px;"&gt;			&lt;p&gt;Pripomienkovanie&lt;/p&gt;			&lt;/td&gt;			&lt;td style="width:9.18%;height:13px;"&gt;			&lt;p align="center"&gt;☐&lt;/p&gt;			&lt;/td&gt;		&lt;/tr&gt;		&lt;tr&gt;			&lt;td style="width:90.82%;height:3px;"&gt;			&lt;p&gt;Iné:&lt;sup&gt;1&lt;/sup&gt;&lt;/p&gt;			&lt;/td&gt;			&lt;td style="width:9.18%;height:3px;"&gt;			&lt;p align="center"&gt;☐&lt;/p&gt;			&lt;/td&gt;		&lt;/tr&gt;	&lt;/tbody&gt;&lt;/table&gt;&lt;p&gt;&amp;nbsp;&lt;/p&gt;&lt;p style="margin-left:21.3pt;"&gt;&lt;strong&gt;6.Okruhy subjektov predkladateľom adresne vyzvané na účasť na tvorbe právneho predpisu&lt;/strong&gt;&lt;/p&gt;&lt;table align="left" border="1" cellpadding="0" cellspacing="0" width="99%"&gt;	&lt;tbody&gt;		&lt;tr&gt;			&lt;td style="width:79.86%;height:18px;"&gt;			&lt;p align="center"&gt;Okruh subjektov&lt;/p&gt;			&lt;/td&gt;			&lt;td style="width:20.14%;height:18px;"&gt;			&lt;p align="center"&gt;Počet subjektov&lt;/p&gt;			&lt;/td&gt;		&lt;/tr&gt;		&lt;tr&gt;			&lt;td style="width:79.86%;height:18px;"&gt;			&lt;p&gt;Záujmové združenia subjektov územnej samosprávy&lt;/p&gt;			&lt;/td&gt;			&lt;td style="width:20.14%;height:18px;"&gt;			&lt;p align="center"&gt;&amp;nbsp;&lt;/p&gt;			&lt;/td&gt;		&lt;/tr&gt;		&lt;tr&gt;			&lt;td style="width:79.86%;height:13px;"&gt;			&lt;p&gt;Podnikatelia a&amp;nbsp;záujmové združenia podnikateľov&lt;/p&gt;			&lt;/td&gt;			&lt;td style="width:20.14%;height:13px;"&gt;			&lt;p align="center"&gt;&amp;nbsp;&lt;/p&gt;			&lt;/td&gt;		&lt;/tr&gt;		&lt;tr&gt;			&lt;td style="width:79.86%;height:8px;"&gt;			&lt;p&gt;Mimovládne neziskové organizácie&lt;sup&gt;4&lt;/sup&gt;&lt;/p&gt;			&lt;/td&gt;			&lt;td style="width:20.14%;height:8px;"&gt;			&lt;p align="center"&gt;&amp;nbsp;&lt;/p&gt;			&lt;/td&gt;		&lt;/tr&gt;		&lt;tr&gt;			&lt;td style="width:79.86%;height:9px;"&gt;			&lt;p&gt;Akademická a&amp;nbsp;vedecká obec&lt;/p&gt;			&lt;/td&gt;			&lt;td style="width:20.14%;height:9px;"&gt;			&lt;p align="center"&gt;&amp;nbsp;&lt;/p&gt;			&lt;/td&gt;		&lt;/tr&gt;		&lt;tr&gt;			&lt;td style="width:79.86%;height:8px;"&gt;			&lt;p&gt;Cirkvi a&amp;nbsp;náboženské spoločnosti&lt;/p&gt;			&lt;/td&gt;			&lt;td style="width:20.14%;height:8px;"&gt;			&lt;p align="center"&gt;&amp;nbsp;&lt;/p&gt;			&lt;/td&gt;		&lt;/tr&gt;		&lt;tr&gt;			&lt;td style="width:79.86%;height:8px;"&gt;			&lt;p&gt;Iné:&lt;sup&gt;1&lt;/sup&gt;&lt;/p&gt;			&lt;/td&gt;			&lt;td style="width:20.14%;height:8px;"&gt;			&lt;p align="center"&gt;&amp;nbsp;&lt;/p&gt;			&lt;/td&gt;		&lt;/tr&gt;	&lt;/tbody&gt;&lt;/table&gt;&lt;ul style="list-style-type:circle;"&gt;	&lt;li&gt;&lt;sup&gt;1&lt;/sup&gt;&lt;/li&gt;&lt;/ul&gt;&lt;p&gt;&amp;nbsp;&lt;/p&gt;&lt;p&gt;&amp;nbsp;&lt;/p&gt;&lt;p style="margin-left:21.3pt;"&gt;&lt;strong&gt;7. Okruhy adresne vyzvaných subjektov aktívne zúčastnených na tvorbe právneho predpisu&lt;/strong&gt;&lt;/p&gt;&lt;table align="left" border="1" cellpadding="0" cellspacing="0" width="99%"&gt;	&lt;tbody&gt;		&lt;tr&gt;			&lt;td style="width:79.86%;height:18px;"&gt;			&lt;p align="center"&gt;Okruh subjektov&lt;/p&gt;			&lt;/td&gt;			&lt;td style="width:20.14%;height:18px;"&gt;			&lt;p align="center"&gt;Počet subjektov&lt;/p&gt;			&lt;/td&gt;		&lt;/tr&gt;		&lt;tr&gt;			&lt;td style="width:79.86%;height:9px;"&gt;			&lt;p&gt;Záujmové združenia subjektov územnej samosprávy&lt;/p&gt;			&lt;/td&gt;			&lt;td style="width:20.14%;height:9px;"&gt;			&lt;p align="center"&gt;&amp;nbsp;&lt;/p&gt;			&lt;/td&gt;		&lt;/tr&gt;		&lt;tr&gt;			&lt;td style="width:79.86%;height:9px;"&gt;			&lt;p&gt;Podnikatelia a&amp;nbsp;záujmové združenia podnikateľov&lt;/p&gt;			&lt;/td&gt;			&lt;td style="width:20.14%;height:9px;"&gt;			&lt;p align="center"&gt;&amp;nbsp;&lt;/p&gt;			&lt;/td&gt;		&lt;/tr&gt;		&lt;tr&gt;			&lt;td style="width:79.86%;height:9px;"&gt;			&lt;p&gt;Mimovládne neziskové organizácie&lt;sup&gt;4&lt;/sup&gt;&lt;/p&gt;			&lt;/td&gt;			&lt;td style="width:20.14%;height:9px;"&gt;			&lt;p align="center"&gt;&amp;nbsp;&lt;/p&gt;			&lt;/td&gt;		&lt;/tr&gt;		&lt;tr&gt;			&lt;td style="width:79.86%;height:9px;"&gt;			&lt;p&gt;Akademická a&amp;nbsp;vedecká obec&lt;/p&gt;			&lt;/td&gt;			&lt;td style="width:20.14%;height:9px;"&gt;			&lt;p align="center"&gt;&amp;nbsp;&lt;/p&gt;			&lt;/td&gt;		&lt;/tr&gt;		&lt;tr&gt;			&lt;td style="width:79.86%;height:8px;"&gt;			&lt;p&gt;Cirkvi a&amp;nbsp;náboženské spoločnosti&lt;/p&gt;			&lt;/td&gt;			&lt;td style="width:20.14%;height:8px;"&gt;			&lt;p align="center"&gt;&amp;nbsp;&lt;/p&gt;			&lt;/td&gt;		&lt;/tr&gt;		&lt;tr&gt;			&lt;td style="width:79.86%;height:9px;"&gt;			&lt;p&gt;Iné:&lt;sup&gt;1&lt;/sup&gt;&lt;/p&gt;			&lt;/td&gt;			&lt;td style="width:20.14%;height:9px;"&gt;			&lt;p align="center"&gt;&amp;nbsp;&lt;/p&gt;			&lt;/td&gt;		&lt;/tr&gt;	&lt;/tbody&gt;&lt;/table&gt;&lt;p&gt;&amp;nbsp;&lt;/p&gt;&lt;p style="margin-left:21.3pt;"&gt;&lt;strong&gt;8.Okruhy subjektov, ktoré prejavili záujem zúčastniť sa na tvorbe právneho predpisu z&amp;nbsp;vlastnej iniciatívy&lt;/strong&gt;&lt;/p&gt;&lt;table align="left" border="1" cellpadding="0" cellspacing="0" width="99%"&gt;	&lt;tbody&gt;		&lt;tr&gt;			&lt;td style="width:79.86%;height:18px;"&gt;			&lt;p align="center"&gt;Okruh subjektov&lt;/p&gt;			&lt;/td&gt;			&lt;td style="width:20.14%;height:18px;"&gt;			&lt;p align="center"&gt;Počet subjektov&lt;/p&gt;			&lt;/td&gt;		&lt;/tr&gt;		&lt;tr&gt;			&lt;td style="width:79.86%;height:9px;"&gt;			&lt;p&gt;Záujmové združenia subjektov územnej samosprávy&lt;/p&gt;			&lt;/td&gt;			&lt;td style="width:20.14%;height:9px;"&gt;			&lt;p align="center"&gt;&amp;nbsp;&lt;/p&gt;			&lt;/td&gt;		&lt;/tr&gt;		&lt;tr&gt;			&lt;td style="width:79.86%;height:18px;"&gt;			&lt;p&gt;Podnikatelia a&amp;nbsp;záujmové združenia podnikateľov&lt;/p&gt;			&lt;/td&gt;			&lt;td style="width:20.14%;height:18px;"&gt;			&lt;p align="center"&gt;&amp;nbsp;&lt;/p&gt;			&lt;/td&gt;		&lt;/tr&gt;		&lt;tr&gt;			&lt;td style="width:79.86%;height:18px;"&gt;			&lt;p&gt;Mimovládne neziskové organizácie&lt;sup&gt;4&lt;/sup&gt;&lt;/p&gt;			&lt;/td&gt;			&lt;td style="width:20.14%;height:18px;"&gt;			&lt;p align="center"&gt;&amp;nbsp;&lt;/p&gt;			&lt;/td&gt;		&lt;/tr&gt;		&lt;tr&gt;			&lt;td style="width:79.86%;height:18px;"&gt;			&lt;p&gt;Akademická a&amp;nbsp;vedecká obec&lt;/p&gt;			&lt;/td&gt;			&lt;td style="width:20.14%;height:18px;"&gt;			&lt;p align="center"&gt;&amp;nbsp;&lt;/p&gt;			&lt;/td&gt;		&lt;/tr&gt;		&lt;tr&gt;			&lt;td style="width:79.86%;height:18px;"&gt;			&lt;p&gt;Cirkvi a&amp;nbsp;náboženské spoločnosti&lt;/p&gt;			&lt;/td&gt;			&lt;td style="width:20.14%;height:18px;"&gt;			&lt;p align="center"&gt;&amp;nbsp;&lt;/p&gt;			&lt;/td&gt;		&lt;/tr&gt;		&lt;tr&gt;			&lt;td style="width:79.86%;height:8px;"&gt;			&lt;p&gt;Iné:&lt;sup&gt;1&lt;/sup&gt;&lt;/p&gt;			&lt;/td&gt;			&lt;td style="width:20.14%;height:8px;"&gt;			&lt;p align="center"&gt;&amp;nbsp;&lt;/p&gt;			&lt;/td&gt;		&lt;/tr&gt;	&lt;/tbody&gt;&lt;/table&gt;&lt;p&gt;&amp;nbsp;&lt;/p&gt;&lt;p style="margin-left:14.2pt;"&gt;&lt;strong&gt;9.Okruhy iniciatívnych subjektov aktívne zúčastnených na tvorbe právneho predpisu&lt;/strong&gt;&lt;/p&gt;&lt;table align="left" border="1" cellpadding="0" cellspacing="0" width="99%"&gt;	&lt;tbody&gt;		&lt;tr&gt;			&lt;td style="width:79.86%;height:9px;"&gt;			&lt;p align="center"&gt;Okruh subjektov&lt;/p&gt;			&lt;/td&gt;			&lt;td style="width:20.14%;height:9px;"&gt;			&lt;p align="center"&gt;Počet subjektov&lt;/p&gt;			&lt;/td&gt;		&lt;/tr&gt;		&lt;tr&gt;			&lt;td style="width:79.86%;height:9px;"&gt;			&lt;p&gt;Záujmové združenia subjektov územnej samosprávy&lt;/p&gt;			&lt;/td&gt;			&lt;td style="width:20.14%;height:9px;"&gt;			&lt;p align="center"&gt;&amp;nbsp;&lt;/p&gt;			&lt;/td&gt;		&lt;/tr&gt;		&lt;tr&gt;			&lt;td style="width:79.86%;height:14px;"&gt;			&lt;p&gt;Podnikatelia a&amp;nbsp;záujmové združenia podnikateľov&lt;/p&gt;			&lt;/td&gt;			&lt;td style="width:20.14%;height:14px;"&gt;			&lt;p align="center"&gt;&amp;nbsp;&lt;/p&gt;			&lt;/td&gt;		&lt;/tr&gt;		&lt;tr&gt;			&lt;td style="width:79.86%;height:9px;"&gt;			&lt;p&gt;Mimovládne neziskové organizácie&lt;sup&gt;4&lt;/sup&gt;&lt;/p&gt;			&lt;/td&gt;			&lt;td style="width:20.14%;height:9px;"&gt;			&lt;p align="center"&gt;&amp;nbsp;&lt;/p&gt;			&lt;/td&gt;		&lt;/tr&gt;		&lt;tr&gt;			&lt;td style="width:79.86%;height:9px;"&gt;			&lt;p&gt;Akademická a&amp;nbsp;vedecká obec&lt;/p&gt;			&lt;/td&gt;			&lt;td style="width:20.14%;height:9px;"&gt;			&lt;p align="center"&gt;&amp;nbsp;&lt;/p&gt;			&lt;/td&gt;		&lt;/tr&gt;		&lt;tr&gt;			&lt;td style="width:79.86%;height:3px;"&gt;			&lt;p&gt;Cirkvi a&amp;nbsp;náboženské spoločnosti&lt;/p&gt;			&lt;/td&gt;			&lt;td style="width:20.14%;height:3px;"&gt;			&lt;p align="center"&gt;&amp;nbsp;&lt;/p&gt;			&lt;/td&gt;		&lt;/tr&gt;		&lt;tr&gt;			&lt;td style="width:79.86%;height:18px;"&gt;			&lt;p&gt;Iné:&lt;sup&gt;1&lt;/sup&gt;&lt;/p&gt;			&lt;/td&gt;			&lt;td style="width:20.14%;height:18px;"&gt;			&lt;p align="center"&gt;&amp;nbsp;&lt;/p&gt;			&lt;/td&gt;		&lt;/tr&gt;	&lt;/tbody&gt;&lt;/table&gt;&lt;p&gt;&amp;nbsp;&lt;/p&gt;&lt;p style="margin-left:21.3pt;"&gt;&lt;strong&gt;10. Spôsob naloženia s vyjadreniami a&amp;nbsp;návrhmi zapojených subjektov&lt;/strong&gt;&lt;/p&gt;&lt;table align="left" border="1" cellpadding="0" cellspacing="0" width="100%"&gt;	&lt;tbody&gt;		&lt;tr&gt;			&lt;td style="width:65.64%;height:37px;"&gt;			&lt;p align="center"&gt;Okruh subjektov&lt;/p&gt;			&lt;/td&gt;			&lt;td style="width:34.36%;height:37px;"&gt;			&lt;p align="center"&gt;Prevažne&lt;/p&gt;			&lt;p align="center"&gt;akceptované / neakceptované&lt;/p&gt;			&lt;/td&gt;		&lt;/tr&gt;		&lt;tr&gt;			&lt;td style="width:65.64%;height:19px;"&gt;			&lt;p&gt;Orgány verejnej správy&lt;/p&gt;			&lt;/td&gt;			&lt;td style="width:34.36%;height:19px;"&gt;			&lt;p align="center"&gt;☐ / ☐&lt;/p&gt;			&lt;/td&gt;		&lt;/tr&gt;		&lt;tr&gt;			&lt;td style="width:65.64%;height:15px;"&gt;			&lt;p&gt;Záujmové združenia subjektov územnej samosprávy&lt;/p&gt;			&lt;/td&gt;			&lt;td style="width:34.36%;height:15px;"&gt;			&lt;p align="center"&gt;☐ / ☐&lt;/p&gt;			&lt;/td&gt;		&lt;/tr&gt;		&lt;tr&gt;			&lt;td style="width:65.64%;height:22px;"&gt;			&lt;p&gt;Podnikatelia a&amp;nbsp;záujmové združenia podnikateľov&lt;/p&gt;			&lt;/td&gt;			&lt;td style="width:34.36%;height:22px;"&gt;			&lt;p align="center"&gt;☐ / ☐&lt;/p&gt;			&lt;/td&gt;		&lt;/tr&gt;		&lt;tr&gt;			&lt;td style="width:65.64%;height:17px;"&gt;			&lt;p&gt;Mimovládne neziskové organizácie&lt;sup&gt;4&lt;/sup&gt;&lt;/p&gt;			&lt;/td&gt;			&lt;td style="width:34.36%;height:17px;"&gt;			&lt;p align="center"&gt;☐ / ☐&lt;/p&gt;			&lt;/td&gt;		&lt;/tr&gt;		&lt;tr&gt;			&lt;td style="width:65.64%;height:15px;"&gt;			&lt;p&gt;Akademická a&amp;nbsp;vedecká obec&lt;/p&gt;			&lt;/td&gt;			&lt;td style="width:34.36%;height:15px;"&gt;			&lt;p align="center"&gt;☐ / ☐&lt;/p&gt;			&lt;/td&gt;		&lt;/tr&gt;		&lt;tr&gt;			&lt;td style="width:65.64%;height:13px;"&gt;			&lt;p&gt;Cirkvi a&amp;nbsp;náboženské spoločnosti&lt;/p&gt;			&lt;/td&gt;			&lt;td style="width:34.36%;height:13px;"&gt;			&lt;p align="center"&gt;☐ / ☐&lt;/p&gt;			&lt;/td&gt;		&lt;/tr&gt;		&lt;tr&gt;			&lt;td style="width:65.64%;height:8px;"&gt;			&lt;p&gt;Iné:&lt;sup&gt;1&lt;/sup&gt;&lt;/p&gt;			&lt;/td&gt;			&lt;td style="width:34.36%;height:8px;"&gt;			&lt;p align="center"&gt;☐ / ☐&lt;/p&gt;			&lt;/td&gt;		&lt;/tr&gt;	&lt;/tbody&gt;&lt;/table&gt;&lt;ul style="list-style-type:circle;"&gt;	&lt;li&gt;&lt;sup&gt;1&lt;/sup&gt;&lt;/li&gt;&lt;/ul&gt;&lt;p&gt;&amp;nbsp;&lt;/p&gt;&lt;p&gt;&lt;strong&gt;11.Vyhodnotenie účasti verejnosti na tvorbe právneho predpisu predkladateľom:&lt;/strong&gt;&lt;sup&gt;1&lt;/sup&gt;&lt;/p&gt;&lt;p&gt;&amp;nbsp;&lt;/p&gt;&lt;p&gt;&amp;nbsp;&lt;/p&gt;&lt;p&gt;&amp;nbsp;&lt;/p&gt;&lt;ul&gt;	&lt;li&gt;&amp;nbsp;&lt;/li&gt;&lt;/ul&gt;&lt;p&gt;1&amp;nbsp;&amp;nbsp; Vypĺňa sa nepovinne, ak sa predkladateľ rozhodne nepovinné údaje vyplniť, uvedie ich slovne.&lt;/p&gt;&lt;p&gt;2&amp;nbsp;&amp;nbsp; Prostredníctvom právneho a&amp;nbsp;informačného portálu Slov-Lex.&lt;/p&gt;&lt;p&gt;3&amp;nbsp;&amp;nbsp;&amp;nbsp;&amp;nbsp; Podľa Jednotnej metodiky na posudzovanie vybraných vplyvov a&amp;nbsp;podľa § 2 zákona o&amp;nbsp;tripartite.&lt;/p&gt;&lt;p&gt;4&amp;nbsp;&amp;nbsp; Vrátane odborových organizácií a&amp;nbsp;ich združení.&lt;/p&gt;</vt:lpwstr>
  </property>
  <property fmtid="{D5CDD505-2E9C-101B-9397-08002B2CF9AE}" pid="144" name="FSC#SKEDITIONSLOVLEX@103.510:cisloparlamenttlac">
    <vt:lpwstr/>
  </property>
  <property fmtid="{D5CDD505-2E9C-101B-9397-08002B2CF9AE}" pid="145" name="FSC#SKEDITIONSLOVLEX@103.510:nazovpredpis1">
    <vt:lpwstr/>
  </property>
  <property fmtid="{D5CDD505-2E9C-101B-9397-08002B2CF9AE}" pid="146" name="FSC#SKEDITIONSLOVLEX@103.510:nazovpredpis2">
    <vt:lpwstr/>
  </property>
  <property fmtid="{D5CDD505-2E9C-101B-9397-08002B2CF9AE}" pid="147" name="FSC#SKEDITIONSLOVLEX@103.510:nazovpredpis3">
    <vt:lpwstr/>
  </property>
  <property fmtid="{D5CDD505-2E9C-101B-9397-08002B2CF9AE}" pid="148" name="FSC#SKEDITIONSLOVLEX@103.510:plnynazovpredpis1">
    <vt:lpwstr/>
  </property>
  <property fmtid="{D5CDD505-2E9C-101B-9397-08002B2CF9AE}" pid="149" name="FSC#SKEDITIONSLOVLEX@103.510:plnynazovpredpis2">
    <vt:lpwstr/>
  </property>
  <property fmtid="{D5CDD505-2E9C-101B-9397-08002B2CF9AE}" pid="150" name="FSC#SKEDITIONSLOVLEX@103.510:plnynazovpredpis3">
    <vt:lpwstr/>
  </property>
  <property fmtid="{D5CDD505-2E9C-101B-9397-08002B2CF9AE}" pid="151" name="FSC#SKEDITIONSLOVLEX@103.510:aktualnyrok">
    <vt:lpwstr>2023</vt:lpwstr>
  </property>
  <property fmtid="{D5CDD505-2E9C-101B-9397-08002B2CF9AE}" pid="152" name="FSC#SKEDITIONSLOVLEX@103.510:vytvorenedna">
    <vt:lpwstr>14. 2. 2023</vt:lpwstr>
  </property>
</Properties>
</file>