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6940F1" w:rsidRDefault="00B326AA">
      <w:pPr>
        <w:jc w:val="center"/>
        <w:rPr>
          <w:b/>
          <w:caps/>
          <w:spacing w:val="30"/>
          <w:sz w:val="25"/>
          <w:szCs w:val="25"/>
        </w:rPr>
      </w:pPr>
      <w:bookmarkStart w:id="0" w:name="_GoBack"/>
      <w:bookmarkEnd w:id="0"/>
      <w:r w:rsidRPr="006940F1">
        <w:rPr>
          <w:b/>
          <w:caps/>
          <w:spacing w:val="30"/>
          <w:sz w:val="25"/>
          <w:szCs w:val="25"/>
        </w:rPr>
        <w:t>Doložka zlučiteľnosti</w:t>
      </w:r>
    </w:p>
    <w:p w14:paraId="2C297D24" w14:textId="4AE0C87B" w:rsidR="001F0AA3" w:rsidRPr="006940F1" w:rsidRDefault="00C12975" w:rsidP="00DC377E">
      <w:pPr>
        <w:jc w:val="center"/>
        <w:rPr>
          <w:b/>
          <w:sz w:val="25"/>
          <w:szCs w:val="25"/>
        </w:rPr>
      </w:pPr>
      <w:r w:rsidRPr="006940F1">
        <w:rPr>
          <w:b/>
          <w:sz w:val="25"/>
          <w:szCs w:val="25"/>
        </w:rPr>
        <w:t xml:space="preserve">návrhu </w:t>
      </w:r>
      <w:r w:rsidR="00861B59">
        <w:rPr>
          <w:b/>
          <w:sz w:val="25"/>
          <w:szCs w:val="25"/>
        </w:rPr>
        <w:t xml:space="preserve">zákona </w:t>
      </w:r>
      <w:r w:rsidR="00DC377E" w:rsidRPr="006940F1">
        <w:rPr>
          <w:b/>
          <w:sz w:val="25"/>
          <w:szCs w:val="25"/>
        </w:rPr>
        <w:t>s právom Európskej únie</w:t>
      </w:r>
    </w:p>
    <w:p w14:paraId="2B3DB268" w14:textId="77777777" w:rsidR="00DC377E" w:rsidRPr="006940F1" w:rsidRDefault="00DC377E" w:rsidP="00DC377E">
      <w:pPr>
        <w:jc w:val="center"/>
        <w:rPr>
          <w:b/>
          <w:sz w:val="25"/>
          <w:szCs w:val="25"/>
        </w:rPr>
      </w:pPr>
    </w:p>
    <w:p w14:paraId="78F20C5B" w14:textId="77777777" w:rsidR="00DC377E" w:rsidRPr="006940F1" w:rsidRDefault="00DC377E" w:rsidP="00DC377E">
      <w:pPr>
        <w:jc w:val="center"/>
        <w:rPr>
          <w:b/>
          <w:sz w:val="25"/>
          <w:szCs w:val="25"/>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002"/>
      </w:tblGrid>
      <w:tr w:rsidR="006940F1" w:rsidRPr="006940F1" w14:paraId="7D08EBC2" w14:textId="77777777" w:rsidTr="00770526">
        <w:tc>
          <w:tcPr>
            <w:tcW w:w="201" w:type="pct"/>
          </w:tcPr>
          <w:p w14:paraId="0EA9DA60" w14:textId="7E364101" w:rsidR="001F0AA3" w:rsidRPr="006940F1" w:rsidRDefault="001F0AA3" w:rsidP="001F0AA3">
            <w:pPr>
              <w:tabs>
                <w:tab w:val="left" w:pos="360"/>
              </w:tabs>
              <w:rPr>
                <w:b/>
                <w:sz w:val="25"/>
                <w:szCs w:val="25"/>
              </w:rPr>
            </w:pPr>
            <w:r w:rsidRPr="006940F1">
              <w:rPr>
                <w:b/>
                <w:sz w:val="25"/>
                <w:szCs w:val="25"/>
              </w:rPr>
              <w:t>1.</w:t>
            </w:r>
          </w:p>
        </w:tc>
        <w:tc>
          <w:tcPr>
            <w:tcW w:w="4799" w:type="pct"/>
          </w:tcPr>
          <w:p w14:paraId="09EDA613" w14:textId="21D2802B" w:rsidR="001F0AA3" w:rsidRPr="006940F1" w:rsidRDefault="003D3CC4" w:rsidP="00FB04E9">
            <w:pPr>
              <w:tabs>
                <w:tab w:val="left" w:pos="360"/>
              </w:tabs>
              <w:rPr>
                <w:sz w:val="25"/>
                <w:szCs w:val="25"/>
              </w:rPr>
            </w:pPr>
            <w:r>
              <w:rPr>
                <w:b/>
                <w:sz w:val="25"/>
                <w:szCs w:val="25"/>
              </w:rPr>
              <w:t>Navrhovateľ</w:t>
            </w:r>
            <w:r w:rsidR="00C12975" w:rsidRPr="006940F1">
              <w:rPr>
                <w:b/>
                <w:sz w:val="25"/>
                <w:szCs w:val="25"/>
              </w:rPr>
              <w:t xml:space="preserve"> </w:t>
            </w:r>
            <w:r w:rsidR="00FB04E9">
              <w:rPr>
                <w:b/>
                <w:sz w:val="25"/>
                <w:szCs w:val="25"/>
              </w:rPr>
              <w:t>zákona</w:t>
            </w:r>
            <w:r w:rsidR="001F0AA3" w:rsidRPr="006940F1">
              <w:rPr>
                <w:b/>
                <w:sz w:val="25"/>
                <w:szCs w:val="25"/>
              </w:rPr>
              <w:t>:</w:t>
            </w:r>
            <w:r w:rsidR="00632C56" w:rsidRPr="006940F1">
              <w:rPr>
                <w:sz w:val="25"/>
                <w:szCs w:val="25"/>
              </w:rPr>
              <w:t xml:space="preserve"> </w:t>
            </w:r>
            <w:r w:rsidR="00D7275F" w:rsidRPr="006940F1">
              <w:rPr>
                <w:sz w:val="25"/>
                <w:szCs w:val="25"/>
              </w:rPr>
              <w:fldChar w:fldCharType="begin"/>
            </w:r>
            <w:r w:rsidR="00D7275F" w:rsidRPr="006940F1">
              <w:rPr>
                <w:sz w:val="25"/>
                <w:szCs w:val="25"/>
              </w:rPr>
              <w:instrText xml:space="preserve"> DOCPROPERTY  FSC#SKEDITIONSLOVLEX@103.510:zodpinstitucia  \* MERGEFORMAT </w:instrText>
            </w:r>
            <w:r w:rsidR="00D7275F" w:rsidRPr="006940F1">
              <w:rPr>
                <w:sz w:val="25"/>
                <w:szCs w:val="25"/>
              </w:rPr>
              <w:fldChar w:fldCharType="separate"/>
            </w:r>
            <w:r w:rsidR="00770526" w:rsidRPr="006940F1">
              <w:rPr>
                <w:sz w:val="25"/>
                <w:szCs w:val="25"/>
              </w:rPr>
              <w:t>Štatistický úrad Slovenskej republiky</w:t>
            </w:r>
            <w:r w:rsidR="00D7275F" w:rsidRPr="006940F1">
              <w:rPr>
                <w:sz w:val="25"/>
                <w:szCs w:val="25"/>
              </w:rPr>
              <w:fldChar w:fldCharType="end"/>
            </w:r>
          </w:p>
        </w:tc>
      </w:tr>
      <w:tr w:rsidR="006940F1" w:rsidRPr="006940F1" w14:paraId="375BA047" w14:textId="77777777" w:rsidTr="00770526">
        <w:tc>
          <w:tcPr>
            <w:tcW w:w="201" w:type="pct"/>
          </w:tcPr>
          <w:p w14:paraId="5A496EE8" w14:textId="77777777" w:rsidR="001F0AA3" w:rsidRPr="006940F1" w:rsidRDefault="001F0AA3" w:rsidP="001F0AA3">
            <w:pPr>
              <w:tabs>
                <w:tab w:val="left" w:pos="360"/>
              </w:tabs>
              <w:rPr>
                <w:sz w:val="25"/>
                <w:szCs w:val="25"/>
              </w:rPr>
            </w:pPr>
          </w:p>
        </w:tc>
        <w:tc>
          <w:tcPr>
            <w:tcW w:w="4799" w:type="pct"/>
          </w:tcPr>
          <w:p w14:paraId="3916B647" w14:textId="04E81E64" w:rsidR="006E1D9C" w:rsidRPr="006940F1" w:rsidRDefault="006E1D9C" w:rsidP="00632C56">
            <w:pPr>
              <w:tabs>
                <w:tab w:val="left" w:pos="360"/>
              </w:tabs>
              <w:rPr>
                <w:sz w:val="25"/>
                <w:szCs w:val="25"/>
              </w:rPr>
            </w:pPr>
          </w:p>
        </w:tc>
      </w:tr>
      <w:tr w:rsidR="006940F1" w:rsidRPr="006940F1" w14:paraId="3DF0B4FC" w14:textId="77777777" w:rsidTr="00770526">
        <w:tc>
          <w:tcPr>
            <w:tcW w:w="201" w:type="pct"/>
          </w:tcPr>
          <w:p w14:paraId="51209F81" w14:textId="0D91764A" w:rsidR="001F0AA3" w:rsidRPr="006940F1" w:rsidRDefault="001F0AA3" w:rsidP="00FB04E9">
            <w:pPr>
              <w:tabs>
                <w:tab w:val="left" w:pos="360"/>
              </w:tabs>
              <w:spacing w:before="40"/>
              <w:rPr>
                <w:b/>
                <w:sz w:val="25"/>
                <w:szCs w:val="25"/>
              </w:rPr>
            </w:pPr>
            <w:r w:rsidRPr="006940F1">
              <w:rPr>
                <w:b/>
                <w:sz w:val="25"/>
                <w:szCs w:val="25"/>
              </w:rPr>
              <w:t>2.</w:t>
            </w:r>
          </w:p>
        </w:tc>
        <w:tc>
          <w:tcPr>
            <w:tcW w:w="4799" w:type="pct"/>
          </w:tcPr>
          <w:p w14:paraId="278F4256" w14:textId="501A87BD" w:rsidR="001F0AA3" w:rsidRPr="006940F1" w:rsidRDefault="001F0AA3" w:rsidP="00C03873">
            <w:pPr>
              <w:tabs>
                <w:tab w:val="left" w:pos="360"/>
              </w:tabs>
              <w:spacing w:before="40"/>
              <w:jc w:val="both"/>
              <w:rPr>
                <w:sz w:val="25"/>
                <w:szCs w:val="25"/>
              </w:rPr>
            </w:pPr>
            <w:r w:rsidRPr="006940F1">
              <w:rPr>
                <w:b/>
                <w:sz w:val="25"/>
                <w:szCs w:val="25"/>
              </w:rPr>
              <w:t xml:space="preserve">Názov návrhu </w:t>
            </w:r>
            <w:r w:rsidR="00FB04E9">
              <w:rPr>
                <w:b/>
                <w:sz w:val="25"/>
                <w:szCs w:val="25"/>
              </w:rPr>
              <w:t>zákona</w:t>
            </w:r>
            <w:r w:rsidRPr="006940F1">
              <w:rPr>
                <w:b/>
                <w:sz w:val="25"/>
                <w:szCs w:val="25"/>
              </w:rPr>
              <w:t>:</w:t>
            </w:r>
            <w:r w:rsidR="00632C56" w:rsidRPr="006940F1">
              <w:rPr>
                <w:sz w:val="25"/>
                <w:szCs w:val="25"/>
              </w:rPr>
              <w:t xml:space="preserve"> </w:t>
            </w:r>
            <w:r w:rsidR="00861B59">
              <w:rPr>
                <w:sz w:val="25"/>
                <w:szCs w:val="25"/>
              </w:rPr>
              <w:t>Zákon, ktorým sa mení a dop</w:t>
            </w:r>
            <w:r w:rsidR="00FB04E9">
              <w:rPr>
                <w:sz w:val="25"/>
                <w:szCs w:val="25"/>
              </w:rPr>
              <w:t>ĺ</w:t>
            </w:r>
            <w:r w:rsidR="00861B59">
              <w:rPr>
                <w:sz w:val="25"/>
                <w:szCs w:val="25"/>
              </w:rPr>
              <w:t>ňa zákon č. 272/2015 Z. z. o registri právnických osôb, podnikateľov a orgánov verejnej moci a o zmene a doplnení niektorých zákon</w:t>
            </w:r>
            <w:r w:rsidR="006B788C">
              <w:rPr>
                <w:sz w:val="25"/>
                <w:szCs w:val="25"/>
              </w:rPr>
              <w:t xml:space="preserve">ov </w:t>
            </w:r>
            <w:r w:rsidR="00C03873">
              <w:rPr>
                <w:sz w:val="25"/>
                <w:szCs w:val="25"/>
              </w:rPr>
              <w:t xml:space="preserve">v znení neskorších predpisov a ktorým sa dopĺňa zákon č. 483/2001 Z. z. o bankách a o zmene a doplnení niektorých zákonov </w:t>
            </w:r>
            <w:r w:rsidR="006B788C">
              <w:rPr>
                <w:sz w:val="25"/>
                <w:szCs w:val="25"/>
              </w:rPr>
              <w:t>v znení neskorších predpisov</w:t>
            </w:r>
          </w:p>
        </w:tc>
      </w:tr>
      <w:tr w:rsidR="006940F1" w:rsidRPr="006940F1" w14:paraId="370BAB83" w14:textId="77777777" w:rsidTr="00770526">
        <w:tc>
          <w:tcPr>
            <w:tcW w:w="201" w:type="pct"/>
          </w:tcPr>
          <w:p w14:paraId="565BF5EC" w14:textId="77777777" w:rsidR="001F0AA3" w:rsidRPr="006940F1" w:rsidRDefault="001F0AA3" w:rsidP="001F0AA3">
            <w:pPr>
              <w:tabs>
                <w:tab w:val="left" w:pos="360"/>
              </w:tabs>
              <w:rPr>
                <w:sz w:val="25"/>
                <w:szCs w:val="25"/>
              </w:rPr>
            </w:pPr>
          </w:p>
        </w:tc>
        <w:tc>
          <w:tcPr>
            <w:tcW w:w="4799" w:type="pct"/>
          </w:tcPr>
          <w:p w14:paraId="20DF7156" w14:textId="3173AA6D" w:rsidR="006E1D9C" w:rsidRPr="006940F1" w:rsidRDefault="006E1D9C" w:rsidP="001F0AA3">
            <w:pPr>
              <w:tabs>
                <w:tab w:val="left" w:pos="360"/>
              </w:tabs>
              <w:rPr>
                <w:sz w:val="25"/>
                <w:szCs w:val="25"/>
              </w:rPr>
            </w:pPr>
          </w:p>
        </w:tc>
      </w:tr>
      <w:tr w:rsidR="006940F1" w:rsidRPr="006940F1" w14:paraId="040B7E4C" w14:textId="77777777" w:rsidTr="00770526">
        <w:tc>
          <w:tcPr>
            <w:tcW w:w="201" w:type="pct"/>
          </w:tcPr>
          <w:p w14:paraId="55BF8E11" w14:textId="2073A5BB" w:rsidR="001F0AA3" w:rsidRPr="006940F1" w:rsidRDefault="001F0AA3" w:rsidP="001F0AA3">
            <w:pPr>
              <w:tabs>
                <w:tab w:val="left" w:pos="360"/>
              </w:tabs>
              <w:rPr>
                <w:b/>
                <w:sz w:val="25"/>
                <w:szCs w:val="25"/>
              </w:rPr>
            </w:pPr>
            <w:r w:rsidRPr="006940F1">
              <w:rPr>
                <w:b/>
                <w:sz w:val="25"/>
                <w:szCs w:val="25"/>
              </w:rPr>
              <w:t>3.</w:t>
            </w:r>
          </w:p>
        </w:tc>
        <w:tc>
          <w:tcPr>
            <w:tcW w:w="4799" w:type="pct"/>
          </w:tcPr>
          <w:p w14:paraId="4A20C751" w14:textId="6C37FEBE" w:rsidR="001F0AA3" w:rsidRPr="006940F1" w:rsidRDefault="001F0AA3" w:rsidP="001F0AA3">
            <w:pPr>
              <w:tabs>
                <w:tab w:val="left" w:pos="360"/>
              </w:tabs>
              <w:rPr>
                <w:b/>
                <w:sz w:val="25"/>
                <w:szCs w:val="25"/>
              </w:rPr>
            </w:pPr>
            <w:r w:rsidRPr="006940F1">
              <w:rPr>
                <w:b/>
                <w:sz w:val="25"/>
                <w:szCs w:val="25"/>
              </w:rPr>
              <w:t>Pr</w:t>
            </w:r>
            <w:r w:rsidR="00770526" w:rsidRPr="006940F1">
              <w:rPr>
                <w:b/>
                <w:sz w:val="25"/>
                <w:szCs w:val="25"/>
              </w:rPr>
              <w:t xml:space="preserve">edmet návrhu </w:t>
            </w:r>
            <w:r w:rsidR="00861B59">
              <w:rPr>
                <w:b/>
                <w:sz w:val="25"/>
                <w:szCs w:val="25"/>
              </w:rPr>
              <w:t>zákona</w:t>
            </w:r>
            <w:r w:rsidR="00770526" w:rsidRPr="006940F1">
              <w:rPr>
                <w:b/>
                <w:sz w:val="25"/>
                <w:szCs w:val="25"/>
              </w:rPr>
              <w:t xml:space="preserve"> je upravený v práve Európskej únie</w:t>
            </w:r>
          </w:p>
          <w:p w14:paraId="68F7C348" w14:textId="16EC892C" w:rsidR="003841E0" w:rsidRPr="006940F1" w:rsidRDefault="003841E0" w:rsidP="001F0AA3">
            <w:pPr>
              <w:tabs>
                <w:tab w:val="left" w:pos="360"/>
              </w:tabs>
              <w:rPr>
                <w:sz w:val="25"/>
                <w:szCs w:val="25"/>
              </w:rPr>
            </w:pPr>
          </w:p>
        </w:tc>
      </w:tr>
      <w:tr w:rsidR="006940F1" w:rsidRPr="006940F1" w14:paraId="7735561D" w14:textId="77777777" w:rsidTr="00770526">
        <w:tc>
          <w:tcPr>
            <w:tcW w:w="201" w:type="pct"/>
          </w:tcPr>
          <w:p w14:paraId="47F8D49E" w14:textId="77777777" w:rsidR="001F0AA3" w:rsidRPr="006940F1" w:rsidRDefault="001F0AA3" w:rsidP="001F0AA3">
            <w:pPr>
              <w:tabs>
                <w:tab w:val="left" w:pos="360"/>
              </w:tabs>
              <w:rPr>
                <w:sz w:val="25"/>
                <w:szCs w:val="25"/>
              </w:rPr>
            </w:pPr>
          </w:p>
        </w:tc>
        <w:tc>
          <w:tcPr>
            <w:tcW w:w="4799" w:type="pct"/>
          </w:tcPr>
          <w:p w14:paraId="3AF39E92" w14:textId="77777777" w:rsidR="00770526" w:rsidRPr="006940F1" w:rsidRDefault="00770526" w:rsidP="00FB04E9">
            <w:pPr>
              <w:pStyle w:val="Odsekzoznamu"/>
              <w:numPr>
                <w:ilvl w:val="0"/>
                <w:numId w:val="8"/>
              </w:numPr>
              <w:spacing w:after="120"/>
              <w:ind w:left="357" w:hanging="357"/>
              <w:contextualSpacing w:val="0"/>
              <w:jc w:val="both"/>
              <w:divId w:val="1434860304"/>
              <w:rPr>
                <w:iCs/>
                <w:sz w:val="25"/>
                <w:szCs w:val="25"/>
              </w:rPr>
            </w:pPr>
            <w:r w:rsidRPr="006940F1">
              <w:rPr>
                <w:iCs/>
                <w:sz w:val="25"/>
                <w:szCs w:val="25"/>
              </w:rPr>
              <w:t xml:space="preserve">v </w:t>
            </w:r>
            <w:r w:rsidR="00AA0416" w:rsidRPr="006940F1">
              <w:rPr>
                <w:iCs/>
                <w:sz w:val="25"/>
                <w:szCs w:val="25"/>
              </w:rPr>
              <w:t xml:space="preserve">primárnom </w:t>
            </w:r>
            <w:r w:rsidRPr="006940F1">
              <w:rPr>
                <w:iCs/>
                <w:sz w:val="25"/>
                <w:szCs w:val="25"/>
              </w:rPr>
              <w:t>práve</w:t>
            </w:r>
          </w:p>
          <w:p w14:paraId="1DDF6803" w14:textId="1F20BD39" w:rsidR="00DE7064" w:rsidRPr="006940F1" w:rsidRDefault="00DE7064" w:rsidP="00FB04E9">
            <w:pPr>
              <w:pStyle w:val="Odsekzoznamu"/>
              <w:numPr>
                <w:ilvl w:val="0"/>
                <w:numId w:val="9"/>
              </w:numPr>
              <w:spacing w:after="240"/>
              <w:ind w:left="714" w:hanging="357"/>
              <w:contextualSpacing w:val="0"/>
              <w:jc w:val="both"/>
              <w:divId w:val="1434860304"/>
              <w:rPr>
                <w:sz w:val="25"/>
                <w:szCs w:val="25"/>
              </w:rPr>
            </w:pPr>
            <w:r w:rsidRPr="006940F1">
              <w:rPr>
                <w:sz w:val="25"/>
                <w:szCs w:val="25"/>
              </w:rPr>
              <w:t xml:space="preserve">čl. </w:t>
            </w:r>
            <w:r w:rsidR="00BC13CA">
              <w:rPr>
                <w:sz w:val="25"/>
                <w:szCs w:val="25"/>
              </w:rPr>
              <w:t xml:space="preserve">67, 75 a 114 </w:t>
            </w:r>
            <w:r w:rsidR="00BC13CA" w:rsidRPr="00BC13CA">
              <w:rPr>
                <w:sz w:val="25"/>
                <w:szCs w:val="25"/>
              </w:rPr>
              <w:t>Zmluvy o fungovaní Európskej únie (konsolidované znenie) (Ú.</w:t>
            </w:r>
            <w:r w:rsidR="00180427">
              <w:rPr>
                <w:sz w:val="25"/>
                <w:szCs w:val="25"/>
              </w:rPr>
              <w:t> </w:t>
            </w:r>
            <w:r w:rsidR="00BC13CA" w:rsidRPr="00BC13CA">
              <w:rPr>
                <w:sz w:val="25"/>
                <w:szCs w:val="25"/>
              </w:rPr>
              <w:t>v. EÚ C 202, 7. 6. 2016) v platnom znení</w:t>
            </w:r>
            <w:r w:rsidRPr="006940F1">
              <w:rPr>
                <w:sz w:val="25"/>
                <w:szCs w:val="25"/>
              </w:rPr>
              <w:t>;</w:t>
            </w:r>
          </w:p>
          <w:p w14:paraId="047C3ACE" w14:textId="3EAEB30E" w:rsidR="00770526" w:rsidRPr="006940F1" w:rsidRDefault="00770526" w:rsidP="00FB04E9">
            <w:pPr>
              <w:pStyle w:val="Odsekzoznamu"/>
              <w:numPr>
                <w:ilvl w:val="0"/>
                <w:numId w:val="8"/>
              </w:numPr>
              <w:spacing w:after="120"/>
              <w:ind w:left="357" w:hanging="357"/>
              <w:contextualSpacing w:val="0"/>
              <w:jc w:val="both"/>
              <w:divId w:val="186796073"/>
              <w:rPr>
                <w:iCs/>
                <w:sz w:val="25"/>
                <w:szCs w:val="25"/>
              </w:rPr>
            </w:pPr>
            <w:r w:rsidRPr="006940F1">
              <w:rPr>
                <w:iCs/>
                <w:sz w:val="25"/>
                <w:szCs w:val="25"/>
              </w:rPr>
              <w:t>v sekundárnom práve</w:t>
            </w:r>
          </w:p>
          <w:p w14:paraId="12219608" w14:textId="3DB2C5CC" w:rsidR="00AB4BF7" w:rsidRPr="00B37EE3" w:rsidRDefault="001077EC" w:rsidP="001077EC">
            <w:pPr>
              <w:pStyle w:val="Odsekzoznamu"/>
              <w:widowControl/>
              <w:numPr>
                <w:ilvl w:val="0"/>
                <w:numId w:val="19"/>
              </w:numPr>
              <w:shd w:val="clear" w:color="auto" w:fill="FFFFFF"/>
              <w:autoSpaceDE/>
              <w:autoSpaceDN/>
              <w:adjustRightInd/>
              <w:spacing w:after="120"/>
              <w:ind w:left="624" w:hanging="284"/>
              <w:contextualSpacing w:val="0"/>
              <w:jc w:val="both"/>
              <w:divId w:val="186796073"/>
              <w:rPr>
                <w:sz w:val="25"/>
                <w:szCs w:val="25"/>
              </w:rPr>
            </w:pPr>
            <w:r>
              <w:rPr>
                <w:sz w:val="25"/>
                <w:szCs w:val="25"/>
              </w:rPr>
              <w:t>s</w:t>
            </w:r>
            <w:r w:rsidR="00AB4BF7" w:rsidRPr="00B37EE3">
              <w:rPr>
                <w:sz w:val="25"/>
                <w:szCs w:val="25"/>
              </w:rPr>
              <w:t>mernica Európskeho parlamentu a Rady (EÚ) 2015/849 z 20. mája 2015 o</w:t>
            </w:r>
            <w:r w:rsidR="00180427">
              <w:rPr>
                <w:sz w:val="25"/>
                <w:szCs w:val="25"/>
              </w:rPr>
              <w:t> </w:t>
            </w:r>
            <w:r w:rsidR="00AB4BF7" w:rsidRPr="00B37EE3">
              <w:rPr>
                <w:sz w:val="25"/>
                <w:szCs w:val="25"/>
              </w:rPr>
              <w:t>predchádzaní využívaniu finančného systému na účely prania špinavých peňazí alebo financovania terorizmu, ktorou sa mení nariadenie Európskeho parlamentu a Rady (EÚ) č. 648/2012 a zrušuje smernica Európskeho parlamentu a Rady 2005/60/ES a smernica Komisie 2006/70/ES (</w:t>
            </w:r>
            <w:r w:rsidR="00AB4BF7" w:rsidRPr="00B37EE3">
              <w:rPr>
                <w:iCs/>
                <w:sz w:val="25"/>
                <w:szCs w:val="25"/>
              </w:rPr>
              <w:t>Ú. v. EÚ L 141, 5.6.2015</w:t>
            </w:r>
            <w:r w:rsidR="00D4597A" w:rsidRPr="00B37EE3">
              <w:rPr>
                <w:iCs/>
                <w:sz w:val="25"/>
                <w:szCs w:val="25"/>
              </w:rPr>
              <w:t>)</w:t>
            </w:r>
            <w:r w:rsidR="005B0680">
              <w:rPr>
                <w:iCs/>
                <w:sz w:val="25"/>
                <w:szCs w:val="25"/>
              </w:rPr>
              <w:t xml:space="preserve"> v platnom znení</w:t>
            </w:r>
            <w:r w:rsidR="00D4597A" w:rsidRPr="00B37EE3">
              <w:rPr>
                <w:iCs/>
                <w:sz w:val="25"/>
                <w:szCs w:val="25"/>
              </w:rPr>
              <w:t>, gestor:</w:t>
            </w:r>
            <w:r>
              <w:rPr>
                <w:iCs/>
                <w:sz w:val="25"/>
                <w:szCs w:val="25"/>
              </w:rPr>
              <w:t xml:space="preserve"> MV SR, </w:t>
            </w:r>
            <w:r w:rsidR="00796D85">
              <w:rPr>
                <w:iCs/>
                <w:sz w:val="25"/>
                <w:szCs w:val="25"/>
              </w:rPr>
              <w:t xml:space="preserve">spolugestori: </w:t>
            </w:r>
            <w:r>
              <w:rPr>
                <w:iCs/>
                <w:sz w:val="25"/>
                <w:szCs w:val="25"/>
              </w:rPr>
              <w:t>MS SR, MF SR, NBS.</w:t>
            </w:r>
          </w:p>
          <w:p w14:paraId="78FF4EA8" w14:textId="377A51DB" w:rsidR="0023485C" w:rsidRPr="00045CD1" w:rsidRDefault="001077EC" w:rsidP="001077EC">
            <w:pPr>
              <w:pStyle w:val="Odsekzoznamu"/>
              <w:widowControl/>
              <w:numPr>
                <w:ilvl w:val="0"/>
                <w:numId w:val="19"/>
              </w:numPr>
              <w:shd w:val="clear" w:color="auto" w:fill="FFFFFF"/>
              <w:autoSpaceDE/>
              <w:autoSpaceDN/>
              <w:adjustRightInd/>
              <w:spacing w:after="120"/>
              <w:ind w:left="624" w:hanging="284"/>
              <w:contextualSpacing w:val="0"/>
              <w:jc w:val="both"/>
              <w:divId w:val="186796073"/>
              <w:rPr>
                <w:sz w:val="25"/>
                <w:szCs w:val="25"/>
              </w:rPr>
            </w:pPr>
            <w:r>
              <w:rPr>
                <w:sz w:val="25"/>
                <w:szCs w:val="25"/>
              </w:rPr>
              <w:t>s</w:t>
            </w:r>
            <w:r w:rsidR="00AB4BF7" w:rsidRPr="00B37EE3">
              <w:rPr>
                <w:sz w:val="25"/>
                <w:szCs w:val="25"/>
              </w:rPr>
              <w:t>mernica Európskeho parlamentu a Rady (EÚ) 2018/843 z 30. mája 2018, ktorou sa mení smernica (EÚ) 2015/849 o predchádzaní využívaniu finančného systému na účely prania špinavých peňazí alebo financovania terorizmu a smernice 2009/138/ES a 2013/36/EÚ (</w:t>
            </w:r>
            <w:r w:rsidR="00AB4BF7" w:rsidRPr="00045CD1">
              <w:rPr>
                <w:sz w:val="25"/>
                <w:szCs w:val="25"/>
              </w:rPr>
              <w:t>Ú. v. EÚ L 156, 19.6.2018</w:t>
            </w:r>
            <w:r w:rsidR="00D4597A" w:rsidRPr="00045CD1">
              <w:rPr>
                <w:sz w:val="25"/>
                <w:szCs w:val="25"/>
              </w:rPr>
              <w:t xml:space="preserve">), </w:t>
            </w:r>
            <w:r w:rsidR="00796D85" w:rsidRPr="00B37EE3">
              <w:rPr>
                <w:iCs/>
                <w:sz w:val="25"/>
                <w:szCs w:val="25"/>
              </w:rPr>
              <w:t>gestor:</w:t>
            </w:r>
            <w:r w:rsidR="00796D85">
              <w:rPr>
                <w:iCs/>
                <w:sz w:val="25"/>
                <w:szCs w:val="25"/>
              </w:rPr>
              <w:t xml:space="preserve"> MV SR, spolugestori: MS SR, MF SR, NBS.</w:t>
            </w:r>
            <w:r w:rsidR="00D4597A" w:rsidRPr="00045CD1">
              <w:rPr>
                <w:sz w:val="25"/>
                <w:szCs w:val="25"/>
              </w:rPr>
              <w:t xml:space="preserve"> </w:t>
            </w:r>
          </w:p>
          <w:p w14:paraId="72DFC165" w14:textId="5A64ECF9" w:rsidR="00D4597A" w:rsidRPr="00B37EE3" w:rsidRDefault="001077EC" w:rsidP="001077EC">
            <w:pPr>
              <w:pStyle w:val="Odsekzoznamu"/>
              <w:widowControl/>
              <w:numPr>
                <w:ilvl w:val="0"/>
                <w:numId w:val="19"/>
              </w:numPr>
              <w:shd w:val="clear" w:color="auto" w:fill="FFFFFF"/>
              <w:autoSpaceDE/>
              <w:autoSpaceDN/>
              <w:adjustRightInd/>
              <w:spacing w:after="120"/>
              <w:ind w:left="624" w:hanging="284"/>
              <w:contextualSpacing w:val="0"/>
              <w:jc w:val="both"/>
              <w:divId w:val="186796073"/>
              <w:rPr>
                <w:sz w:val="25"/>
                <w:szCs w:val="25"/>
              </w:rPr>
            </w:pPr>
            <w:r>
              <w:rPr>
                <w:sz w:val="25"/>
                <w:szCs w:val="25"/>
              </w:rPr>
              <w:t>v</w:t>
            </w:r>
            <w:r w:rsidR="00D4597A" w:rsidRPr="00B37EE3">
              <w:rPr>
                <w:sz w:val="25"/>
                <w:szCs w:val="25"/>
              </w:rPr>
              <w:t>ykonávacie nariadenie Komisie (EÚ) 2021/369 z 1. marca 2021, ktorým sa stanovujú technické špecifikácie a postupy potrebné pre systém prepojenia centrálnych registrov uvedený v smernici Európskeho parlamentu a Rady (EÚ) 201</w:t>
            </w:r>
            <w:r w:rsidR="00A213A4">
              <w:rPr>
                <w:sz w:val="25"/>
                <w:szCs w:val="25"/>
              </w:rPr>
              <w:t xml:space="preserve">5/849 (Ú. v. EÚ L 71, 2.3.2021), </w:t>
            </w:r>
            <w:r w:rsidR="0042282A">
              <w:rPr>
                <w:sz w:val="25"/>
                <w:szCs w:val="25"/>
              </w:rPr>
              <w:t xml:space="preserve">gestori: </w:t>
            </w:r>
            <w:r w:rsidR="0042282A">
              <w:t>MS SR, MV SR, ŠÚ SR.</w:t>
            </w:r>
          </w:p>
          <w:p w14:paraId="310BA8E5" w14:textId="77777777" w:rsidR="00D4597A" w:rsidRPr="00B468EE" w:rsidRDefault="001077EC" w:rsidP="0042282A">
            <w:pPr>
              <w:pStyle w:val="Odsekzoznamu"/>
              <w:widowControl/>
              <w:numPr>
                <w:ilvl w:val="0"/>
                <w:numId w:val="19"/>
              </w:numPr>
              <w:shd w:val="clear" w:color="auto" w:fill="FFFFFF"/>
              <w:autoSpaceDE/>
              <w:autoSpaceDN/>
              <w:adjustRightInd/>
              <w:spacing w:after="75"/>
              <w:ind w:left="624" w:hanging="284"/>
              <w:contextualSpacing w:val="0"/>
              <w:jc w:val="both"/>
              <w:divId w:val="186796073"/>
              <w:rPr>
                <w:color w:val="444444"/>
                <w:sz w:val="25"/>
                <w:szCs w:val="25"/>
              </w:rPr>
            </w:pPr>
            <w:r>
              <w:rPr>
                <w:sz w:val="25"/>
                <w:szCs w:val="25"/>
              </w:rPr>
              <w:t>v</w:t>
            </w:r>
            <w:r w:rsidR="00D4597A" w:rsidRPr="00B37EE3">
              <w:rPr>
                <w:sz w:val="25"/>
                <w:szCs w:val="25"/>
              </w:rPr>
              <w:t>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w:t>
            </w:r>
            <w:r w:rsidR="00A213A4">
              <w:rPr>
                <w:sz w:val="25"/>
                <w:szCs w:val="25"/>
              </w:rPr>
              <w:t>244 (Ú. v. EÚ L 225, 25.6.2021),</w:t>
            </w:r>
            <w:r w:rsidR="0042282A">
              <w:rPr>
                <w:sz w:val="25"/>
                <w:szCs w:val="25"/>
              </w:rPr>
              <w:t xml:space="preserve"> gestor: MS SR.</w:t>
            </w:r>
          </w:p>
          <w:p w14:paraId="166507FA" w14:textId="77777777" w:rsidR="00B76EB4" w:rsidRPr="00B76EB4" w:rsidRDefault="00B76EB4" w:rsidP="00B76EB4">
            <w:pPr>
              <w:pStyle w:val="Odsekzoznamu"/>
              <w:widowControl/>
              <w:numPr>
                <w:ilvl w:val="0"/>
                <w:numId w:val="19"/>
              </w:numPr>
              <w:shd w:val="clear" w:color="auto" w:fill="FFFFFF"/>
              <w:autoSpaceDE/>
              <w:autoSpaceDN/>
              <w:adjustRightInd/>
              <w:spacing w:after="75"/>
              <w:ind w:left="624" w:hanging="284"/>
              <w:contextualSpacing w:val="0"/>
              <w:jc w:val="both"/>
              <w:divId w:val="186796073"/>
              <w:rPr>
                <w:color w:val="444444"/>
                <w:sz w:val="25"/>
                <w:szCs w:val="25"/>
              </w:rPr>
            </w:pPr>
            <w:r w:rsidRPr="00B76EB4">
              <w:rPr>
                <w:sz w:val="25"/>
                <w:szCs w:val="25"/>
              </w:rPr>
              <w:t>nariadenie Európskeho parlamentu a Rady (EÚ) 2021/241 z 12. februára 2021, ktorým sa zriaďuje Mechanizmus na podporu obnovy a odolnosti (Ú. v. EÚ L 57, 18.2.2021)+gestor</w:t>
            </w:r>
          </w:p>
          <w:p w14:paraId="3CEFC58E" w14:textId="77777777" w:rsidR="00B76EB4" w:rsidRPr="00B76EB4" w:rsidRDefault="00B76EB4" w:rsidP="00B76EB4">
            <w:pPr>
              <w:pStyle w:val="Odsekzoznamu"/>
              <w:widowControl/>
              <w:numPr>
                <w:ilvl w:val="0"/>
                <w:numId w:val="19"/>
              </w:numPr>
              <w:shd w:val="clear" w:color="auto" w:fill="FFFFFF"/>
              <w:autoSpaceDE/>
              <w:autoSpaceDN/>
              <w:adjustRightInd/>
              <w:spacing w:after="75"/>
              <w:ind w:left="624" w:hanging="284"/>
              <w:contextualSpacing w:val="0"/>
              <w:jc w:val="both"/>
              <w:divId w:val="186796073"/>
              <w:rPr>
                <w:color w:val="444444"/>
                <w:sz w:val="25"/>
                <w:szCs w:val="25"/>
              </w:rPr>
            </w:pPr>
            <w:r w:rsidRPr="00B76EB4">
              <w:rPr>
                <w:sz w:val="25"/>
                <w:szCs w:val="25"/>
              </w:rPr>
              <w:lastRenderedPageBreak/>
              <w:t>nariadenie Európskeho parlamentu a Rady (EÚ) 2016/679 z 27. apríla 2016 o ochrane fyzických osôb pri spracúvaní osobných údajov a o voľnom pohybe takýchto údajov, ktorým sa zrušuje smernica 95/46/ES (všeobecné nariadenie o ochrane údajov) (Ú. v. EÚ L 119, 4.5.2016) + gestor</w:t>
            </w:r>
          </w:p>
          <w:p w14:paraId="557ABA37" w14:textId="77777777" w:rsidR="00B76EB4" w:rsidRPr="00B76EB4" w:rsidRDefault="00B76EB4" w:rsidP="00B76EB4">
            <w:pPr>
              <w:pStyle w:val="Odsekzoznamu"/>
              <w:widowControl/>
              <w:numPr>
                <w:ilvl w:val="0"/>
                <w:numId w:val="19"/>
              </w:numPr>
              <w:shd w:val="clear" w:color="auto" w:fill="FFFFFF"/>
              <w:autoSpaceDE/>
              <w:autoSpaceDN/>
              <w:adjustRightInd/>
              <w:spacing w:after="75"/>
              <w:ind w:left="624" w:hanging="284"/>
              <w:contextualSpacing w:val="0"/>
              <w:jc w:val="both"/>
              <w:divId w:val="186796073"/>
              <w:rPr>
                <w:color w:val="444444"/>
                <w:sz w:val="25"/>
                <w:szCs w:val="25"/>
              </w:rPr>
            </w:pPr>
            <w:r w:rsidRPr="00B76EB4">
              <w:rPr>
                <w:sz w:val="25"/>
                <w:szCs w:val="25"/>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 + gestor</w:t>
            </w:r>
          </w:p>
          <w:p w14:paraId="6046C3D1" w14:textId="77777777" w:rsidR="00B76EB4" w:rsidRPr="00B76EB4" w:rsidRDefault="00B76EB4" w:rsidP="00B76EB4">
            <w:pPr>
              <w:pStyle w:val="Odsekzoznamu"/>
              <w:widowControl/>
              <w:numPr>
                <w:ilvl w:val="0"/>
                <w:numId w:val="19"/>
              </w:numPr>
              <w:shd w:val="clear" w:color="auto" w:fill="FFFFFF"/>
              <w:autoSpaceDE/>
              <w:autoSpaceDN/>
              <w:adjustRightInd/>
              <w:spacing w:after="75"/>
              <w:ind w:left="624" w:hanging="284"/>
              <w:contextualSpacing w:val="0"/>
              <w:jc w:val="both"/>
              <w:divId w:val="186796073"/>
              <w:rPr>
                <w:color w:val="444444"/>
                <w:sz w:val="25"/>
                <w:szCs w:val="25"/>
              </w:rPr>
            </w:pPr>
            <w:r w:rsidRPr="00B76EB4">
              <w:rPr>
                <w:sz w:val="25"/>
                <w:szCs w:val="25"/>
              </w:rPr>
              <w:t>Nariadenie Rady (ES) č. 2223/96 z 25. júna 1996 o Európskom systéme národných a regionálnych účtov v spoločenstve (Ú. v. ES L 310, 30.11.1996; Mimoriadne vydanie Ú. v. EÚ, kap. 10/zv. 002) v platnom znení+gestor</w:t>
            </w:r>
          </w:p>
          <w:p w14:paraId="47C8A381" w14:textId="1D71C7D3" w:rsidR="00B76EB4" w:rsidRPr="00B37EE3" w:rsidRDefault="00B76EB4" w:rsidP="00B468EE">
            <w:pPr>
              <w:pStyle w:val="Odsekzoznamu"/>
              <w:widowControl/>
              <w:shd w:val="clear" w:color="auto" w:fill="FFFFFF"/>
              <w:autoSpaceDE/>
              <w:autoSpaceDN/>
              <w:adjustRightInd/>
              <w:spacing w:after="75"/>
              <w:ind w:left="624"/>
              <w:contextualSpacing w:val="0"/>
              <w:jc w:val="both"/>
              <w:divId w:val="186796073"/>
              <w:rPr>
                <w:color w:val="444444"/>
                <w:sz w:val="25"/>
                <w:szCs w:val="25"/>
              </w:rPr>
            </w:pPr>
          </w:p>
        </w:tc>
      </w:tr>
      <w:tr w:rsidR="006940F1" w:rsidRPr="006940F1" w14:paraId="343951D4" w14:textId="77777777" w:rsidTr="00770526">
        <w:tc>
          <w:tcPr>
            <w:tcW w:w="201" w:type="pct"/>
          </w:tcPr>
          <w:p w14:paraId="7289BFF9" w14:textId="3B25CA44" w:rsidR="001F0AA3" w:rsidRPr="006940F1" w:rsidRDefault="001F0AA3" w:rsidP="001F0AA3">
            <w:pPr>
              <w:tabs>
                <w:tab w:val="left" w:pos="360"/>
              </w:tabs>
              <w:rPr>
                <w:sz w:val="25"/>
                <w:szCs w:val="25"/>
              </w:rPr>
            </w:pPr>
          </w:p>
        </w:tc>
        <w:tc>
          <w:tcPr>
            <w:tcW w:w="4799" w:type="pct"/>
          </w:tcPr>
          <w:p w14:paraId="10E820A7" w14:textId="4E89675B" w:rsidR="0023485C" w:rsidRPr="006940F1" w:rsidRDefault="00AA0416" w:rsidP="00D7527E">
            <w:pPr>
              <w:pStyle w:val="Odsekzoznamu"/>
              <w:numPr>
                <w:ilvl w:val="0"/>
                <w:numId w:val="8"/>
              </w:numPr>
              <w:jc w:val="both"/>
              <w:divId w:val="606502333"/>
              <w:rPr>
                <w:sz w:val="25"/>
                <w:szCs w:val="25"/>
              </w:rPr>
            </w:pPr>
            <w:r w:rsidRPr="006940F1">
              <w:rPr>
                <w:iCs/>
                <w:sz w:val="25"/>
                <w:szCs w:val="25"/>
              </w:rPr>
              <w:t>je upravený v judikatúre Súdneho dvora Európskej únie</w:t>
            </w:r>
            <w:r w:rsidR="00E62A9E" w:rsidRPr="006940F1">
              <w:rPr>
                <w:iCs/>
                <w:sz w:val="25"/>
                <w:szCs w:val="25"/>
              </w:rPr>
              <w:t>.</w:t>
            </w:r>
          </w:p>
        </w:tc>
      </w:tr>
      <w:tr w:rsidR="001F0AA3" w:rsidRPr="006940F1" w14:paraId="45CE67F2" w14:textId="77777777" w:rsidTr="00770526">
        <w:tc>
          <w:tcPr>
            <w:tcW w:w="201" w:type="pct"/>
          </w:tcPr>
          <w:p w14:paraId="1604FD79" w14:textId="23987BD1" w:rsidR="001F0AA3" w:rsidRPr="006940F1" w:rsidRDefault="001F0AA3" w:rsidP="001F0AA3">
            <w:pPr>
              <w:tabs>
                <w:tab w:val="left" w:pos="360"/>
              </w:tabs>
              <w:rPr>
                <w:b/>
                <w:sz w:val="25"/>
                <w:szCs w:val="25"/>
              </w:rPr>
            </w:pPr>
          </w:p>
        </w:tc>
        <w:tc>
          <w:tcPr>
            <w:tcW w:w="4799" w:type="pct"/>
          </w:tcPr>
          <w:p w14:paraId="78B8CC56" w14:textId="663A2867" w:rsidR="006E1D9C" w:rsidRDefault="00C03873" w:rsidP="006248C1">
            <w:pPr>
              <w:tabs>
                <w:tab w:val="left" w:pos="360"/>
              </w:tabs>
              <w:ind w:left="340"/>
              <w:jc w:val="both"/>
              <w:rPr>
                <w:sz w:val="25"/>
                <w:szCs w:val="25"/>
              </w:rPr>
            </w:pPr>
            <w:r>
              <w:rPr>
                <w:sz w:val="25"/>
                <w:szCs w:val="25"/>
              </w:rPr>
              <w:t>R</w:t>
            </w:r>
            <w:r w:rsidRPr="00C03873">
              <w:rPr>
                <w:sz w:val="25"/>
                <w:szCs w:val="25"/>
              </w:rPr>
              <w:t xml:space="preserve">ozsudok </w:t>
            </w:r>
            <w:r w:rsidR="00A35904">
              <w:rPr>
                <w:sz w:val="25"/>
                <w:szCs w:val="25"/>
              </w:rPr>
              <w:t>S</w:t>
            </w:r>
            <w:r w:rsidRPr="00C03873">
              <w:rPr>
                <w:sz w:val="25"/>
                <w:szCs w:val="25"/>
              </w:rPr>
              <w:t>údneho dvora (veľká komora)</w:t>
            </w:r>
            <w:r>
              <w:rPr>
                <w:sz w:val="25"/>
                <w:szCs w:val="25"/>
              </w:rPr>
              <w:t xml:space="preserve"> </w:t>
            </w:r>
            <w:r w:rsidR="00372AAD">
              <w:rPr>
                <w:sz w:val="25"/>
                <w:szCs w:val="25"/>
              </w:rPr>
              <w:t xml:space="preserve">z 22. novembra 2022 </w:t>
            </w:r>
            <w:r w:rsidR="00A35904">
              <w:rPr>
                <w:sz w:val="25"/>
                <w:szCs w:val="25"/>
              </w:rPr>
              <w:t>v</w:t>
            </w:r>
            <w:r w:rsidR="00A35904" w:rsidRPr="00372AAD">
              <w:rPr>
                <w:sz w:val="25"/>
                <w:szCs w:val="25"/>
              </w:rPr>
              <w:t xml:space="preserve"> </w:t>
            </w:r>
            <w:r w:rsidR="00372AAD" w:rsidRPr="00372AAD">
              <w:rPr>
                <w:sz w:val="25"/>
                <w:szCs w:val="25"/>
              </w:rPr>
              <w:t xml:space="preserve">spojených veciach </w:t>
            </w:r>
            <w:r w:rsidR="006248C1">
              <w:rPr>
                <w:sz w:val="25"/>
                <w:szCs w:val="25"/>
              </w:rPr>
              <w:t xml:space="preserve">WM (C-37/20) a </w:t>
            </w:r>
            <w:r w:rsidR="006248C1" w:rsidRPr="006248C1">
              <w:rPr>
                <w:sz w:val="25"/>
                <w:szCs w:val="25"/>
              </w:rPr>
              <w:t>Sovim SA (C-601/20)</w:t>
            </w:r>
            <w:r w:rsidR="00372AAD">
              <w:rPr>
                <w:sz w:val="25"/>
                <w:szCs w:val="25"/>
              </w:rPr>
              <w:t>:</w:t>
            </w:r>
          </w:p>
          <w:p w14:paraId="44211FD1" w14:textId="51EAA993" w:rsidR="00372AAD" w:rsidRPr="006940F1" w:rsidRDefault="00372AAD" w:rsidP="00A35904">
            <w:pPr>
              <w:tabs>
                <w:tab w:val="left" w:pos="360"/>
              </w:tabs>
              <w:ind w:left="340"/>
              <w:jc w:val="both"/>
              <w:rPr>
                <w:sz w:val="25"/>
                <w:szCs w:val="25"/>
              </w:rPr>
            </w:pPr>
            <w:r>
              <w:rPr>
                <w:sz w:val="25"/>
                <w:szCs w:val="25"/>
              </w:rPr>
              <w:t>„</w:t>
            </w:r>
            <w:r>
              <w:t>Článok 1 bod 15 písm. c) smernice Európskeho parlamentu a Rady (EÚ) 2018/843 z 30. mája 2018, ktorou sa mení smernica (EÚ) 2015/849 o predchádzaní využívaniu finančného systému na účely prania špinavých peňazí alebo financovania terorizmu a smernice 2009/138/ES a 2013/36/EÚ, je neplatný v rozsahu, v akom zmenil článok 30 ods. 5 prvý pododsek písm. c)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v tom zmysle, že tento článok 30 ods. 5 prvý pododsek písm. c) vo svojom takto zmenenom znení stanovuje, že členské štáty musia zabezpečiť, aby boli informácie o konečných užívateľoch výhod podnikateľských subjektov a iných právnych subjektov, ktoré boli zaregistrované na ich území, prístupné v každom prípade komukoľvek zo širokej verejnosti.</w:t>
            </w:r>
            <w:r w:rsidR="00A35904">
              <w:t>“.</w:t>
            </w:r>
          </w:p>
        </w:tc>
      </w:tr>
    </w:tbl>
    <w:p w14:paraId="4EB2ABBD" w14:textId="77777777" w:rsidR="001F0AA3" w:rsidRPr="006940F1" w:rsidRDefault="001F0AA3" w:rsidP="001F0AA3">
      <w:pPr>
        <w:tabs>
          <w:tab w:val="left" w:pos="360"/>
        </w:tabs>
        <w:rPr>
          <w:sz w:val="25"/>
          <w:szCs w:val="25"/>
        </w:rPr>
      </w:pPr>
    </w:p>
    <w:tbl>
      <w:tblPr>
        <w:tblW w:w="5023" w:type="pct"/>
        <w:jc w:val="center"/>
        <w:tblCellMar>
          <w:left w:w="0" w:type="dxa"/>
          <w:right w:w="0" w:type="dxa"/>
        </w:tblCellMar>
        <w:tblLook w:val="04A0" w:firstRow="1" w:lastRow="0" w:firstColumn="1" w:lastColumn="0" w:noHBand="0" w:noVBand="1"/>
      </w:tblPr>
      <w:tblGrid>
        <w:gridCol w:w="469"/>
        <w:gridCol w:w="302"/>
        <w:gridCol w:w="8678"/>
      </w:tblGrid>
      <w:tr w:rsidR="006940F1" w:rsidRPr="006940F1" w14:paraId="7E002217" w14:textId="77777777" w:rsidTr="00E24F45">
        <w:trPr>
          <w:divId w:val="1826163160"/>
          <w:jc w:val="center"/>
        </w:trPr>
        <w:tc>
          <w:tcPr>
            <w:tcW w:w="248" w:type="pct"/>
            <w:tcBorders>
              <w:top w:val="nil"/>
              <w:left w:val="nil"/>
              <w:bottom w:val="nil"/>
              <w:right w:val="nil"/>
            </w:tcBorders>
            <w:hideMark/>
          </w:tcPr>
          <w:p w14:paraId="4E3C7E2F" w14:textId="77777777" w:rsidR="00AA0416" w:rsidRPr="006940F1" w:rsidRDefault="00AA0416">
            <w:pPr>
              <w:rPr>
                <w:b/>
                <w:bCs/>
                <w:sz w:val="25"/>
                <w:szCs w:val="25"/>
              </w:rPr>
            </w:pPr>
            <w:r w:rsidRPr="006940F1">
              <w:rPr>
                <w:b/>
                <w:bCs/>
                <w:sz w:val="25"/>
                <w:szCs w:val="25"/>
              </w:rPr>
              <w:t>4.</w:t>
            </w:r>
          </w:p>
        </w:tc>
        <w:tc>
          <w:tcPr>
            <w:tcW w:w="4752" w:type="pct"/>
            <w:gridSpan w:val="2"/>
            <w:tcBorders>
              <w:top w:val="nil"/>
              <w:left w:val="nil"/>
              <w:bottom w:val="nil"/>
              <w:right w:val="nil"/>
            </w:tcBorders>
            <w:vAlign w:val="center"/>
            <w:hideMark/>
          </w:tcPr>
          <w:p w14:paraId="01C1AC6A" w14:textId="77777777" w:rsidR="00AA0416" w:rsidRPr="006940F1" w:rsidRDefault="00AA0416">
            <w:pPr>
              <w:spacing w:after="250"/>
              <w:rPr>
                <w:b/>
                <w:bCs/>
                <w:sz w:val="25"/>
                <w:szCs w:val="25"/>
              </w:rPr>
            </w:pPr>
            <w:r w:rsidRPr="006940F1">
              <w:rPr>
                <w:b/>
                <w:bCs/>
                <w:sz w:val="25"/>
                <w:szCs w:val="25"/>
              </w:rPr>
              <w:t>Záväzky Slovenskej republiky vo vzťahu k Európskej únii:</w:t>
            </w:r>
          </w:p>
        </w:tc>
      </w:tr>
      <w:tr w:rsidR="006940F1" w:rsidRPr="006940F1" w14:paraId="32A53E33" w14:textId="77777777" w:rsidTr="00E24F45">
        <w:trPr>
          <w:divId w:val="1826163160"/>
          <w:jc w:val="center"/>
        </w:trPr>
        <w:tc>
          <w:tcPr>
            <w:tcW w:w="248" w:type="pct"/>
            <w:tcBorders>
              <w:top w:val="nil"/>
              <w:left w:val="nil"/>
              <w:bottom w:val="nil"/>
              <w:right w:val="nil"/>
            </w:tcBorders>
            <w:hideMark/>
          </w:tcPr>
          <w:p w14:paraId="6628C66A" w14:textId="77777777" w:rsidR="00AA0416" w:rsidRPr="006940F1" w:rsidRDefault="00AA0416">
            <w:pPr>
              <w:spacing w:after="250"/>
              <w:rPr>
                <w:b/>
                <w:bCs/>
                <w:sz w:val="25"/>
                <w:szCs w:val="25"/>
              </w:rPr>
            </w:pPr>
          </w:p>
        </w:tc>
        <w:tc>
          <w:tcPr>
            <w:tcW w:w="160" w:type="pct"/>
            <w:tcBorders>
              <w:top w:val="nil"/>
              <w:left w:val="nil"/>
              <w:bottom w:val="nil"/>
              <w:right w:val="nil"/>
            </w:tcBorders>
            <w:hideMark/>
          </w:tcPr>
          <w:p w14:paraId="4550BD3B" w14:textId="77777777" w:rsidR="00AA0416" w:rsidRPr="006940F1" w:rsidRDefault="00AA0416">
            <w:pPr>
              <w:rPr>
                <w:sz w:val="25"/>
                <w:szCs w:val="25"/>
              </w:rPr>
            </w:pPr>
            <w:r w:rsidRPr="006940F1">
              <w:rPr>
                <w:sz w:val="25"/>
                <w:szCs w:val="25"/>
              </w:rPr>
              <w:t>a)</w:t>
            </w:r>
          </w:p>
        </w:tc>
        <w:tc>
          <w:tcPr>
            <w:tcW w:w="4592" w:type="pct"/>
            <w:tcBorders>
              <w:top w:val="nil"/>
              <w:left w:val="nil"/>
              <w:bottom w:val="nil"/>
              <w:right w:val="nil"/>
            </w:tcBorders>
            <w:vAlign w:val="center"/>
            <w:hideMark/>
          </w:tcPr>
          <w:p w14:paraId="4578496A" w14:textId="6DF56B5F" w:rsidR="00AA0416" w:rsidRPr="006940F1" w:rsidRDefault="003D3CC4" w:rsidP="003D3CC4">
            <w:pPr>
              <w:spacing w:after="250"/>
              <w:jc w:val="both"/>
              <w:rPr>
                <w:sz w:val="25"/>
                <w:szCs w:val="25"/>
              </w:rPr>
            </w:pPr>
            <w:r w:rsidRPr="003D3CC4">
              <w:rPr>
                <w:sz w:val="25"/>
                <w:szCs w:val="25"/>
              </w:rPr>
              <w:t>uviesť lehotu na prebranie príslušného právneho aktu Európskej únie, príp. aj osobitnú lehotu účinnosti jeho ustanovení</w:t>
            </w:r>
            <w:r>
              <w:rPr>
                <w:sz w:val="25"/>
                <w:szCs w:val="25"/>
              </w:rPr>
              <w:t>,</w:t>
            </w:r>
          </w:p>
        </w:tc>
      </w:tr>
      <w:tr w:rsidR="006940F1" w:rsidRPr="006940F1" w14:paraId="0FC621DE" w14:textId="77777777" w:rsidTr="00E24F45">
        <w:trPr>
          <w:divId w:val="1826163160"/>
          <w:jc w:val="center"/>
        </w:trPr>
        <w:tc>
          <w:tcPr>
            <w:tcW w:w="248" w:type="pct"/>
            <w:tcBorders>
              <w:top w:val="nil"/>
              <w:left w:val="nil"/>
              <w:bottom w:val="nil"/>
              <w:right w:val="nil"/>
            </w:tcBorders>
            <w:hideMark/>
          </w:tcPr>
          <w:p w14:paraId="08500A70" w14:textId="77777777" w:rsidR="00AA0416" w:rsidRPr="006940F1" w:rsidRDefault="00AA0416">
            <w:pPr>
              <w:spacing w:after="250"/>
              <w:rPr>
                <w:sz w:val="25"/>
                <w:szCs w:val="25"/>
              </w:rPr>
            </w:pPr>
          </w:p>
        </w:tc>
        <w:tc>
          <w:tcPr>
            <w:tcW w:w="160" w:type="pct"/>
            <w:tcBorders>
              <w:top w:val="nil"/>
              <w:left w:val="nil"/>
              <w:bottom w:val="nil"/>
              <w:right w:val="nil"/>
            </w:tcBorders>
            <w:hideMark/>
          </w:tcPr>
          <w:p w14:paraId="01AD3159" w14:textId="77777777" w:rsidR="00AA0416" w:rsidRPr="006940F1" w:rsidRDefault="00AA0416">
            <w:pPr>
              <w:rPr>
                <w:sz w:val="25"/>
                <w:szCs w:val="25"/>
              </w:rPr>
            </w:pPr>
          </w:p>
        </w:tc>
        <w:tc>
          <w:tcPr>
            <w:tcW w:w="4592" w:type="pct"/>
            <w:tcBorders>
              <w:top w:val="nil"/>
              <w:left w:val="nil"/>
              <w:bottom w:val="nil"/>
              <w:right w:val="nil"/>
            </w:tcBorders>
            <w:vAlign w:val="center"/>
            <w:hideMark/>
          </w:tcPr>
          <w:p w14:paraId="042251B9" w14:textId="0F3E44BB" w:rsidR="00AB4BF7" w:rsidRPr="00411068" w:rsidRDefault="00074B32" w:rsidP="00074B32">
            <w:pPr>
              <w:spacing w:after="120"/>
              <w:jc w:val="both"/>
              <w:rPr>
                <w:b/>
                <w:sz w:val="25"/>
                <w:szCs w:val="25"/>
              </w:rPr>
            </w:pPr>
            <w:r w:rsidRPr="00411068">
              <w:rPr>
                <w:b/>
                <w:sz w:val="25"/>
                <w:szCs w:val="25"/>
              </w:rPr>
              <w:t xml:space="preserve">Lehota na prebratie </w:t>
            </w:r>
            <w:r w:rsidR="00AB4BF7" w:rsidRPr="00411068">
              <w:rPr>
                <w:b/>
                <w:sz w:val="25"/>
                <w:szCs w:val="25"/>
              </w:rPr>
              <w:t xml:space="preserve">smernice </w:t>
            </w:r>
            <w:r w:rsidR="00A213A4">
              <w:rPr>
                <w:b/>
                <w:sz w:val="25"/>
                <w:szCs w:val="25"/>
              </w:rPr>
              <w:t>(</w:t>
            </w:r>
            <w:r w:rsidR="00A213A4" w:rsidRPr="00411068">
              <w:rPr>
                <w:b/>
                <w:sz w:val="25"/>
                <w:szCs w:val="25"/>
              </w:rPr>
              <w:t>EÚ</w:t>
            </w:r>
            <w:r w:rsidR="00A213A4">
              <w:rPr>
                <w:b/>
                <w:sz w:val="25"/>
                <w:szCs w:val="25"/>
              </w:rPr>
              <w:t>)</w:t>
            </w:r>
            <w:r w:rsidR="00A213A4" w:rsidRPr="00411068">
              <w:rPr>
                <w:b/>
                <w:sz w:val="25"/>
                <w:szCs w:val="25"/>
              </w:rPr>
              <w:t xml:space="preserve"> </w:t>
            </w:r>
            <w:r w:rsidR="00AB4BF7" w:rsidRPr="00411068">
              <w:rPr>
                <w:b/>
                <w:sz w:val="25"/>
                <w:szCs w:val="25"/>
              </w:rPr>
              <w:t>2015/849</w:t>
            </w:r>
            <w:r w:rsidR="005B0680">
              <w:rPr>
                <w:b/>
                <w:sz w:val="25"/>
                <w:szCs w:val="25"/>
              </w:rPr>
              <w:t>v platnom znení</w:t>
            </w:r>
            <w:r w:rsidR="00AB4BF7" w:rsidRPr="00411068">
              <w:rPr>
                <w:b/>
                <w:sz w:val="25"/>
                <w:szCs w:val="25"/>
              </w:rPr>
              <w:t xml:space="preserve"> uplynula  26. júna 2017.</w:t>
            </w:r>
          </w:p>
          <w:p w14:paraId="6C4AE1D2" w14:textId="111A1BE2" w:rsidR="00AA0416" w:rsidRPr="006940F1" w:rsidRDefault="00411068" w:rsidP="00B468EE">
            <w:pPr>
              <w:spacing w:after="120"/>
              <w:jc w:val="both"/>
              <w:rPr>
                <w:sz w:val="25"/>
                <w:szCs w:val="25"/>
              </w:rPr>
            </w:pPr>
            <w:r>
              <w:rPr>
                <w:b/>
                <w:sz w:val="25"/>
                <w:szCs w:val="25"/>
              </w:rPr>
              <w:t xml:space="preserve">Lehota na prebratie smernice </w:t>
            </w:r>
            <w:r w:rsidRPr="00411068">
              <w:rPr>
                <w:b/>
                <w:sz w:val="25"/>
                <w:szCs w:val="25"/>
              </w:rPr>
              <w:t>(EÚ) 2018/843</w:t>
            </w:r>
            <w:r>
              <w:rPr>
                <w:b/>
                <w:sz w:val="25"/>
                <w:szCs w:val="25"/>
              </w:rPr>
              <w:t xml:space="preserve"> uplynula 10. januára 2020.</w:t>
            </w:r>
          </w:p>
        </w:tc>
      </w:tr>
      <w:tr w:rsidR="006940F1" w:rsidRPr="006940F1" w14:paraId="2B537024" w14:textId="77777777" w:rsidTr="00E24F45">
        <w:trPr>
          <w:divId w:val="1826163160"/>
          <w:jc w:val="center"/>
        </w:trPr>
        <w:tc>
          <w:tcPr>
            <w:tcW w:w="248" w:type="pct"/>
            <w:tcBorders>
              <w:top w:val="nil"/>
              <w:left w:val="nil"/>
              <w:bottom w:val="nil"/>
              <w:right w:val="nil"/>
            </w:tcBorders>
            <w:hideMark/>
          </w:tcPr>
          <w:p w14:paraId="3F0DED55" w14:textId="67CC3EF8" w:rsidR="00AA0416" w:rsidRPr="006940F1" w:rsidRDefault="00AA0416">
            <w:pPr>
              <w:spacing w:after="250"/>
              <w:rPr>
                <w:sz w:val="25"/>
                <w:szCs w:val="25"/>
              </w:rPr>
            </w:pPr>
          </w:p>
        </w:tc>
        <w:tc>
          <w:tcPr>
            <w:tcW w:w="160" w:type="pct"/>
            <w:tcBorders>
              <w:top w:val="nil"/>
              <w:left w:val="nil"/>
              <w:bottom w:val="nil"/>
              <w:right w:val="nil"/>
            </w:tcBorders>
            <w:hideMark/>
          </w:tcPr>
          <w:p w14:paraId="1456ABC0" w14:textId="77777777" w:rsidR="00AA0416" w:rsidRPr="006940F1" w:rsidRDefault="00AA0416">
            <w:pPr>
              <w:rPr>
                <w:sz w:val="25"/>
                <w:szCs w:val="25"/>
              </w:rPr>
            </w:pPr>
            <w:r w:rsidRPr="006940F1">
              <w:rPr>
                <w:sz w:val="25"/>
                <w:szCs w:val="25"/>
              </w:rPr>
              <w:t>b)</w:t>
            </w:r>
          </w:p>
        </w:tc>
        <w:tc>
          <w:tcPr>
            <w:tcW w:w="4592" w:type="pct"/>
            <w:tcBorders>
              <w:top w:val="nil"/>
              <w:left w:val="nil"/>
              <w:bottom w:val="nil"/>
              <w:right w:val="nil"/>
            </w:tcBorders>
            <w:vAlign w:val="center"/>
            <w:hideMark/>
          </w:tcPr>
          <w:p w14:paraId="5C079E5E" w14:textId="7C8F7D41" w:rsidR="00AA0416" w:rsidRPr="006940F1" w:rsidRDefault="00E62A9E" w:rsidP="00FB04E9">
            <w:pPr>
              <w:spacing w:after="240"/>
              <w:jc w:val="both"/>
              <w:rPr>
                <w:sz w:val="25"/>
                <w:szCs w:val="25"/>
              </w:rPr>
            </w:pPr>
            <w:r w:rsidRPr="006940F1">
              <w:rPr>
                <w:sz w:val="25"/>
                <w:szCs w:val="25"/>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w:t>
            </w:r>
            <w:r w:rsidRPr="006940F1">
              <w:rPr>
                <w:b/>
                <w:sz w:val="25"/>
                <w:szCs w:val="25"/>
              </w:rPr>
              <w:t>n</w:t>
            </w:r>
            <w:r w:rsidRPr="006940F1">
              <w:rPr>
                <w:b/>
                <w:bCs/>
                <w:sz w:val="25"/>
                <w:szCs w:val="25"/>
              </w:rPr>
              <w:t xml:space="preserve">ariadenie Európskeho parlamentu a Rady (ES) č. 1049/2001 z 30. mája 2001 o prístupe verejnosti k dokumentom Európskeho </w:t>
            </w:r>
            <w:r w:rsidRPr="006940F1">
              <w:rPr>
                <w:b/>
                <w:bCs/>
                <w:sz w:val="25"/>
                <w:szCs w:val="25"/>
              </w:rPr>
              <w:lastRenderedPageBreak/>
              <w:t>parlamentu, Rady a Komisie</w:t>
            </w:r>
            <w:r w:rsidRPr="006940F1">
              <w:rPr>
                <w:sz w:val="25"/>
                <w:szCs w:val="25"/>
              </w:rPr>
              <w:t>,</w:t>
            </w:r>
            <w:r w:rsidR="00AA0416" w:rsidRPr="006940F1">
              <w:rPr>
                <w:sz w:val="25"/>
                <w:szCs w:val="25"/>
              </w:rPr>
              <w:t xml:space="preserve"> </w:t>
            </w:r>
          </w:p>
        </w:tc>
      </w:tr>
      <w:tr w:rsidR="006940F1" w:rsidRPr="006940F1" w14:paraId="065BE908" w14:textId="77777777" w:rsidTr="00E24F45">
        <w:trPr>
          <w:divId w:val="1826163160"/>
          <w:trHeight w:val="151"/>
          <w:jc w:val="center"/>
        </w:trPr>
        <w:tc>
          <w:tcPr>
            <w:tcW w:w="248" w:type="pct"/>
            <w:tcBorders>
              <w:top w:val="nil"/>
              <w:left w:val="nil"/>
              <w:bottom w:val="nil"/>
              <w:right w:val="nil"/>
            </w:tcBorders>
            <w:hideMark/>
          </w:tcPr>
          <w:p w14:paraId="3B01CF73" w14:textId="77777777" w:rsidR="00AA0416" w:rsidRPr="006940F1" w:rsidRDefault="00AA0416">
            <w:pPr>
              <w:spacing w:after="250"/>
              <w:rPr>
                <w:sz w:val="25"/>
                <w:szCs w:val="25"/>
              </w:rPr>
            </w:pPr>
          </w:p>
        </w:tc>
        <w:tc>
          <w:tcPr>
            <w:tcW w:w="160" w:type="pct"/>
            <w:tcBorders>
              <w:top w:val="nil"/>
              <w:left w:val="nil"/>
              <w:bottom w:val="nil"/>
              <w:right w:val="nil"/>
            </w:tcBorders>
            <w:hideMark/>
          </w:tcPr>
          <w:p w14:paraId="4F80355C" w14:textId="77777777" w:rsidR="00AA0416" w:rsidRPr="006940F1" w:rsidRDefault="00AA0416">
            <w:pPr>
              <w:rPr>
                <w:sz w:val="25"/>
                <w:szCs w:val="25"/>
              </w:rPr>
            </w:pPr>
          </w:p>
        </w:tc>
        <w:tc>
          <w:tcPr>
            <w:tcW w:w="4592" w:type="pct"/>
            <w:tcBorders>
              <w:top w:val="nil"/>
              <w:left w:val="nil"/>
              <w:bottom w:val="nil"/>
              <w:right w:val="nil"/>
            </w:tcBorders>
            <w:vAlign w:val="center"/>
            <w:hideMark/>
          </w:tcPr>
          <w:p w14:paraId="32A2A8E3" w14:textId="603015E1" w:rsidR="005C0CB5" w:rsidRDefault="00AA0416" w:rsidP="00FB04E9">
            <w:pPr>
              <w:spacing w:after="120"/>
              <w:jc w:val="both"/>
              <w:rPr>
                <w:sz w:val="25"/>
                <w:szCs w:val="25"/>
              </w:rPr>
            </w:pPr>
            <w:r w:rsidRPr="006940F1">
              <w:rPr>
                <w:sz w:val="25"/>
                <w:szCs w:val="25"/>
              </w:rPr>
              <w:t>Proti Sloven</w:t>
            </w:r>
            <w:r w:rsidR="00861B59">
              <w:rPr>
                <w:sz w:val="25"/>
                <w:szCs w:val="25"/>
              </w:rPr>
              <w:t xml:space="preserve">skej republike </w:t>
            </w:r>
            <w:r w:rsidRPr="006940F1">
              <w:rPr>
                <w:sz w:val="25"/>
                <w:szCs w:val="25"/>
              </w:rPr>
              <w:t xml:space="preserve">bolo začaté </w:t>
            </w:r>
            <w:r w:rsidR="00A17227">
              <w:rPr>
                <w:sz w:val="25"/>
                <w:szCs w:val="25"/>
              </w:rPr>
              <w:t xml:space="preserve">23. 2. 2022 </w:t>
            </w:r>
            <w:r w:rsidRPr="006940F1">
              <w:rPr>
                <w:sz w:val="25"/>
                <w:szCs w:val="25"/>
              </w:rPr>
              <w:t>konanie v rámci „EÚ Pilot“</w:t>
            </w:r>
            <w:r w:rsidR="00A17227">
              <w:rPr>
                <w:sz w:val="25"/>
                <w:szCs w:val="25"/>
              </w:rPr>
              <w:t xml:space="preserve"> : prípad č. EUP(2022)10131 pre možné porušenie článku 30 a článku 31 smernice (EÚ) 2015/849 zmenenej smernicou (EÚ) 2018/843</w:t>
            </w:r>
            <w:r w:rsidR="00FB04E9">
              <w:rPr>
                <w:sz w:val="25"/>
                <w:szCs w:val="25"/>
              </w:rPr>
              <w:t>.</w:t>
            </w:r>
            <w:r w:rsidRPr="006940F1">
              <w:rPr>
                <w:sz w:val="25"/>
                <w:szCs w:val="25"/>
              </w:rPr>
              <w:t xml:space="preserve"> </w:t>
            </w:r>
            <w:r w:rsidR="005C0CB5">
              <w:rPr>
                <w:sz w:val="25"/>
                <w:szCs w:val="25"/>
              </w:rPr>
              <w:t>Návrh zákona nereflektuje na predmet konania.</w:t>
            </w:r>
            <w:r w:rsidR="002B519D">
              <w:rPr>
                <w:sz w:val="25"/>
                <w:szCs w:val="25"/>
              </w:rPr>
              <w:t xml:space="preserve"> Aktuálne neboli identifikované žiadne nedostatky v pôsobnosti Štatistického úradu Slovenskej republiky, ktoré by mali byť odstránené legislatívnym opatrením.</w:t>
            </w:r>
          </w:p>
          <w:p w14:paraId="4D020044" w14:textId="36D3A4CB" w:rsidR="007A70D8" w:rsidRDefault="007A70D8" w:rsidP="007A70D8">
            <w:pPr>
              <w:spacing w:after="240"/>
              <w:jc w:val="both"/>
              <w:rPr>
                <w:rFonts w:ascii="Times" w:hAnsi="Times" w:cs="Times"/>
                <w:sz w:val="25"/>
                <w:szCs w:val="25"/>
              </w:rPr>
            </w:pPr>
            <w:r>
              <w:rPr>
                <w:rFonts w:ascii="Times" w:hAnsi="Times" w:cs="Times"/>
                <w:sz w:val="25"/>
                <w:szCs w:val="25"/>
              </w:rPr>
              <w:t>Proti Slovenskej republike bol začatý postup</w:t>
            </w:r>
            <w:r w:rsidRPr="006940F1">
              <w:rPr>
                <w:sz w:val="25"/>
                <w:szCs w:val="25"/>
              </w:rPr>
              <w:t xml:space="preserve"> Európskej komisie</w:t>
            </w:r>
            <w:r>
              <w:rPr>
                <w:rFonts w:ascii="Times" w:hAnsi="Times" w:cs="Times"/>
                <w:sz w:val="25"/>
                <w:szCs w:val="25"/>
              </w:rPr>
              <w:t xml:space="preserve"> o porušení č.</w:t>
            </w:r>
            <w:r w:rsidR="002B519D">
              <w:rPr>
                <w:rFonts w:ascii="Times" w:hAnsi="Times" w:cs="Times"/>
                <w:sz w:val="25"/>
                <w:szCs w:val="25"/>
              </w:rPr>
              <w:t> </w:t>
            </w:r>
            <w:r>
              <w:rPr>
                <w:rFonts w:ascii="Times" w:hAnsi="Times" w:cs="Times"/>
                <w:sz w:val="25"/>
                <w:szCs w:val="25"/>
              </w:rPr>
              <w:t xml:space="preserve"> (2020)2227 z dôvodu nesprávnej transpozície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a konanie o porušení č. (2020)2018 z dôvodu neoznámenia transpozičných opatrení k smernici Európskeho parlamentu a Rady (EÚ) 2018/843 z 30. mája 2018, ktorou sa mení smernica (EÚ) 2015/849 o predchádzaní využívaniu finančného systému na účely prania špinavých peňazí alebo financovania terorizmu a smernice 2009/138/ES a 2013/36/EÚ (Ú. v. L 156, 19.6.2018).</w:t>
            </w:r>
          </w:p>
          <w:p w14:paraId="12AC6004" w14:textId="551B8516" w:rsidR="00B468EE" w:rsidRPr="005C0CB5" w:rsidRDefault="001A3E10" w:rsidP="005C0CB5">
            <w:pPr>
              <w:pStyle w:val="Odsekzoznamu"/>
              <w:numPr>
                <w:ilvl w:val="0"/>
                <w:numId w:val="9"/>
              </w:numPr>
              <w:spacing w:after="240"/>
              <w:ind w:left="360"/>
              <w:jc w:val="both"/>
              <w:rPr>
                <w:rFonts w:ascii="Times" w:hAnsi="Times" w:cs="Times"/>
                <w:sz w:val="25"/>
                <w:szCs w:val="25"/>
              </w:rPr>
            </w:pPr>
            <w:r w:rsidRPr="005C0CB5">
              <w:rPr>
                <w:rFonts w:ascii="Times" w:hAnsi="Times" w:cs="Times"/>
                <w:sz w:val="25"/>
                <w:szCs w:val="25"/>
              </w:rPr>
              <w:t>Konanie o porušení zmlúv č. 2020/2227</w:t>
            </w:r>
            <w:r w:rsidR="00E24F45" w:rsidRPr="005C0CB5">
              <w:rPr>
                <w:rFonts w:ascii="Times" w:hAnsi="Times" w:cs="Times"/>
                <w:sz w:val="25"/>
                <w:szCs w:val="25"/>
              </w:rPr>
              <w:t xml:space="preserve"> v štádiu odôvodneného stanoviska C(2022)1663 final zo dňa 6. apríla 2022 pre nesprávnu transpozíciu čl. 15 ods. 3, čl. 32 ods. 3, čl. 39 ods. 4, čl.  45 ods. 5 a 8, čl. 47 ods. 2 a 3, čl.  48 ods. 5 a 7, čl. 56, čl. 58 ods. 3 a čl. 60 ods. 1 </w:t>
            </w:r>
            <w:r w:rsidR="00E359AE" w:rsidRPr="005C0CB5">
              <w:rPr>
                <w:rFonts w:ascii="Times" w:hAnsi="Times" w:cs="Times"/>
                <w:sz w:val="25"/>
                <w:szCs w:val="25"/>
              </w:rPr>
              <w:t xml:space="preserve">prvý pododsek </w:t>
            </w:r>
            <w:r w:rsidR="00E24F45" w:rsidRPr="005C0CB5">
              <w:rPr>
                <w:rFonts w:ascii="Times" w:hAnsi="Times" w:cs="Times"/>
                <w:sz w:val="25"/>
                <w:szCs w:val="25"/>
              </w:rPr>
              <w:t xml:space="preserve">smernice (EÚ) 2015/849 v platnom znení. </w:t>
            </w:r>
          </w:p>
          <w:p w14:paraId="6F29EA38" w14:textId="1759F9C3" w:rsidR="001A3E10" w:rsidRDefault="005C0CB5" w:rsidP="002B519D">
            <w:pPr>
              <w:spacing w:after="240"/>
              <w:ind w:left="369" w:hanging="369"/>
              <w:jc w:val="both"/>
              <w:rPr>
                <w:rFonts w:ascii="Times" w:hAnsi="Times" w:cs="Times"/>
                <w:sz w:val="25"/>
                <w:szCs w:val="25"/>
              </w:rPr>
            </w:pPr>
            <w:r>
              <w:rPr>
                <w:rFonts w:ascii="Times" w:hAnsi="Times" w:cs="Times"/>
                <w:sz w:val="25"/>
                <w:szCs w:val="25"/>
              </w:rPr>
              <w:t xml:space="preserve">      </w:t>
            </w:r>
            <w:r w:rsidR="00B468EE">
              <w:rPr>
                <w:rFonts w:ascii="Times" w:hAnsi="Times" w:cs="Times"/>
                <w:sz w:val="25"/>
                <w:szCs w:val="25"/>
              </w:rPr>
              <w:t xml:space="preserve">Návrh zákona nemá vzťah k predmetu konania. </w:t>
            </w:r>
            <w:r w:rsidR="002B519D">
              <w:rPr>
                <w:rFonts w:ascii="Times" w:hAnsi="Times" w:cs="Times"/>
                <w:sz w:val="25"/>
                <w:szCs w:val="25"/>
              </w:rPr>
              <w:t xml:space="preserve">Transpozícia citovaných ustanovení smernice </w:t>
            </w:r>
            <w:r w:rsidR="002B519D" w:rsidRPr="005C0CB5">
              <w:rPr>
                <w:rFonts w:ascii="Times" w:hAnsi="Times" w:cs="Times"/>
                <w:sz w:val="25"/>
                <w:szCs w:val="25"/>
              </w:rPr>
              <w:t>(EÚ) 2015/849 v platnom znení</w:t>
            </w:r>
            <w:r w:rsidR="002B519D">
              <w:rPr>
                <w:rFonts w:ascii="Times" w:hAnsi="Times" w:cs="Times"/>
                <w:sz w:val="25"/>
                <w:szCs w:val="25"/>
              </w:rPr>
              <w:t xml:space="preserve"> sa nevykonáva zákonom č. 272/2015 Z. z. z dôvodu jeho predmetu.</w:t>
            </w:r>
          </w:p>
          <w:p w14:paraId="6D8885F4" w14:textId="6EFE106B" w:rsidR="00B468EE" w:rsidRDefault="00E24F45" w:rsidP="005C0CB5">
            <w:pPr>
              <w:pStyle w:val="Odsekzoznamu"/>
              <w:numPr>
                <w:ilvl w:val="0"/>
                <w:numId w:val="9"/>
              </w:numPr>
              <w:spacing w:after="240"/>
              <w:ind w:left="360"/>
              <w:jc w:val="both"/>
              <w:rPr>
                <w:rFonts w:ascii="Times" w:hAnsi="Times" w:cs="Times"/>
                <w:sz w:val="25"/>
                <w:szCs w:val="25"/>
              </w:rPr>
            </w:pPr>
            <w:r>
              <w:rPr>
                <w:rFonts w:ascii="Times" w:hAnsi="Times" w:cs="Times"/>
                <w:sz w:val="25"/>
                <w:szCs w:val="25"/>
              </w:rPr>
              <w:t xml:space="preserve">Konanie v štádiu odôvodneného stanoviska </w:t>
            </w:r>
            <w:r w:rsidR="00E359AE">
              <w:rPr>
                <w:rFonts w:ascii="Times" w:hAnsi="Times" w:cs="Times"/>
                <w:sz w:val="25"/>
                <w:szCs w:val="25"/>
              </w:rPr>
              <w:t xml:space="preserve">INFR(2020)2018  zo dňa 12. februára 2020 </w:t>
            </w:r>
            <w:r>
              <w:rPr>
                <w:rFonts w:ascii="Times" w:hAnsi="Times" w:cs="Times"/>
                <w:sz w:val="25"/>
                <w:szCs w:val="25"/>
              </w:rPr>
              <w:t xml:space="preserve">k smernici </w:t>
            </w:r>
            <w:r w:rsidR="00E359AE">
              <w:rPr>
                <w:rFonts w:ascii="Times" w:hAnsi="Times" w:cs="Times"/>
                <w:sz w:val="25"/>
                <w:szCs w:val="25"/>
              </w:rPr>
              <w:t xml:space="preserve">(EÚ) </w:t>
            </w:r>
            <w:r>
              <w:rPr>
                <w:rFonts w:ascii="Times" w:hAnsi="Times" w:cs="Times"/>
                <w:sz w:val="25"/>
                <w:szCs w:val="25"/>
              </w:rPr>
              <w:t>2018/843</w:t>
            </w:r>
            <w:r w:rsidR="00E359AE">
              <w:rPr>
                <w:rFonts w:ascii="Times" w:hAnsi="Times" w:cs="Times"/>
                <w:sz w:val="25"/>
                <w:szCs w:val="25"/>
              </w:rPr>
              <w:t xml:space="preserve"> pre neoznámenie jej transpozičných opatrení. </w:t>
            </w:r>
          </w:p>
          <w:p w14:paraId="048BE850" w14:textId="054F4C18" w:rsidR="001A3E10" w:rsidRPr="006940F1" w:rsidRDefault="005C0CB5" w:rsidP="00483176">
            <w:pPr>
              <w:spacing w:after="240"/>
              <w:jc w:val="both"/>
              <w:rPr>
                <w:sz w:val="25"/>
                <w:szCs w:val="25"/>
              </w:rPr>
            </w:pPr>
            <w:r>
              <w:rPr>
                <w:rFonts w:ascii="Times" w:hAnsi="Times" w:cs="Times"/>
                <w:sz w:val="25"/>
                <w:szCs w:val="25"/>
              </w:rPr>
              <w:t xml:space="preserve">      </w:t>
            </w:r>
            <w:r w:rsidR="00B468EE">
              <w:rPr>
                <w:rFonts w:ascii="Times" w:hAnsi="Times" w:cs="Times"/>
                <w:sz w:val="25"/>
                <w:szCs w:val="25"/>
              </w:rPr>
              <w:t>Návrh zákona nemá vzťah k predmetu konania.</w:t>
            </w:r>
          </w:p>
        </w:tc>
      </w:tr>
      <w:tr w:rsidR="006940F1" w:rsidRPr="006940F1" w14:paraId="3C9B97FB" w14:textId="77777777" w:rsidTr="00E24F45">
        <w:trPr>
          <w:divId w:val="1826163160"/>
          <w:jc w:val="center"/>
        </w:trPr>
        <w:tc>
          <w:tcPr>
            <w:tcW w:w="248" w:type="pct"/>
            <w:tcBorders>
              <w:top w:val="nil"/>
              <w:left w:val="nil"/>
              <w:bottom w:val="nil"/>
              <w:right w:val="nil"/>
            </w:tcBorders>
            <w:hideMark/>
          </w:tcPr>
          <w:p w14:paraId="0F079294" w14:textId="77777777" w:rsidR="00AA0416" w:rsidRPr="006940F1" w:rsidRDefault="00AA0416">
            <w:pPr>
              <w:spacing w:after="250"/>
              <w:rPr>
                <w:sz w:val="25"/>
                <w:szCs w:val="25"/>
              </w:rPr>
            </w:pPr>
          </w:p>
        </w:tc>
        <w:tc>
          <w:tcPr>
            <w:tcW w:w="160" w:type="pct"/>
            <w:tcBorders>
              <w:top w:val="nil"/>
              <w:left w:val="nil"/>
              <w:bottom w:val="nil"/>
              <w:right w:val="nil"/>
            </w:tcBorders>
            <w:hideMark/>
          </w:tcPr>
          <w:p w14:paraId="308EF3DC" w14:textId="77777777" w:rsidR="00AA0416" w:rsidRPr="006940F1" w:rsidRDefault="00AA0416">
            <w:pPr>
              <w:rPr>
                <w:sz w:val="25"/>
                <w:szCs w:val="25"/>
              </w:rPr>
            </w:pPr>
            <w:r w:rsidRPr="006940F1">
              <w:rPr>
                <w:sz w:val="25"/>
                <w:szCs w:val="25"/>
              </w:rPr>
              <w:t>c)</w:t>
            </w:r>
          </w:p>
        </w:tc>
        <w:tc>
          <w:tcPr>
            <w:tcW w:w="4592" w:type="pct"/>
            <w:tcBorders>
              <w:top w:val="nil"/>
              <w:left w:val="nil"/>
              <w:bottom w:val="nil"/>
              <w:right w:val="nil"/>
            </w:tcBorders>
            <w:vAlign w:val="center"/>
            <w:hideMark/>
          </w:tcPr>
          <w:p w14:paraId="772E0C52" w14:textId="1883D868" w:rsidR="00AA0416" w:rsidRPr="006940F1" w:rsidRDefault="003D3CC4" w:rsidP="003D3CC4">
            <w:pPr>
              <w:spacing w:after="240"/>
              <w:jc w:val="both"/>
              <w:rPr>
                <w:sz w:val="25"/>
                <w:szCs w:val="25"/>
              </w:rPr>
            </w:pPr>
            <w:r w:rsidRPr="003D3CC4">
              <w:rPr>
                <w:sz w:val="25"/>
                <w:szCs w:val="25"/>
              </w:rPr>
              <w:t>uviesť informáciu o právnych predpisoch, v ktorých sú uvádzané právne akty Európskej únie už prebrané, spolu s uvedením rozsahu ich prebrania, príp. potreby</w:t>
            </w:r>
            <w:r>
              <w:rPr>
                <w:sz w:val="25"/>
                <w:szCs w:val="25"/>
              </w:rPr>
              <w:t xml:space="preserve"> </w:t>
            </w:r>
            <w:r w:rsidRPr="003D3CC4">
              <w:rPr>
                <w:sz w:val="25"/>
                <w:szCs w:val="25"/>
              </w:rPr>
              <w:t>prijatia ďalších úprav.</w:t>
            </w:r>
          </w:p>
        </w:tc>
      </w:tr>
      <w:tr w:rsidR="006940F1" w:rsidRPr="006940F1" w14:paraId="7272B30F" w14:textId="77777777" w:rsidTr="00E24F45">
        <w:trPr>
          <w:divId w:val="1826163160"/>
          <w:jc w:val="center"/>
        </w:trPr>
        <w:tc>
          <w:tcPr>
            <w:tcW w:w="248" w:type="pct"/>
            <w:tcBorders>
              <w:top w:val="nil"/>
              <w:left w:val="nil"/>
              <w:bottom w:val="nil"/>
              <w:right w:val="nil"/>
            </w:tcBorders>
            <w:hideMark/>
          </w:tcPr>
          <w:p w14:paraId="38224B21" w14:textId="77777777" w:rsidR="00AA0416" w:rsidRPr="006940F1" w:rsidRDefault="00AA0416">
            <w:pPr>
              <w:spacing w:after="250"/>
              <w:rPr>
                <w:sz w:val="25"/>
                <w:szCs w:val="25"/>
              </w:rPr>
            </w:pPr>
          </w:p>
        </w:tc>
        <w:tc>
          <w:tcPr>
            <w:tcW w:w="160" w:type="pct"/>
            <w:tcBorders>
              <w:top w:val="nil"/>
              <w:left w:val="nil"/>
              <w:bottom w:val="nil"/>
              <w:right w:val="nil"/>
            </w:tcBorders>
            <w:hideMark/>
          </w:tcPr>
          <w:p w14:paraId="16A90DC1" w14:textId="77777777" w:rsidR="00AA0416" w:rsidRPr="006940F1" w:rsidRDefault="00AA0416">
            <w:pPr>
              <w:rPr>
                <w:sz w:val="25"/>
                <w:szCs w:val="25"/>
              </w:rPr>
            </w:pPr>
          </w:p>
        </w:tc>
        <w:tc>
          <w:tcPr>
            <w:tcW w:w="4592" w:type="pct"/>
            <w:tcBorders>
              <w:top w:val="nil"/>
              <w:left w:val="nil"/>
              <w:bottom w:val="nil"/>
              <w:right w:val="nil"/>
            </w:tcBorders>
            <w:vAlign w:val="center"/>
            <w:hideMark/>
          </w:tcPr>
          <w:p w14:paraId="1FB8BCCB" w14:textId="19436D3A" w:rsidR="00074B32" w:rsidRPr="002B08E9" w:rsidRDefault="00A863D6" w:rsidP="00FB04E9">
            <w:pPr>
              <w:spacing w:after="120"/>
              <w:jc w:val="both"/>
              <w:rPr>
                <w:sz w:val="25"/>
                <w:szCs w:val="25"/>
              </w:rPr>
            </w:pPr>
            <w:r w:rsidRPr="00FB04E9">
              <w:rPr>
                <w:b/>
                <w:sz w:val="25"/>
                <w:szCs w:val="25"/>
              </w:rPr>
              <w:t xml:space="preserve">1. </w:t>
            </w:r>
            <w:r w:rsidR="00074B32" w:rsidRPr="00FB04E9">
              <w:rPr>
                <w:b/>
                <w:sz w:val="25"/>
                <w:szCs w:val="25"/>
              </w:rPr>
              <w:t>Vo vzťahu k</w:t>
            </w:r>
            <w:r w:rsidR="002B08E9" w:rsidRPr="00FB04E9">
              <w:rPr>
                <w:b/>
                <w:sz w:val="25"/>
                <w:szCs w:val="25"/>
              </w:rPr>
              <w:t xml:space="preserve"> poskytovaniu údajov do </w:t>
            </w:r>
            <w:r w:rsidRPr="00FB04E9">
              <w:rPr>
                <w:b/>
                <w:sz w:val="25"/>
                <w:szCs w:val="25"/>
              </w:rPr>
              <w:t>registra právnických osôb, podnikateľov a orgánov verejnej moci</w:t>
            </w:r>
            <w:r>
              <w:rPr>
                <w:sz w:val="25"/>
                <w:szCs w:val="25"/>
              </w:rPr>
              <w:t xml:space="preserve"> ako </w:t>
            </w:r>
            <w:r w:rsidR="00861B59" w:rsidRPr="002B08E9">
              <w:rPr>
                <w:sz w:val="25"/>
                <w:szCs w:val="25"/>
              </w:rPr>
              <w:t>centrálneho registra konečných užívateľoch výhod</w:t>
            </w:r>
            <w:r w:rsidR="00074B32" w:rsidRPr="002B08E9">
              <w:rPr>
                <w:sz w:val="25"/>
                <w:szCs w:val="25"/>
              </w:rPr>
              <w:t>:</w:t>
            </w:r>
          </w:p>
          <w:p w14:paraId="281BD934" w14:textId="756F8648" w:rsidR="002B08E9" w:rsidRPr="002B08E9" w:rsidRDefault="002B08E9" w:rsidP="00FB04E9">
            <w:pPr>
              <w:spacing w:after="120"/>
              <w:jc w:val="both"/>
              <w:rPr>
                <w:sz w:val="25"/>
                <w:szCs w:val="25"/>
              </w:rPr>
            </w:pPr>
            <w:r>
              <w:rPr>
                <w:sz w:val="25"/>
                <w:szCs w:val="25"/>
              </w:rPr>
              <w:t>Z</w:t>
            </w:r>
            <w:r w:rsidRPr="002B08E9">
              <w:rPr>
                <w:sz w:val="25"/>
                <w:szCs w:val="25"/>
              </w:rPr>
              <w:t>ákon č. 455/1991 Zb. o živnostenskom podnikaní v znení neskorších predpisov</w:t>
            </w:r>
            <w:r w:rsidR="00394AE0">
              <w:rPr>
                <w:sz w:val="25"/>
                <w:szCs w:val="25"/>
              </w:rPr>
              <w:t>.</w:t>
            </w:r>
          </w:p>
          <w:p w14:paraId="4CB10C96" w14:textId="37F74CD4" w:rsidR="002B08E9" w:rsidRPr="002B08E9" w:rsidRDefault="002B08E9" w:rsidP="00FB04E9">
            <w:pPr>
              <w:spacing w:after="120"/>
              <w:jc w:val="both"/>
              <w:rPr>
                <w:sz w:val="25"/>
                <w:szCs w:val="25"/>
              </w:rPr>
            </w:pPr>
            <w:r w:rsidRPr="002B08E9">
              <w:rPr>
                <w:sz w:val="25"/>
                <w:szCs w:val="25"/>
                <w:shd w:val="clear" w:color="auto" w:fill="FFFFFF"/>
              </w:rPr>
              <w:t>Zákon Slovenskej národnej rady č. </w:t>
            </w:r>
            <w:r w:rsidRPr="002B08E9">
              <w:rPr>
                <w:iCs/>
                <w:sz w:val="25"/>
                <w:szCs w:val="25"/>
                <w:shd w:val="clear" w:color="auto" w:fill="FFFFFF"/>
              </w:rPr>
              <w:t>323/1992 Zb.</w:t>
            </w:r>
            <w:r w:rsidRPr="002B08E9">
              <w:rPr>
                <w:sz w:val="25"/>
                <w:szCs w:val="25"/>
                <w:shd w:val="clear" w:color="auto" w:fill="FFFFFF"/>
              </w:rPr>
              <w:t> o notároch a notárskej činnosti (Notársky poriadok) v znení neskorších predpisov</w:t>
            </w:r>
            <w:r w:rsidR="00394AE0">
              <w:rPr>
                <w:sz w:val="25"/>
                <w:szCs w:val="25"/>
                <w:shd w:val="clear" w:color="auto" w:fill="FFFFFF"/>
              </w:rPr>
              <w:t>.</w:t>
            </w:r>
          </w:p>
          <w:p w14:paraId="5AB38878" w14:textId="21BD6880" w:rsidR="00056B62" w:rsidRPr="002B08E9" w:rsidRDefault="00056B62" w:rsidP="00FB04E9">
            <w:pPr>
              <w:spacing w:after="120"/>
              <w:jc w:val="both"/>
              <w:rPr>
                <w:sz w:val="25"/>
                <w:szCs w:val="25"/>
              </w:rPr>
            </w:pPr>
            <w:r w:rsidRPr="002B08E9">
              <w:rPr>
                <w:sz w:val="25"/>
                <w:szCs w:val="25"/>
                <w:shd w:val="clear" w:color="auto" w:fill="FFFFFF"/>
              </w:rPr>
              <w:t>Zákon č. </w:t>
            </w:r>
            <w:r w:rsidRPr="002B08E9">
              <w:rPr>
                <w:iCs/>
                <w:sz w:val="25"/>
                <w:szCs w:val="25"/>
                <w:shd w:val="clear" w:color="auto" w:fill="FFFFFF"/>
              </w:rPr>
              <w:t>530/2003</w:t>
            </w:r>
            <w:r w:rsidRPr="002B08E9">
              <w:rPr>
                <w:sz w:val="25"/>
                <w:szCs w:val="25"/>
                <w:shd w:val="clear" w:color="auto" w:fill="FFFFFF"/>
              </w:rPr>
              <w:t> Z. z. o obchodnom registri a o zmene a doplnení niektorých zákonov v znení </w:t>
            </w:r>
            <w:r w:rsidR="00394AE0">
              <w:rPr>
                <w:sz w:val="25"/>
                <w:szCs w:val="25"/>
                <w:shd w:val="clear" w:color="auto" w:fill="FFFFFF"/>
              </w:rPr>
              <w:t>neskorších predpisov.</w:t>
            </w:r>
          </w:p>
          <w:p w14:paraId="0D9CB729" w14:textId="5E5A9480" w:rsidR="002B08E9" w:rsidRPr="002B08E9" w:rsidRDefault="002B08E9" w:rsidP="00FB04E9">
            <w:pPr>
              <w:spacing w:after="120"/>
              <w:jc w:val="both"/>
              <w:rPr>
                <w:sz w:val="25"/>
                <w:szCs w:val="25"/>
              </w:rPr>
            </w:pPr>
            <w:r w:rsidRPr="002B08E9">
              <w:rPr>
                <w:sz w:val="25"/>
                <w:szCs w:val="25"/>
              </w:rPr>
              <w:lastRenderedPageBreak/>
              <w:t>Zákon č. 297/2008 Z. z. o ochrane pred legalizáciou príjmov z trestnej činnosti a</w:t>
            </w:r>
            <w:r w:rsidR="00180427">
              <w:rPr>
                <w:sz w:val="25"/>
                <w:szCs w:val="25"/>
              </w:rPr>
              <w:t> </w:t>
            </w:r>
            <w:r w:rsidRPr="002B08E9">
              <w:rPr>
                <w:sz w:val="25"/>
                <w:szCs w:val="25"/>
              </w:rPr>
              <w:t>o ochrane pred financovaním terorizmu a o zmene a doplnení niektorých zákonov v znení neskorších predpisov.</w:t>
            </w:r>
          </w:p>
          <w:p w14:paraId="1F70F704" w14:textId="653A74B2" w:rsidR="00A17227" w:rsidRPr="002B08E9" w:rsidRDefault="002B08E9" w:rsidP="00FB04E9">
            <w:pPr>
              <w:spacing w:after="120"/>
              <w:jc w:val="both"/>
              <w:rPr>
                <w:sz w:val="25"/>
                <w:szCs w:val="25"/>
              </w:rPr>
            </w:pPr>
            <w:r w:rsidRPr="002B08E9">
              <w:rPr>
                <w:sz w:val="25"/>
                <w:szCs w:val="25"/>
                <w:shd w:val="clear" w:color="auto" w:fill="FFFFFF"/>
              </w:rPr>
              <w:t>Zákon</w:t>
            </w:r>
            <w:r w:rsidR="00A17227" w:rsidRPr="002B08E9">
              <w:rPr>
                <w:sz w:val="25"/>
                <w:szCs w:val="25"/>
              </w:rPr>
              <w:t xml:space="preserve"> č. 492/2009 Z. z. o platobných službách a o zmene a doplnení niektorých zákonov v znení neskorších predpisov</w:t>
            </w:r>
            <w:r w:rsidR="00394AE0">
              <w:rPr>
                <w:sz w:val="25"/>
                <w:szCs w:val="25"/>
              </w:rPr>
              <w:t>.</w:t>
            </w:r>
          </w:p>
          <w:p w14:paraId="55AA5B1E" w14:textId="082ADC45" w:rsidR="00A17227" w:rsidRPr="002B08E9" w:rsidRDefault="002B08E9" w:rsidP="00FB04E9">
            <w:pPr>
              <w:spacing w:after="120"/>
              <w:jc w:val="both"/>
              <w:rPr>
                <w:sz w:val="25"/>
                <w:szCs w:val="25"/>
              </w:rPr>
            </w:pPr>
            <w:r w:rsidRPr="002B08E9">
              <w:rPr>
                <w:sz w:val="25"/>
                <w:szCs w:val="25"/>
                <w:shd w:val="clear" w:color="auto" w:fill="FFFFFF"/>
              </w:rPr>
              <w:t>Zákon</w:t>
            </w:r>
            <w:r w:rsidR="00A17227" w:rsidRPr="002B08E9">
              <w:rPr>
                <w:sz w:val="25"/>
                <w:szCs w:val="25"/>
              </w:rPr>
              <w:t xml:space="preserve"> č. 18/2018 Z. z. o ochrane osobných údajov a o zmene a doplnení niektorých zákonov v znení neskorších predpisov</w:t>
            </w:r>
            <w:r w:rsidR="00394AE0">
              <w:rPr>
                <w:sz w:val="25"/>
                <w:szCs w:val="25"/>
              </w:rPr>
              <w:t>.</w:t>
            </w:r>
          </w:p>
          <w:p w14:paraId="7C288F17" w14:textId="429135E5" w:rsidR="00A17227" w:rsidRDefault="002B08E9" w:rsidP="00FB04E9">
            <w:pPr>
              <w:spacing w:after="120"/>
              <w:jc w:val="both"/>
              <w:rPr>
                <w:sz w:val="25"/>
                <w:szCs w:val="25"/>
              </w:rPr>
            </w:pPr>
            <w:r>
              <w:rPr>
                <w:sz w:val="25"/>
                <w:szCs w:val="25"/>
              </w:rPr>
              <w:t>Z</w:t>
            </w:r>
            <w:r w:rsidR="00A17227" w:rsidRPr="002B08E9">
              <w:rPr>
                <w:sz w:val="25"/>
                <w:szCs w:val="25"/>
              </w:rPr>
              <w:t>ákon č. 272/2015 Z. z. o registri právnických osôb, podnikateľov a orgánov verejnej moci a o zmene a doplnení niektorých zákonov v znení neskorších predpisov</w:t>
            </w:r>
            <w:r>
              <w:rPr>
                <w:sz w:val="25"/>
                <w:szCs w:val="25"/>
              </w:rPr>
              <w:t>.</w:t>
            </w:r>
          </w:p>
          <w:p w14:paraId="230B353E" w14:textId="62075305" w:rsidR="002B08E9" w:rsidRDefault="002B08E9" w:rsidP="00FB04E9">
            <w:pPr>
              <w:spacing w:after="120"/>
              <w:jc w:val="both"/>
              <w:rPr>
                <w:sz w:val="25"/>
                <w:szCs w:val="25"/>
              </w:rPr>
            </w:pPr>
            <w:r>
              <w:rPr>
                <w:sz w:val="25"/>
                <w:szCs w:val="25"/>
              </w:rPr>
              <w:t xml:space="preserve">Zákon č. </w:t>
            </w:r>
            <w:r w:rsidRPr="002B08E9">
              <w:rPr>
                <w:sz w:val="25"/>
                <w:szCs w:val="25"/>
              </w:rPr>
              <w:t>346</w:t>
            </w:r>
            <w:r>
              <w:rPr>
                <w:sz w:val="25"/>
                <w:szCs w:val="25"/>
              </w:rPr>
              <w:t>/</w:t>
            </w:r>
            <w:r w:rsidRPr="002B08E9">
              <w:rPr>
                <w:sz w:val="25"/>
                <w:szCs w:val="25"/>
              </w:rPr>
              <w:t>2018</w:t>
            </w:r>
            <w:r>
              <w:rPr>
                <w:sz w:val="25"/>
                <w:szCs w:val="25"/>
              </w:rPr>
              <w:t xml:space="preserve"> Z. z. </w:t>
            </w:r>
            <w:r w:rsidRPr="002B08E9">
              <w:rPr>
                <w:sz w:val="25"/>
                <w:szCs w:val="25"/>
              </w:rPr>
              <w:t>o registri mimovládnych neziskových organizácií a o zmene a</w:t>
            </w:r>
            <w:r w:rsidR="00180427">
              <w:rPr>
                <w:sz w:val="25"/>
                <w:szCs w:val="25"/>
              </w:rPr>
              <w:t> </w:t>
            </w:r>
            <w:r w:rsidRPr="002B08E9">
              <w:rPr>
                <w:sz w:val="25"/>
                <w:szCs w:val="25"/>
              </w:rPr>
              <w:t>doplnení niektorých zákonov</w:t>
            </w:r>
            <w:r>
              <w:rPr>
                <w:sz w:val="25"/>
                <w:szCs w:val="25"/>
              </w:rPr>
              <w:t xml:space="preserve"> v znení neskorších predpisov.</w:t>
            </w:r>
          </w:p>
          <w:p w14:paraId="32E539D0" w14:textId="7822809E" w:rsidR="009853C2" w:rsidRDefault="00004E75" w:rsidP="009853C2">
            <w:pPr>
              <w:spacing w:after="120"/>
              <w:jc w:val="both"/>
              <w:rPr>
                <w:sz w:val="25"/>
                <w:szCs w:val="25"/>
              </w:rPr>
            </w:pPr>
            <w:r w:rsidRPr="00004E75">
              <w:rPr>
                <w:b/>
                <w:sz w:val="25"/>
                <w:szCs w:val="25"/>
              </w:rPr>
              <w:t>Potreba prijatia ďalších úprav:</w:t>
            </w:r>
            <w:r>
              <w:rPr>
                <w:sz w:val="25"/>
                <w:szCs w:val="25"/>
              </w:rPr>
              <w:t xml:space="preserve"> </w:t>
            </w:r>
            <w:r w:rsidR="00C03873">
              <w:rPr>
                <w:sz w:val="25"/>
                <w:szCs w:val="25"/>
              </w:rPr>
              <w:t>---</w:t>
            </w:r>
          </w:p>
          <w:p w14:paraId="11B4867C" w14:textId="42BAE9A2" w:rsidR="00D7348C" w:rsidRDefault="00D7348C" w:rsidP="009853C2">
            <w:pPr>
              <w:spacing w:after="120"/>
              <w:jc w:val="both"/>
              <w:rPr>
                <w:sz w:val="25"/>
                <w:szCs w:val="25"/>
              </w:rPr>
            </w:pPr>
          </w:p>
          <w:p w14:paraId="443D1414" w14:textId="3F0E8FBC" w:rsidR="00A863D6" w:rsidRPr="002B08E9" w:rsidRDefault="00A863D6" w:rsidP="00FB04E9">
            <w:pPr>
              <w:spacing w:after="120"/>
              <w:jc w:val="both"/>
              <w:rPr>
                <w:sz w:val="25"/>
                <w:szCs w:val="25"/>
              </w:rPr>
            </w:pPr>
            <w:r w:rsidRPr="00FB04E9">
              <w:rPr>
                <w:b/>
                <w:sz w:val="25"/>
                <w:szCs w:val="25"/>
              </w:rPr>
              <w:t>2. Vo vzťahu k </w:t>
            </w:r>
            <w:r w:rsidR="00FB04E9" w:rsidRPr="00FB04E9">
              <w:rPr>
                <w:b/>
                <w:sz w:val="25"/>
                <w:szCs w:val="25"/>
              </w:rPr>
              <w:t>oprávneniu</w:t>
            </w:r>
            <w:r w:rsidRPr="00FB04E9">
              <w:rPr>
                <w:b/>
                <w:sz w:val="25"/>
                <w:szCs w:val="25"/>
              </w:rPr>
              <w:t xml:space="preserve"> povinnej osoby podľa § 5 zákona č. 297/2008 Z. z. </w:t>
            </w:r>
            <w:r w:rsidR="00394AE0" w:rsidRPr="00394AE0">
              <w:rPr>
                <w:b/>
                <w:sz w:val="25"/>
                <w:szCs w:val="25"/>
              </w:rPr>
              <w:t xml:space="preserve">o ochrane pred legalizáciou príjmov z trestnej činnosti a o ochrane pred financovaním terorizmu a o zmene a doplnení niektorých zákonov </w:t>
            </w:r>
            <w:r w:rsidRPr="00FB04E9">
              <w:rPr>
                <w:b/>
                <w:sz w:val="25"/>
                <w:szCs w:val="25"/>
              </w:rPr>
              <w:t>v znení neskorších predpisov</w:t>
            </w:r>
            <w:r>
              <w:rPr>
                <w:sz w:val="25"/>
                <w:szCs w:val="25"/>
              </w:rPr>
              <w:t xml:space="preserve"> na prístup k záznamu o konečnom užívateľovi výhod veden</w:t>
            </w:r>
            <w:r w:rsidR="00FB04E9">
              <w:rPr>
                <w:sz w:val="25"/>
                <w:szCs w:val="25"/>
              </w:rPr>
              <w:t>om</w:t>
            </w:r>
            <w:r>
              <w:rPr>
                <w:sz w:val="25"/>
                <w:szCs w:val="25"/>
              </w:rPr>
              <w:t xml:space="preserve"> v registri právnických osôb, podnikateľov a orgánov verejnej moci ako </w:t>
            </w:r>
            <w:r w:rsidRPr="002B08E9">
              <w:rPr>
                <w:sz w:val="25"/>
                <w:szCs w:val="25"/>
              </w:rPr>
              <w:t>centráln</w:t>
            </w:r>
            <w:r>
              <w:rPr>
                <w:sz w:val="25"/>
                <w:szCs w:val="25"/>
              </w:rPr>
              <w:t>om</w:t>
            </w:r>
            <w:r w:rsidRPr="002B08E9">
              <w:rPr>
                <w:sz w:val="25"/>
                <w:szCs w:val="25"/>
              </w:rPr>
              <w:t xml:space="preserve"> regis</w:t>
            </w:r>
            <w:r>
              <w:rPr>
                <w:sz w:val="25"/>
                <w:szCs w:val="25"/>
              </w:rPr>
              <w:t>tri</w:t>
            </w:r>
            <w:r w:rsidRPr="002B08E9">
              <w:rPr>
                <w:sz w:val="25"/>
                <w:szCs w:val="25"/>
              </w:rPr>
              <w:t xml:space="preserve"> konečných užívateľoch výhod:</w:t>
            </w:r>
          </w:p>
          <w:p w14:paraId="2D80F3E2" w14:textId="01FA8320" w:rsidR="00A863D6" w:rsidRPr="002B08E9" w:rsidRDefault="00A863D6" w:rsidP="00FB04E9">
            <w:pPr>
              <w:spacing w:after="120"/>
              <w:jc w:val="both"/>
              <w:rPr>
                <w:sz w:val="25"/>
                <w:szCs w:val="25"/>
              </w:rPr>
            </w:pPr>
            <w:r w:rsidRPr="002B08E9">
              <w:rPr>
                <w:sz w:val="25"/>
                <w:szCs w:val="25"/>
                <w:shd w:val="clear" w:color="auto" w:fill="FFFFFF"/>
              </w:rPr>
              <w:t>Zákon</w:t>
            </w:r>
            <w:r w:rsidRPr="002B08E9">
              <w:rPr>
                <w:sz w:val="25"/>
                <w:szCs w:val="25"/>
              </w:rPr>
              <w:t xml:space="preserve"> č. 202/1995 Z. z. devízový zákon a zákon, ktorým sa mení a dopĺňa zákon Slovenskej národnej rady č. 372/1990 Zb. o priestupkoch v znení neskorších predpisov</w:t>
            </w:r>
            <w:r w:rsidR="00394AE0">
              <w:rPr>
                <w:sz w:val="25"/>
                <w:szCs w:val="25"/>
              </w:rPr>
              <w:t xml:space="preserve"> v znení neskorších predpisov.</w:t>
            </w:r>
          </w:p>
          <w:p w14:paraId="4718F9C5" w14:textId="051DA98D" w:rsidR="00A863D6" w:rsidRPr="002B08E9" w:rsidRDefault="00A863D6" w:rsidP="00FB04E9">
            <w:pPr>
              <w:spacing w:after="120"/>
              <w:jc w:val="both"/>
              <w:rPr>
                <w:sz w:val="25"/>
                <w:szCs w:val="25"/>
              </w:rPr>
            </w:pPr>
            <w:r w:rsidRPr="002B08E9">
              <w:rPr>
                <w:sz w:val="25"/>
                <w:szCs w:val="25"/>
                <w:shd w:val="clear" w:color="auto" w:fill="FFFFFF"/>
              </w:rPr>
              <w:t>Zákon</w:t>
            </w:r>
            <w:r w:rsidRPr="002B08E9">
              <w:rPr>
                <w:sz w:val="25"/>
                <w:szCs w:val="25"/>
              </w:rPr>
              <w:t xml:space="preserve"> č. 483/2001 Z. z. o bankách a o zmene a doplnení niektorých zákonov v znení neskorších predpisov</w:t>
            </w:r>
            <w:r w:rsidR="00FB04E9">
              <w:rPr>
                <w:sz w:val="25"/>
                <w:szCs w:val="25"/>
              </w:rPr>
              <w:t>.</w:t>
            </w:r>
          </w:p>
          <w:p w14:paraId="33ED9D65" w14:textId="26DED6A9" w:rsidR="00A863D6" w:rsidRPr="002B08E9" w:rsidRDefault="00A863D6" w:rsidP="00FB04E9">
            <w:pPr>
              <w:spacing w:after="120"/>
              <w:jc w:val="both"/>
              <w:rPr>
                <w:sz w:val="25"/>
                <w:szCs w:val="25"/>
              </w:rPr>
            </w:pPr>
            <w:r>
              <w:rPr>
                <w:sz w:val="25"/>
                <w:szCs w:val="25"/>
              </w:rPr>
              <w:t>Z</w:t>
            </w:r>
            <w:r w:rsidRPr="002B08E9">
              <w:rPr>
                <w:sz w:val="25"/>
                <w:szCs w:val="25"/>
              </w:rPr>
              <w:t>ákon č. 171/2005 Z. z. o hazardných hrách a o zmene a doplnení niektorých zákonov v znení neskorších predpisov</w:t>
            </w:r>
            <w:r w:rsidR="00FB04E9">
              <w:rPr>
                <w:sz w:val="25"/>
                <w:szCs w:val="25"/>
              </w:rPr>
              <w:t>.</w:t>
            </w:r>
          </w:p>
          <w:p w14:paraId="1CBB7C68" w14:textId="116DCD23" w:rsidR="00A863D6" w:rsidRDefault="00A863D6" w:rsidP="00FB04E9">
            <w:pPr>
              <w:spacing w:after="120"/>
              <w:jc w:val="both"/>
              <w:rPr>
                <w:sz w:val="25"/>
                <w:szCs w:val="25"/>
              </w:rPr>
            </w:pPr>
            <w:r w:rsidRPr="002B08E9">
              <w:rPr>
                <w:sz w:val="25"/>
                <w:szCs w:val="25"/>
              </w:rPr>
              <w:t>Zákon č. 297/2008 Z. z. o ochrane pred legalizáciou príjmov z trestnej činnosti a</w:t>
            </w:r>
            <w:r w:rsidR="00180427">
              <w:rPr>
                <w:sz w:val="25"/>
                <w:szCs w:val="25"/>
              </w:rPr>
              <w:t> </w:t>
            </w:r>
            <w:r w:rsidRPr="002B08E9">
              <w:rPr>
                <w:sz w:val="25"/>
                <w:szCs w:val="25"/>
              </w:rPr>
              <w:t>o ochrane pred financovaním terorizmu a o zmene a doplnení niektorých zákonov v znení neskorších predpisov.</w:t>
            </w:r>
          </w:p>
          <w:p w14:paraId="28915AAE" w14:textId="145A22CD" w:rsidR="00A863D6" w:rsidRDefault="00A863D6" w:rsidP="00FB04E9">
            <w:pPr>
              <w:spacing w:after="120"/>
              <w:jc w:val="both"/>
              <w:rPr>
                <w:sz w:val="25"/>
                <w:szCs w:val="25"/>
              </w:rPr>
            </w:pPr>
            <w:r>
              <w:rPr>
                <w:sz w:val="25"/>
                <w:szCs w:val="25"/>
              </w:rPr>
              <w:t>Z</w:t>
            </w:r>
            <w:r w:rsidRPr="002B08E9">
              <w:rPr>
                <w:sz w:val="25"/>
                <w:szCs w:val="25"/>
              </w:rPr>
              <w:t>ákon č. 272/2015 Z. z. o registri právnických osôb, podnikateľov a orgánov verejnej moci a o zmene a doplnení niektorých zákonov v znení neskorších predpisov</w:t>
            </w:r>
            <w:r>
              <w:rPr>
                <w:sz w:val="25"/>
                <w:szCs w:val="25"/>
              </w:rPr>
              <w:t>.</w:t>
            </w:r>
          </w:p>
          <w:p w14:paraId="785566DF" w14:textId="77777777" w:rsidR="00A17227" w:rsidRDefault="00A863D6" w:rsidP="002B08E9">
            <w:pPr>
              <w:spacing w:after="240"/>
              <w:jc w:val="both"/>
              <w:rPr>
                <w:sz w:val="25"/>
                <w:szCs w:val="25"/>
              </w:rPr>
            </w:pPr>
            <w:r w:rsidRPr="002B08E9">
              <w:rPr>
                <w:sz w:val="25"/>
                <w:szCs w:val="25"/>
                <w:shd w:val="clear" w:color="auto" w:fill="FFFFFF"/>
              </w:rPr>
              <w:t>Zákon</w:t>
            </w:r>
            <w:r w:rsidRPr="002B08E9">
              <w:rPr>
                <w:sz w:val="25"/>
                <w:szCs w:val="25"/>
              </w:rPr>
              <w:t xml:space="preserve"> č. 18/2018 Z. z. o ochrane osobných údajov a o zmene a doplnení niektorých zákonov v znení neskorších predpisov</w:t>
            </w:r>
            <w:r w:rsidR="00FB04E9">
              <w:rPr>
                <w:sz w:val="25"/>
                <w:szCs w:val="25"/>
              </w:rPr>
              <w:t>.</w:t>
            </w:r>
          </w:p>
          <w:p w14:paraId="6E8153A4" w14:textId="523BA589" w:rsidR="009853C2" w:rsidRPr="002B08E9" w:rsidRDefault="009853C2" w:rsidP="009853C2">
            <w:pPr>
              <w:spacing w:after="120"/>
              <w:jc w:val="both"/>
              <w:rPr>
                <w:sz w:val="25"/>
                <w:szCs w:val="25"/>
              </w:rPr>
            </w:pPr>
            <w:r w:rsidRPr="00004E75">
              <w:rPr>
                <w:b/>
                <w:sz w:val="25"/>
                <w:szCs w:val="25"/>
              </w:rPr>
              <w:t>Potreba prijatia ďalších úprav:</w:t>
            </w:r>
            <w:r w:rsidR="00B31C5D">
              <w:rPr>
                <w:sz w:val="25"/>
                <w:szCs w:val="25"/>
              </w:rPr>
              <w:t xml:space="preserve"> ---</w:t>
            </w:r>
          </w:p>
        </w:tc>
      </w:tr>
      <w:tr w:rsidR="006940F1" w:rsidRPr="006940F1" w14:paraId="337DBC7E" w14:textId="77777777" w:rsidTr="00E24F45">
        <w:trPr>
          <w:divId w:val="1826163160"/>
          <w:jc w:val="center"/>
        </w:trPr>
        <w:tc>
          <w:tcPr>
            <w:tcW w:w="248" w:type="pct"/>
            <w:tcBorders>
              <w:top w:val="nil"/>
              <w:left w:val="nil"/>
              <w:bottom w:val="nil"/>
              <w:right w:val="nil"/>
            </w:tcBorders>
            <w:hideMark/>
          </w:tcPr>
          <w:p w14:paraId="354C49A6" w14:textId="64D6A92F" w:rsidR="00AA0416" w:rsidRPr="006940F1" w:rsidRDefault="00AA0416">
            <w:pPr>
              <w:rPr>
                <w:b/>
                <w:bCs/>
                <w:sz w:val="25"/>
                <w:szCs w:val="25"/>
              </w:rPr>
            </w:pPr>
            <w:r w:rsidRPr="006940F1">
              <w:rPr>
                <w:b/>
                <w:bCs/>
                <w:sz w:val="25"/>
                <w:szCs w:val="25"/>
              </w:rPr>
              <w:lastRenderedPageBreak/>
              <w:t>5.</w:t>
            </w:r>
          </w:p>
        </w:tc>
        <w:tc>
          <w:tcPr>
            <w:tcW w:w="4752" w:type="pct"/>
            <w:gridSpan w:val="2"/>
            <w:tcBorders>
              <w:top w:val="nil"/>
              <w:left w:val="nil"/>
              <w:bottom w:val="nil"/>
              <w:right w:val="nil"/>
            </w:tcBorders>
            <w:hideMark/>
          </w:tcPr>
          <w:p w14:paraId="4AB2413E" w14:textId="0D80A55B" w:rsidR="00AA0416" w:rsidRPr="006940F1" w:rsidRDefault="003D3CC4" w:rsidP="001030B2">
            <w:pPr>
              <w:spacing w:after="250"/>
              <w:rPr>
                <w:b/>
                <w:bCs/>
                <w:sz w:val="25"/>
                <w:szCs w:val="25"/>
              </w:rPr>
            </w:pPr>
            <w:r w:rsidRPr="003D3CC4">
              <w:rPr>
                <w:b/>
                <w:bCs/>
                <w:sz w:val="25"/>
                <w:szCs w:val="25"/>
              </w:rPr>
              <w:t>Návrh zákona je zlučiteľný s právom Európskej úni</w:t>
            </w:r>
            <w:r w:rsidR="00E06EC5">
              <w:rPr>
                <w:b/>
                <w:bCs/>
                <w:sz w:val="25"/>
                <w:szCs w:val="25"/>
              </w:rPr>
              <w:t>e:</w:t>
            </w:r>
          </w:p>
        </w:tc>
      </w:tr>
      <w:tr w:rsidR="00AA0416" w:rsidRPr="006940F1" w14:paraId="2614E7A4" w14:textId="77777777" w:rsidTr="00E24F45">
        <w:trPr>
          <w:divId w:val="1826163160"/>
          <w:jc w:val="center"/>
        </w:trPr>
        <w:tc>
          <w:tcPr>
            <w:tcW w:w="248" w:type="pct"/>
            <w:tcBorders>
              <w:top w:val="nil"/>
              <w:left w:val="nil"/>
              <w:bottom w:val="nil"/>
              <w:right w:val="nil"/>
            </w:tcBorders>
            <w:hideMark/>
          </w:tcPr>
          <w:p w14:paraId="79B506DC" w14:textId="77777777" w:rsidR="00AA0416" w:rsidRPr="006940F1" w:rsidRDefault="00AA0416">
            <w:pPr>
              <w:spacing w:after="250"/>
              <w:rPr>
                <w:b/>
                <w:bCs/>
                <w:sz w:val="25"/>
                <w:szCs w:val="25"/>
              </w:rPr>
            </w:pPr>
          </w:p>
        </w:tc>
        <w:tc>
          <w:tcPr>
            <w:tcW w:w="160" w:type="pct"/>
            <w:tcBorders>
              <w:top w:val="nil"/>
              <w:left w:val="nil"/>
              <w:bottom w:val="nil"/>
              <w:right w:val="nil"/>
            </w:tcBorders>
            <w:hideMark/>
          </w:tcPr>
          <w:p w14:paraId="30D52500" w14:textId="77777777" w:rsidR="00AA0416" w:rsidRPr="006940F1" w:rsidRDefault="00AA0416">
            <w:pPr>
              <w:rPr>
                <w:sz w:val="25"/>
                <w:szCs w:val="25"/>
              </w:rPr>
            </w:pPr>
          </w:p>
        </w:tc>
        <w:tc>
          <w:tcPr>
            <w:tcW w:w="4592" w:type="pct"/>
            <w:tcBorders>
              <w:top w:val="nil"/>
              <w:left w:val="nil"/>
              <w:bottom w:val="nil"/>
              <w:right w:val="nil"/>
            </w:tcBorders>
            <w:vAlign w:val="center"/>
            <w:hideMark/>
          </w:tcPr>
          <w:p w14:paraId="6C582E93" w14:textId="4F2788AB" w:rsidR="003D7076" w:rsidRDefault="006248C1" w:rsidP="006248C1">
            <w:pPr>
              <w:tabs>
                <w:tab w:val="left" w:pos="360"/>
              </w:tabs>
              <w:jc w:val="both"/>
              <w:rPr>
                <w:sz w:val="25"/>
                <w:szCs w:val="25"/>
              </w:rPr>
            </w:pPr>
            <w:r>
              <w:rPr>
                <w:sz w:val="25"/>
                <w:szCs w:val="25"/>
              </w:rPr>
              <w:t xml:space="preserve">b) </w:t>
            </w:r>
            <w:r w:rsidR="00C03873">
              <w:rPr>
                <w:sz w:val="25"/>
                <w:szCs w:val="25"/>
              </w:rPr>
              <w:t xml:space="preserve">čiastočne </w:t>
            </w:r>
            <w:r w:rsidR="00A35904">
              <w:rPr>
                <w:sz w:val="25"/>
                <w:szCs w:val="25"/>
              </w:rPr>
              <w:t xml:space="preserve"> </w:t>
            </w:r>
          </w:p>
          <w:p w14:paraId="350410C4" w14:textId="08A705BD" w:rsidR="00A35904" w:rsidRDefault="003D7076" w:rsidP="006248C1">
            <w:pPr>
              <w:tabs>
                <w:tab w:val="left" w:pos="360"/>
              </w:tabs>
              <w:spacing w:after="120"/>
              <w:ind w:left="340"/>
              <w:jc w:val="both"/>
              <w:rPr>
                <w:sz w:val="25"/>
                <w:szCs w:val="25"/>
              </w:rPr>
            </w:pPr>
            <w:r>
              <w:rPr>
                <w:sz w:val="25"/>
                <w:szCs w:val="25"/>
              </w:rPr>
              <w:t>N</w:t>
            </w:r>
            <w:r w:rsidR="00A35904">
              <w:rPr>
                <w:sz w:val="25"/>
                <w:szCs w:val="25"/>
              </w:rPr>
              <w:t>ávrh zákona neobsahuje transpozíciu čl. 30 ods.</w:t>
            </w:r>
            <w:r w:rsidR="00470532">
              <w:rPr>
                <w:sz w:val="25"/>
                <w:szCs w:val="25"/>
              </w:rPr>
              <w:t xml:space="preserve"> 5</w:t>
            </w:r>
            <w:r w:rsidR="00A35904">
              <w:rPr>
                <w:sz w:val="25"/>
                <w:szCs w:val="25"/>
              </w:rPr>
              <w:t xml:space="preserve"> </w:t>
            </w:r>
            <w:r w:rsidR="00A35904" w:rsidRPr="00A35904">
              <w:rPr>
                <w:sz w:val="25"/>
                <w:szCs w:val="25"/>
              </w:rPr>
              <w:t xml:space="preserve">prvý pododsek písm. c) smernice </w:t>
            </w:r>
            <w:r w:rsidR="001267C7">
              <w:rPr>
                <w:sz w:val="25"/>
                <w:szCs w:val="25"/>
              </w:rPr>
              <w:lastRenderedPageBreak/>
              <w:t>(EÚ) 2015/849 v platnom znení,</w:t>
            </w:r>
            <w:r w:rsidR="00A35904">
              <w:rPr>
                <w:sz w:val="25"/>
                <w:szCs w:val="25"/>
              </w:rPr>
              <w:t xml:space="preserve"> v znení, ktoré je opätovne účinné na základe rozsudku </w:t>
            </w:r>
            <w:r w:rsidR="00A35904" w:rsidRPr="00C03873">
              <w:rPr>
                <w:sz w:val="25"/>
                <w:szCs w:val="25"/>
              </w:rPr>
              <w:t>súdneho dvora (veľká komora)</w:t>
            </w:r>
            <w:r w:rsidR="00A35904">
              <w:rPr>
                <w:sz w:val="25"/>
                <w:szCs w:val="25"/>
              </w:rPr>
              <w:t xml:space="preserve"> z 22. novembra 2022 v</w:t>
            </w:r>
            <w:r w:rsidR="00A35904" w:rsidRPr="00372AAD">
              <w:rPr>
                <w:sz w:val="25"/>
                <w:szCs w:val="25"/>
              </w:rPr>
              <w:t xml:space="preserve"> spojených veciach C-37/20 a C-601/20</w:t>
            </w:r>
            <w:r w:rsidR="00A35904">
              <w:rPr>
                <w:sz w:val="25"/>
                <w:szCs w:val="25"/>
              </w:rPr>
              <w:t xml:space="preserve">, t. j. </w:t>
            </w:r>
            <w:r w:rsidR="00470532">
              <w:rPr>
                <w:sz w:val="25"/>
                <w:szCs w:val="25"/>
              </w:rPr>
              <w:t>návrh zákona vo vzťahu k predmetnému, rozsudkom zmenenému ustanoveniu smernice</w:t>
            </w:r>
            <w:r w:rsidR="00A35904">
              <w:rPr>
                <w:sz w:val="25"/>
                <w:szCs w:val="25"/>
              </w:rPr>
              <w:t>:</w:t>
            </w:r>
          </w:p>
          <w:p w14:paraId="57B06AB0" w14:textId="4E7E2EB1" w:rsidR="00A35904" w:rsidRPr="003D7076" w:rsidRDefault="00470532" w:rsidP="006248C1">
            <w:pPr>
              <w:pStyle w:val="Odsekzoznamu"/>
              <w:numPr>
                <w:ilvl w:val="0"/>
                <w:numId w:val="20"/>
              </w:numPr>
              <w:tabs>
                <w:tab w:val="left" w:pos="360"/>
              </w:tabs>
              <w:spacing w:after="120"/>
              <w:ind w:left="714" w:hanging="357"/>
              <w:contextualSpacing w:val="0"/>
              <w:jc w:val="both"/>
              <w:rPr>
                <w:sz w:val="25"/>
                <w:szCs w:val="25"/>
              </w:rPr>
            </w:pPr>
            <w:r>
              <w:rPr>
                <w:sz w:val="25"/>
                <w:szCs w:val="25"/>
              </w:rPr>
              <w:t xml:space="preserve">nezrušuje </w:t>
            </w:r>
            <w:r w:rsidR="00A35904" w:rsidRPr="003D7076">
              <w:rPr>
                <w:sz w:val="25"/>
                <w:szCs w:val="25"/>
              </w:rPr>
              <w:t xml:space="preserve">zverejňovanie údajov o konečných užívateľoch výhod v registri </w:t>
            </w:r>
            <w:r w:rsidR="003D7076" w:rsidRPr="003D7076">
              <w:rPr>
                <w:sz w:val="25"/>
                <w:szCs w:val="25"/>
              </w:rPr>
              <w:t>právnick</w:t>
            </w:r>
            <w:r w:rsidR="00A35904" w:rsidRPr="003D7076">
              <w:rPr>
                <w:sz w:val="25"/>
                <w:szCs w:val="25"/>
              </w:rPr>
              <w:t>ých osôb, podnikateľov a orgánov verejnej moci (právo fyzickej osoby na ochranu súkromia),</w:t>
            </w:r>
          </w:p>
          <w:p w14:paraId="50B8D8AB" w14:textId="76AB5298" w:rsidR="00A35904" w:rsidRPr="003D7076" w:rsidRDefault="00470532" w:rsidP="006248C1">
            <w:pPr>
              <w:pStyle w:val="Odsekzoznamu"/>
              <w:numPr>
                <w:ilvl w:val="0"/>
                <w:numId w:val="20"/>
              </w:numPr>
              <w:tabs>
                <w:tab w:val="left" w:pos="360"/>
              </w:tabs>
              <w:spacing w:after="120"/>
              <w:jc w:val="both"/>
              <w:rPr>
                <w:sz w:val="25"/>
                <w:szCs w:val="25"/>
              </w:rPr>
            </w:pPr>
            <w:r>
              <w:rPr>
                <w:sz w:val="25"/>
                <w:szCs w:val="25"/>
              </w:rPr>
              <w:t>neustanovuje mechanizmus zúženého</w:t>
            </w:r>
            <w:r w:rsidR="00A35904" w:rsidRPr="003D7076">
              <w:rPr>
                <w:sz w:val="25"/>
                <w:szCs w:val="25"/>
              </w:rPr>
              <w:t xml:space="preserve"> prístup</w:t>
            </w:r>
            <w:r>
              <w:rPr>
                <w:sz w:val="25"/>
                <w:szCs w:val="25"/>
              </w:rPr>
              <w:t>u</w:t>
            </w:r>
            <w:r w:rsidR="00A35904" w:rsidRPr="003D7076">
              <w:rPr>
                <w:sz w:val="25"/>
                <w:szCs w:val="25"/>
              </w:rPr>
              <w:t xml:space="preserve"> k záznamu o konečnom užívateľovi výhod vedenom v registri </w:t>
            </w:r>
            <w:r w:rsidR="00606ACD" w:rsidRPr="003D7076">
              <w:rPr>
                <w:sz w:val="25"/>
                <w:szCs w:val="25"/>
              </w:rPr>
              <w:t>právnick</w:t>
            </w:r>
            <w:r w:rsidR="00A35904" w:rsidRPr="003D7076">
              <w:rPr>
                <w:sz w:val="25"/>
                <w:szCs w:val="25"/>
              </w:rPr>
              <w:t>ý</w:t>
            </w:r>
            <w:r w:rsidR="00606ACD" w:rsidRPr="003D7076">
              <w:rPr>
                <w:sz w:val="25"/>
                <w:szCs w:val="25"/>
              </w:rPr>
              <w:t>c</w:t>
            </w:r>
            <w:r w:rsidR="00A35904" w:rsidRPr="003D7076">
              <w:rPr>
                <w:sz w:val="25"/>
                <w:szCs w:val="25"/>
              </w:rPr>
              <w:t>h osôb, podnikateľov a orgánov verejn</w:t>
            </w:r>
            <w:r w:rsidR="00606ACD" w:rsidRPr="003D7076">
              <w:rPr>
                <w:sz w:val="25"/>
                <w:szCs w:val="25"/>
              </w:rPr>
              <w:t>e</w:t>
            </w:r>
            <w:r w:rsidR="00A35904" w:rsidRPr="003D7076">
              <w:rPr>
                <w:sz w:val="25"/>
                <w:szCs w:val="25"/>
              </w:rPr>
              <w:t xml:space="preserve">j moci </w:t>
            </w:r>
            <w:r>
              <w:rPr>
                <w:sz w:val="25"/>
                <w:szCs w:val="25"/>
              </w:rPr>
              <w:t>pre žiadateľa, ktorý</w:t>
            </w:r>
            <w:r w:rsidR="00A35904" w:rsidRPr="003D7076">
              <w:rPr>
                <w:sz w:val="25"/>
                <w:szCs w:val="25"/>
              </w:rPr>
              <w:t xml:space="preserve"> môže preukázať oprávnený záujem (právo vere</w:t>
            </w:r>
            <w:r w:rsidR="00606ACD" w:rsidRPr="003D7076">
              <w:rPr>
                <w:sz w:val="25"/>
                <w:szCs w:val="25"/>
              </w:rPr>
              <w:t>j</w:t>
            </w:r>
            <w:r w:rsidR="00A35904" w:rsidRPr="003D7076">
              <w:rPr>
                <w:sz w:val="25"/>
                <w:szCs w:val="25"/>
              </w:rPr>
              <w:t>nosti na informácie).</w:t>
            </w:r>
            <w:r w:rsidR="00606ACD" w:rsidRPr="003D7076">
              <w:rPr>
                <w:sz w:val="25"/>
                <w:szCs w:val="25"/>
              </w:rPr>
              <w:t xml:space="preserve"> </w:t>
            </w:r>
          </w:p>
          <w:p w14:paraId="5A78D2FD" w14:textId="0A93E35A" w:rsidR="00A35904" w:rsidRDefault="00606ACD" w:rsidP="00470532">
            <w:pPr>
              <w:tabs>
                <w:tab w:val="left" w:pos="360"/>
              </w:tabs>
              <w:spacing w:after="120"/>
              <w:ind w:left="709"/>
              <w:jc w:val="both"/>
              <w:rPr>
                <w:sz w:val="25"/>
                <w:szCs w:val="25"/>
              </w:rPr>
            </w:pPr>
            <w:r>
              <w:rPr>
                <w:sz w:val="25"/>
                <w:szCs w:val="25"/>
              </w:rPr>
              <w:t>N</w:t>
            </w:r>
            <w:r w:rsidR="00A35904">
              <w:rPr>
                <w:sz w:val="25"/>
                <w:szCs w:val="25"/>
              </w:rPr>
              <w:t xml:space="preserve">a vnútroštátnej úrovni </w:t>
            </w:r>
            <w:r>
              <w:rPr>
                <w:sz w:val="25"/>
                <w:szCs w:val="25"/>
              </w:rPr>
              <w:t xml:space="preserve">sa od decembra 2022 </w:t>
            </w:r>
            <w:r w:rsidR="00A35904">
              <w:rPr>
                <w:sz w:val="25"/>
                <w:szCs w:val="25"/>
              </w:rPr>
              <w:t xml:space="preserve">pripravuje </w:t>
            </w:r>
            <w:r w:rsidR="00287615">
              <w:rPr>
                <w:sz w:val="25"/>
                <w:szCs w:val="25"/>
              </w:rPr>
              <w:t xml:space="preserve">na medzirezortnej úrovni </w:t>
            </w:r>
            <w:r w:rsidR="00A35904">
              <w:rPr>
                <w:sz w:val="25"/>
                <w:szCs w:val="25"/>
              </w:rPr>
              <w:t xml:space="preserve">legislatívne riešenie zabezpečenia práva verejnosti na informácie o konečných užívateľoch výhod </w:t>
            </w:r>
            <w:r>
              <w:rPr>
                <w:sz w:val="25"/>
                <w:szCs w:val="25"/>
              </w:rPr>
              <w:t xml:space="preserve">zapísaných v registri právnických osôb, podnikateľov a orgánov verejnej moci </w:t>
            </w:r>
            <w:r w:rsidR="00470532">
              <w:rPr>
                <w:sz w:val="25"/>
                <w:szCs w:val="25"/>
              </w:rPr>
              <w:t>v súlade s účinným ustanovením</w:t>
            </w:r>
            <w:r w:rsidR="00A35904">
              <w:rPr>
                <w:sz w:val="25"/>
                <w:szCs w:val="25"/>
              </w:rPr>
              <w:t xml:space="preserve"> čl. 30 ods. </w:t>
            </w:r>
            <w:r w:rsidR="00470532">
              <w:rPr>
                <w:sz w:val="25"/>
                <w:szCs w:val="25"/>
              </w:rPr>
              <w:t xml:space="preserve">5 </w:t>
            </w:r>
            <w:r w:rsidR="00A35904" w:rsidRPr="00A35904">
              <w:rPr>
                <w:sz w:val="25"/>
                <w:szCs w:val="25"/>
              </w:rPr>
              <w:t>prvý pododsek písm. c) smernice (EÚ) 2015/849</w:t>
            </w:r>
            <w:r w:rsidR="001267C7">
              <w:rPr>
                <w:sz w:val="25"/>
                <w:szCs w:val="25"/>
              </w:rPr>
              <w:t xml:space="preserve"> v platnom znení</w:t>
            </w:r>
            <w:r>
              <w:rPr>
                <w:sz w:val="25"/>
                <w:szCs w:val="25"/>
              </w:rPr>
              <w:t xml:space="preserve">. Vzhľadom na potrebu urýchleného legislatívneho a technického zabezpečenia prepojenia registra právnických osôb, podnikateľov a orgánov verejnej moci so systémom BORIS nie je možné pripraviť legislatívne riešenie tejto transpozície včas. Ak by sa skončilo zverejňovanie údajov o konečných užívateľoch výhod, poskytla by sa tým síce ochrana súkromia fyzických osôb, na druhej strane je súčasne potrebné zabezpečiť aj realizáciu práva verejnosti na informácie, čo si vyžaduje vytvorenie funkčného procesu a jeho technické a finančné zabezpečenie – § 7a </w:t>
            </w:r>
            <w:r w:rsidR="006248C1">
              <w:rPr>
                <w:sz w:val="25"/>
                <w:szCs w:val="25"/>
              </w:rPr>
              <w:t xml:space="preserve">ods. 4 </w:t>
            </w:r>
            <w:r>
              <w:rPr>
                <w:sz w:val="25"/>
                <w:szCs w:val="25"/>
              </w:rPr>
              <w:t>zákona č. 272/2015 Z. z. v znení účinnom pred 1. novembrom 2020 (pred nadobudnutím účinnosti zákona č. 279/2020 Z. z.) obsahoval mechanizmus sprístupnenia údajov na základe preukázania oprávneného záujmu, ale ani raz nebol aplikovaný a</w:t>
            </w:r>
            <w:r w:rsidR="003D7076">
              <w:rPr>
                <w:sz w:val="25"/>
                <w:szCs w:val="25"/>
              </w:rPr>
              <w:t xml:space="preserve"> jeho znenie bolo natoľko všeobecné, že neobsahovalo </w:t>
            </w:r>
            <w:r w:rsidR="00470532">
              <w:rPr>
                <w:sz w:val="25"/>
                <w:szCs w:val="25"/>
              </w:rPr>
              <w:t xml:space="preserve">konkrétne </w:t>
            </w:r>
            <w:r w:rsidR="003D7076">
              <w:rPr>
                <w:sz w:val="25"/>
                <w:szCs w:val="25"/>
              </w:rPr>
              <w:t>podmienky preukazovania existencie oprávneného záujmu.</w:t>
            </w:r>
          </w:p>
          <w:p w14:paraId="3B592A12" w14:textId="41277B6C" w:rsidR="00470532" w:rsidRDefault="00470532" w:rsidP="00470532">
            <w:pPr>
              <w:tabs>
                <w:tab w:val="left" w:pos="360"/>
              </w:tabs>
              <w:spacing w:after="120"/>
              <w:ind w:left="709"/>
              <w:jc w:val="both"/>
              <w:rPr>
                <w:sz w:val="25"/>
                <w:szCs w:val="25"/>
              </w:rPr>
            </w:pPr>
            <w:r>
              <w:rPr>
                <w:sz w:val="25"/>
                <w:szCs w:val="25"/>
              </w:rPr>
              <w:t>Predpokladaný termín dosiahnutia zhody: do 30. 06. 2025</w:t>
            </w:r>
            <w:r w:rsidR="007A1603">
              <w:rPr>
                <w:sz w:val="25"/>
                <w:szCs w:val="25"/>
              </w:rPr>
              <w:t>.</w:t>
            </w:r>
          </w:p>
          <w:p w14:paraId="656C55EF" w14:textId="126D36E9" w:rsidR="00470532" w:rsidRDefault="00470532" w:rsidP="006248C1">
            <w:pPr>
              <w:tabs>
                <w:tab w:val="left" w:pos="360"/>
              </w:tabs>
              <w:ind w:left="709"/>
              <w:jc w:val="both"/>
              <w:rPr>
                <w:sz w:val="25"/>
                <w:szCs w:val="25"/>
              </w:rPr>
            </w:pPr>
            <w:r>
              <w:rPr>
                <w:sz w:val="25"/>
                <w:szCs w:val="25"/>
              </w:rPr>
              <w:t>Spôsob dosiahnutia zhody: novela zákona č. 272/2015 Z. z. o registri právnických osôb, podnikateľov a orgánov verejnej moci a o zmene a doplnení niektorých zákonov.</w:t>
            </w:r>
          </w:p>
          <w:p w14:paraId="7BF94D3C" w14:textId="65D375D1" w:rsidR="00AA0416" w:rsidRPr="006940F1" w:rsidRDefault="00AA0416" w:rsidP="00A35904">
            <w:pPr>
              <w:spacing w:after="250"/>
              <w:rPr>
                <w:sz w:val="25"/>
                <w:szCs w:val="25"/>
              </w:rPr>
            </w:pPr>
          </w:p>
        </w:tc>
      </w:tr>
    </w:tbl>
    <w:p w14:paraId="0FF88273" w14:textId="42FEA8D1" w:rsidR="003D0DA4" w:rsidRPr="006940F1" w:rsidRDefault="003D0DA4" w:rsidP="00814DF5">
      <w:pPr>
        <w:tabs>
          <w:tab w:val="left" w:pos="360"/>
        </w:tabs>
        <w:jc w:val="both"/>
        <w:rPr>
          <w:sz w:val="25"/>
          <w:szCs w:val="25"/>
        </w:rPr>
      </w:pPr>
    </w:p>
    <w:sectPr w:rsidR="003D0DA4" w:rsidRPr="006940F1">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57EF" w14:textId="77777777" w:rsidR="00716F28" w:rsidRDefault="00716F28" w:rsidP="000556DA">
      <w:r>
        <w:separator/>
      </w:r>
    </w:p>
  </w:endnote>
  <w:endnote w:type="continuationSeparator" w:id="0">
    <w:p w14:paraId="2F1B9344" w14:textId="77777777" w:rsidR="00716F28" w:rsidRDefault="00716F28" w:rsidP="0005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118465"/>
      <w:docPartObj>
        <w:docPartGallery w:val="Page Numbers (Bottom of Page)"/>
        <w:docPartUnique/>
      </w:docPartObj>
    </w:sdtPr>
    <w:sdtEndPr/>
    <w:sdtContent>
      <w:p w14:paraId="3F86CE99" w14:textId="1B192E2A" w:rsidR="000556DA" w:rsidRDefault="000556DA" w:rsidP="000556DA">
        <w:pPr>
          <w:pStyle w:val="Pta"/>
          <w:jc w:val="center"/>
        </w:pPr>
        <w:r>
          <w:fldChar w:fldCharType="begin"/>
        </w:r>
        <w:r>
          <w:instrText>PAGE   \* MERGEFORMAT</w:instrText>
        </w:r>
        <w:r>
          <w:fldChar w:fldCharType="separate"/>
        </w:r>
        <w:r w:rsidR="00F1230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B416" w14:textId="77777777" w:rsidR="00716F28" w:rsidRDefault="00716F28" w:rsidP="000556DA">
      <w:r>
        <w:separator/>
      </w:r>
    </w:p>
  </w:footnote>
  <w:footnote w:type="continuationSeparator" w:id="0">
    <w:p w14:paraId="48EE28D9" w14:textId="77777777" w:rsidR="00716F28" w:rsidRDefault="00716F28" w:rsidP="00055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7EC"/>
    <w:multiLevelType w:val="hybridMultilevel"/>
    <w:tmpl w:val="4364E0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D3354C1"/>
    <w:multiLevelType w:val="hybridMultilevel"/>
    <w:tmpl w:val="46047674"/>
    <w:lvl w:ilvl="0" w:tplc="5E320B94">
      <w:start w:val="1"/>
      <w:numFmt w:val="bullet"/>
      <w:lvlText w:val=""/>
      <w:lvlJc w:val="left"/>
      <w:pPr>
        <w:ind w:left="720" w:hanging="360"/>
      </w:pPr>
      <w:rPr>
        <w:rFonts w:ascii="Symbol" w:hAnsi="Symbol" w:hint="default"/>
      </w:rPr>
    </w:lvl>
    <w:lvl w:ilvl="1" w:tplc="DC8C9558">
      <w:numFmt w:val="bullet"/>
      <w:lvlText w:val="-"/>
      <w:lvlJc w:val="left"/>
      <w:pPr>
        <w:ind w:left="1440" w:hanging="360"/>
      </w:pPr>
      <w:rPr>
        <w:rFonts w:ascii="Times" w:eastAsia="Times New Roman" w:hAnsi="Times" w:cs="Time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294A3B"/>
    <w:multiLevelType w:val="hybridMultilevel"/>
    <w:tmpl w:val="E3D631AE"/>
    <w:lvl w:ilvl="0" w:tplc="0576F2E8">
      <w:start w:val="1"/>
      <w:numFmt w:val="decimal"/>
      <w:lvlText w:val="%1."/>
      <w:lvlJc w:val="left"/>
      <w:pPr>
        <w:ind w:left="785" w:hanging="360"/>
      </w:pPr>
      <w:rPr>
        <w:rFonts w:ascii="Times New Roman" w:hAnsi="Times New Roman" w:cs="Times New Roman" w:hint="default"/>
        <w:b w:val="0"/>
        <w:i w:val="0"/>
        <w:sz w:val="24"/>
      </w:rPr>
    </w:lvl>
    <w:lvl w:ilvl="1" w:tplc="041B0019" w:tentative="1">
      <w:start w:val="1"/>
      <w:numFmt w:val="lowerLetter"/>
      <w:lvlText w:val="%2."/>
      <w:lvlJc w:val="left"/>
      <w:pPr>
        <w:ind w:left="1308" w:hanging="360"/>
      </w:pPr>
      <w:rPr>
        <w:rFonts w:cs="Times New Roman"/>
      </w:rPr>
    </w:lvl>
    <w:lvl w:ilvl="2" w:tplc="041B001B" w:tentative="1">
      <w:start w:val="1"/>
      <w:numFmt w:val="lowerRoman"/>
      <w:lvlText w:val="%3."/>
      <w:lvlJc w:val="right"/>
      <w:pPr>
        <w:ind w:left="2028" w:hanging="180"/>
      </w:pPr>
      <w:rPr>
        <w:rFonts w:cs="Times New Roman"/>
      </w:rPr>
    </w:lvl>
    <w:lvl w:ilvl="3" w:tplc="041B000F" w:tentative="1">
      <w:start w:val="1"/>
      <w:numFmt w:val="decimal"/>
      <w:lvlText w:val="%4."/>
      <w:lvlJc w:val="left"/>
      <w:pPr>
        <w:ind w:left="2748" w:hanging="360"/>
      </w:pPr>
      <w:rPr>
        <w:rFonts w:cs="Times New Roman"/>
      </w:rPr>
    </w:lvl>
    <w:lvl w:ilvl="4" w:tplc="041B0019" w:tentative="1">
      <w:start w:val="1"/>
      <w:numFmt w:val="lowerLetter"/>
      <w:lvlText w:val="%5."/>
      <w:lvlJc w:val="left"/>
      <w:pPr>
        <w:ind w:left="3468" w:hanging="360"/>
      </w:pPr>
      <w:rPr>
        <w:rFonts w:cs="Times New Roman"/>
      </w:rPr>
    </w:lvl>
    <w:lvl w:ilvl="5" w:tplc="041B001B" w:tentative="1">
      <w:start w:val="1"/>
      <w:numFmt w:val="lowerRoman"/>
      <w:lvlText w:val="%6."/>
      <w:lvlJc w:val="right"/>
      <w:pPr>
        <w:ind w:left="4188" w:hanging="180"/>
      </w:pPr>
      <w:rPr>
        <w:rFonts w:cs="Times New Roman"/>
      </w:rPr>
    </w:lvl>
    <w:lvl w:ilvl="6" w:tplc="041B000F" w:tentative="1">
      <w:start w:val="1"/>
      <w:numFmt w:val="decimal"/>
      <w:lvlText w:val="%7."/>
      <w:lvlJc w:val="left"/>
      <w:pPr>
        <w:ind w:left="4908" w:hanging="360"/>
      </w:pPr>
      <w:rPr>
        <w:rFonts w:cs="Times New Roman"/>
      </w:rPr>
    </w:lvl>
    <w:lvl w:ilvl="7" w:tplc="041B0019" w:tentative="1">
      <w:start w:val="1"/>
      <w:numFmt w:val="lowerLetter"/>
      <w:lvlText w:val="%8."/>
      <w:lvlJc w:val="left"/>
      <w:pPr>
        <w:ind w:left="5628" w:hanging="360"/>
      </w:pPr>
      <w:rPr>
        <w:rFonts w:cs="Times New Roman"/>
      </w:rPr>
    </w:lvl>
    <w:lvl w:ilvl="8" w:tplc="041B001B" w:tentative="1">
      <w:start w:val="1"/>
      <w:numFmt w:val="lowerRoman"/>
      <w:lvlText w:val="%9."/>
      <w:lvlJc w:val="right"/>
      <w:pPr>
        <w:ind w:left="6348" w:hanging="180"/>
      </w:pPr>
      <w:rPr>
        <w:rFonts w:cs="Times New Roman"/>
      </w:rPr>
    </w:lvl>
  </w:abstractNum>
  <w:abstractNum w:abstractNumId="5" w15:restartNumberingAfterBreak="0">
    <w:nsid w:val="276C199F"/>
    <w:multiLevelType w:val="hybridMultilevel"/>
    <w:tmpl w:val="44FCD71E"/>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9CF28EF"/>
    <w:multiLevelType w:val="hybridMultilevel"/>
    <w:tmpl w:val="8C24BF30"/>
    <w:lvl w:ilvl="0" w:tplc="9A726CDC">
      <w:start w:val="1"/>
      <w:numFmt w:val="decimal"/>
      <w:lvlText w:val="%1."/>
      <w:lvlJc w:val="left"/>
      <w:pPr>
        <w:ind w:left="412" w:hanging="72"/>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7" w15:restartNumberingAfterBreak="0">
    <w:nsid w:val="316647FE"/>
    <w:multiLevelType w:val="hybridMultilevel"/>
    <w:tmpl w:val="FB8E0C92"/>
    <w:lvl w:ilvl="0" w:tplc="36A0103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A316F1"/>
    <w:multiLevelType w:val="hybridMultilevel"/>
    <w:tmpl w:val="DBC0F764"/>
    <w:lvl w:ilvl="0" w:tplc="2438E47A">
      <w:start w:val="1"/>
      <w:numFmt w:val="decimal"/>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28374E"/>
    <w:multiLevelType w:val="hybridMultilevel"/>
    <w:tmpl w:val="DC8454AC"/>
    <w:lvl w:ilvl="0" w:tplc="5E320B9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77A1F40"/>
    <w:multiLevelType w:val="hybridMultilevel"/>
    <w:tmpl w:val="1CDED8F4"/>
    <w:lvl w:ilvl="0" w:tplc="5E320B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5744795"/>
    <w:multiLevelType w:val="hybridMultilevel"/>
    <w:tmpl w:val="EA30D9BA"/>
    <w:lvl w:ilvl="0" w:tplc="5E320B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75800314"/>
    <w:multiLevelType w:val="hybridMultilevel"/>
    <w:tmpl w:val="97FC1A6A"/>
    <w:lvl w:ilvl="0" w:tplc="5E320B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9E04AD9"/>
    <w:multiLevelType w:val="hybridMultilevel"/>
    <w:tmpl w:val="45984B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F553C64"/>
    <w:multiLevelType w:val="hybridMultilevel"/>
    <w:tmpl w:val="379A6CEC"/>
    <w:lvl w:ilvl="0" w:tplc="041B000F">
      <w:start w:val="1"/>
      <w:numFmt w:val="decimal"/>
      <w:lvlText w:val="%1."/>
      <w:lvlJc w:val="left"/>
      <w:pPr>
        <w:ind w:left="720" w:hanging="360"/>
      </w:pPr>
    </w:lvl>
    <w:lvl w:ilvl="1" w:tplc="0A1E8C70">
      <w:numFmt w:val="bullet"/>
      <w:lvlText w:val="–"/>
      <w:lvlJc w:val="left"/>
      <w:pPr>
        <w:ind w:left="1440" w:hanging="360"/>
      </w:pPr>
      <w:rPr>
        <w:rFonts w:ascii="Times" w:eastAsia="Times New Roman" w:hAnsi="Times" w:cs="Time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F7A35E5"/>
    <w:multiLevelType w:val="hybridMultilevel"/>
    <w:tmpl w:val="16A2BD2A"/>
    <w:lvl w:ilvl="0" w:tplc="4C04887C">
      <w:start w:val="1"/>
      <w:numFmt w:val="decimal"/>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3"/>
  </w:num>
  <w:num w:numId="3">
    <w:abstractNumId w:val="14"/>
  </w:num>
  <w:num w:numId="4">
    <w:abstractNumId w:val="8"/>
  </w:num>
  <w:num w:numId="5">
    <w:abstractNumId w:val="1"/>
  </w:num>
  <w:num w:numId="6">
    <w:abstractNumId w:val="13"/>
  </w:num>
  <w:num w:numId="7">
    <w:abstractNumId w:val="18"/>
  </w:num>
  <w:num w:numId="8">
    <w:abstractNumId w:val="17"/>
  </w:num>
  <w:num w:numId="9">
    <w:abstractNumId w:val="2"/>
  </w:num>
  <w:num w:numId="10">
    <w:abstractNumId w:val="5"/>
  </w:num>
  <w:num w:numId="11">
    <w:abstractNumId w:val="12"/>
  </w:num>
  <w:num w:numId="12">
    <w:abstractNumId w:val="11"/>
  </w:num>
  <w:num w:numId="13">
    <w:abstractNumId w:val="15"/>
  </w:num>
  <w:num w:numId="14">
    <w:abstractNumId w:val="16"/>
  </w:num>
  <w:num w:numId="15">
    <w:abstractNumId w:val="9"/>
  </w:num>
  <w:num w:numId="16">
    <w:abstractNumId w:val="7"/>
  </w:num>
  <w:num w:numId="17">
    <w:abstractNumId w:val="4"/>
  </w:num>
  <w:num w:numId="18">
    <w:abstractNumId w:val="20"/>
  </w:num>
  <w:num w:numId="19">
    <w:abstractNumId w:val="19"/>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ShadeFormData/>
  <w:characterSpacingControl w:val="doNotCompress"/>
  <w:doNotValidateAgainstSchema/>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0181A"/>
    <w:rsid w:val="00004E75"/>
    <w:rsid w:val="00010D7F"/>
    <w:rsid w:val="000347A1"/>
    <w:rsid w:val="00037C7B"/>
    <w:rsid w:val="00045CD1"/>
    <w:rsid w:val="00054456"/>
    <w:rsid w:val="000556DA"/>
    <w:rsid w:val="00056B62"/>
    <w:rsid w:val="000641E4"/>
    <w:rsid w:val="000740CC"/>
    <w:rsid w:val="00074B32"/>
    <w:rsid w:val="000A2B04"/>
    <w:rsid w:val="000C03E4"/>
    <w:rsid w:val="000C5887"/>
    <w:rsid w:val="001011B9"/>
    <w:rsid w:val="001030B2"/>
    <w:rsid w:val="001077EC"/>
    <w:rsid w:val="0011690E"/>
    <w:rsid w:val="00117A7E"/>
    <w:rsid w:val="001267C7"/>
    <w:rsid w:val="00137865"/>
    <w:rsid w:val="00180420"/>
    <w:rsid w:val="00180427"/>
    <w:rsid w:val="001928C2"/>
    <w:rsid w:val="001A3E10"/>
    <w:rsid w:val="001A770A"/>
    <w:rsid w:val="001D60ED"/>
    <w:rsid w:val="001F0AA3"/>
    <w:rsid w:val="001F3EEF"/>
    <w:rsid w:val="0020025E"/>
    <w:rsid w:val="0023485C"/>
    <w:rsid w:val="00251B8F"/>
    <w:rsid w:val="00272D1A"/>
    <w:rsid w:val="002822FA"/>
    <w:rsid w:val="00287615"/>
    <w:rsid w:val="002B08E9"/>
    <w:rsid w:val="002B14DD"/>
    <w:rsid w:val="002B519D"/>
    <w:rsid w:val="002C01B3"/>
    <w:rsid w:val="002C7B88"/>
    <w:rsid w:val="002D50A7"/>
    <w:rsid w:val="002E6AC0"/>
    <w:rsid w:val="00300123"/>
    <w:rsid w:val="003063AD"/>
    <w:rsid w:val="00306EA7"/>
    <w:rsid w:val="00321BB1"/>
    <w:rsid w:val="00364D9F"/>
    <w:rsid w:val="00372AAD"/>
    <w:rsid w:val="003841E0"/>
    <w:rsid w:val="00384663"/>
    <w:rsid w:val="00390C81"/>
    <w:rsid w:val="00394AE0"/>
    <w:rsid w:val="003D0DA4"/>
    <w:rsid w:val="003D3CC4"/>
    <w:rsid w:val="003D7076"/>
    <w:rsid w:val="003E2BA4"/>
    <w:rsid w:val="003E7AFE"/>
    <w:rsid w:val="004017B8"/>
    <w:rsid w:val="004065D0"/>
    <w:rsid w:val="00411068"/>
    <w:rsid w:val="0042282A"/>
    <w:rsid w:val="0043215B"/>
    <w:rsid w:val="0043520B"/>
    <w:rsid w:val="0046186A"/>
    <w:rsid w:val="0046650F"/>
    <w:rsid w:val="00470532"/>
    <w:rsid w:val="00471E2E"/>
    <w:rsid w:val="00482868"/>
    <w:rsid w:val="00483176"/>
    <w:rsid w:val="0049162B"/>
    <w:rsid w:val="004A3CCB"/>
    <w:rsid w:val="004B1E6E"/>
    <w:rsid w:val="004B79E7"/>
    <w:rsid w:val="004E7F23"/>
    <w:rsid w:val="00516CC3"/>
    <w:rsid w:val="005216F4"/>
    <w:rsid w:val="00525C55"/>
    <w:rsid w:val="00526F99"/>
    <w:rsid w:val="00536A3C"/>
    <w:rsid w:val="00540938"/>
    <w:rsid w:val="00596545"/>
    <w:rsid w:val="00596E73"/>
    <w:rsid w:val="005A3272"/>
    <w:rsid w:val="005B0680"/>
    <w:rsid w:val="005C0CB5"/>
    <w:rsid w:val="00606ACD"/>
    <w:rsid w:val="006248C1"/>
    <w:rsid w:val="00632C56"/>
    <w:rsid w:val="00660D22"/>
    <w:rsid w:val="006657BB"/>
    <w:rsid w:val="00671004"/>
    <w:rsid w:val="006730D9"/>
    <w:rsid w:val="006940F1"/>
    <w:rsid w:val="006A060B"/>
    <w:rsid w:val="006B148A"/>
    <w:rsid w:val="006B788C"/>
    <w:rsid w:val="006C0FA0"/>
    <w:rsid w:val="006E1D9C"/>
    <w:rsid w:val="006E4387"/>
    <w:rsid w:val="006F3E6F"/>
    <w:rsid w:val="00716F28"/>
    <w:rsid w:val="00726175"/>
    <w:rsid w:val="0075352C"/>
    <w:rsid w:val="00770526"/>
    <w:rsid w:val="0077220F"/>
    <w:rsid w:val="00781D62"/>
    <w:rsid w:val="00785F65"/>
    <w:rsid w:val="00796D85"/>
    <w:rsid w:val="007A1603"/>
    <w:rsid w:val="007A70D8"/>
    <w:rsid w:val="007C165D"/>
    <w:rsid w:val="007F5B72"/>
    <w:rsid w:val="00806F0F"/>
    <w:rsid w:val="00814DF5"/>
    <w:rsid w:val="00824CCF"/>
    <w:rsid w:val="00830920"/>
    <w:rsid w:val="00833FDA"/>
    <w:rsid w:val="00847169"/>
    <w:rsid w:val="008570D4"/>
    <w:rsid w:val="00860ED8"/>
    <w:rsid w:val="00861B59"/>
    <w:rsid w:val="008655C8"/>
    <w:rsid w:val="00865EC4"/>
    <w:rsid w:val="008E2891"/>
    <w:rsid w:val="009164E3"/>
    <w:rsid w:val="00954A24"/>
    <w:rsid w:val="00970F68"/>
    <w:rsid w:val="009754AB"/>
    <w:rsid w:val="009853C2"/>
    <w:rsid w:val="00991DDF"/>
    <w:rsid w:val="009B7263"/>
    <w:rsid w:val="009C0BCE"/>
    <w:rsid w:val="009C63EB"/>
    <w:rsid w:val="00A17227"/>
    <w:rsid w:val="00A213A4"/>
    <w:rsid w:val="00A35904"/>
    <w:rsid w:val="00A4386D"/>
    <w:rsid w:val="00A73CF4"/>
    <w:rsid w:val="00A863D6"/>
    <w:rsid w:val="00AA0416"/>
    <w:rsid w:val="00AB4BF7"/>
    <w:rsid w:val="00AB5D8C"/>
    <w:rsid w:val="00AC7D56"/>
    <w:rsid w:val="00AE5262"/>
    <w:rsid w:val="00B128CD"/>
    <w:rsid w:val="00B31C5D"/>
    <w:rsid w:val="00B326AA"/>
    <w:rsid w:val="00B33BDC"/>
    <w:rsid w:val="00B37EE3"/>
    <w:rsid w:val="00B46612"/>
    <w:rsid w:val="00B468EE"/>
    <w:rsid w:val="00B472AA"/>
    <w:rsid w:val="00B4790F"/>
    <w:rsid w:val="00B76EB4"/>
    <w:rsid w:val="00B959D5"/>
    <w:rsid w:val="00BB4B5C"/>
    <w:rsid w:val="00BC13CA"/>
    <w:rsid w:val="00BD5EE5"/>
    <w:rsid w:val="00BE73C7"/>
    <w:rsid w:val="00C03873"/>
    <w:rsid w:val="00C12975"/>
    <w:rsid w:val="00C41DD1"/>
    <w:rsid w:val="00C4365F"/>
    <w:rsid w:val="00C603B5"/>
    <w:rsid w:val="00C74AD7"/>
    <w:rsid w:val="00C90146"/>
    <w:rsid w:val="00CA5D08"/>
    <w:rsid w:val="00CE26D0"/>
    <w:rsid w:val="00CE38CD"/>
    <w:rsid w:val="00CF135D"/>
    <w:rsid w:val="00D00963"/>
    <w:rsid w:val="00D14B99"/>
    <w:rsid w:val="00D16DF8"/>
    <w:rsid w:val="00D4597A"/>
    <w:rsid w:val="00D465F6"/>
    <w:rsid w:val="00D5344B"/>
    <w:rsid w:val="00D67A63"/>
    <w:rsid w:val="00D7275F"/>
    <w:rsid w:val="00D7348C"/>
    <w:rsid w:val="00D7527E"/>
    <w:rsid w:val="00D75FDD"/>
    <w:rsid w:val="00D80F27"/>
    <w:rsid w:val="00DA1E14"/>
    <w:rsid w:val="00DA2B30"/>
    <w:rsid w:val="00DA3C2C"/>
    <w:rsid w:val="00DB3DB1"/>
    <w:rsid w:val="00DC377E"/>
    <w:rsid w:val="00DC3BFE"/>
    <w:rsid w:val="00DC5847"/>
    <w:rsid w:val="00DE7064"/>
    <w:rsid w:val="00DF77AC"/>
    <w:rsid w:val="00E00344"/>
    <w:rsid w:val="00E00474"/>
    <w:rsid w:val="00E06EC5"/>
    <w:rsid w:val="00E07EBF"/>
    <w:rsid w:val="00E20C9D"/>
    <w:rsid w:val="00E24F45"/>
    <w:rsid w:val="00E27922"/>
    <w:rsid w:val="00E359AE"/>
    <w:rsid w:val="00E45DF1"/>
    <w:rsid w:val="00E62A9E"/>
    <w:rsid w:val="00E85F6B"/>
    <w:rsid w:val="00EC5BF8"/>
    <w:rsid w:val="00EE6C4C"/>
    <w:rsid w:val="00F0527C"/>
    <w:rsid w:val="00F12302"/>
    <w:rsid w:val="00F13E08"/>
    <w:rsid w:val="00F66C92"/>
    <w:rsid w:val="00F93C61"/>
    <w:rsid w:val="00FA32F7"/>
    <w:rsid w:val="00FB04E9"/>
    <w:rsid w:val="00FC7195"/>
    <w:rsid w:val="00FD42FA"/>
    <w:rsid w:val="00FD64BC"/>
    <w:rsid w:val="00FE4A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67C88BDE-B70D-472A-9771-DA00D8A0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1">
    <w:name w:val="heading 1"/>
    <w:basedOn w:val="Normlny"/>
    <w:next w:val="Normlny"/>
    <w:link w:val="Nadpis1Char"/>
    <w:uiPriority w:val="99"/>
    <w:qFormat/>
    <w:rsid w:val="00074B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uiPriority w:val="99"/>
    <w:semiHidden/>
    <w:unhideWhenUsed/>
    <w:qFormat/>
    <w:rsid w:val="009853C2"/>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9"/>
    <w:semiHidden/>
    <w:unhideWhenUsed/>
    <w:qFormat/>
    <w:rsid w:val="009853C2"/>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unhideWhenUsed/>
    <w:rsid w:val="00EC5BF8"/>
    <w:rPr>
      <w:sz w:val="20"/>
      <w:szCs w:val="20"/>
    </w:rPr>
  </w:style>
  <w:style w:type="character" w:customStyle="1" w:styleId="TextkomentraChar">
    <w:name w:val="Text komentára Char"/>
    <w:basedOn w:val="Predvolenpsmoodseku"/>
    <w:link w:val="Textkomentra"/>
    <w:uiPriority w:val="99"/>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34"/>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556DA"/>
    <w:pPr>
      <w:tabs>
        <w:tab w:val="center" w:pos="4536"/>
        <w:tab w:val="right" w:pos="9072"/>
      </w:tabs>
    </w:pPr>
  </w:style>
  <w:style w:type="character" w:customStyle="1" w:styleId="HlavikaChar">
    <w:name w:val="Hlavička Char"/>
    <w:basedOn w:val="Predvolenpsmoodseku"/>
    <w:link w:val="Hlavika"/>
    <w:uiPriority w:val="99"/>
    <w:rsid w:val="000556DA"/>
    <w:rPr>
      <w:sz w:val="24"/>
      <w:szCs w:val="24"/>
    </w:rPr>
  </w:style>
  <w:style w:type="paragraph" w:styleId="Pta">
    <w:name w:val="footer"/>
    <w:basedOn w:val="Normlny"/>
    <w:link w:val="PtaChar"/>
    <w:uiPriority w:val="99"/>
    <w:unhideWhenUsed/>
    <w:rsid w:val="000556DA"/>
    <w:pPr>
      <w:tabs>
        <w:tab w:val="center" w:pos="4536"/>
        <w:tab w:val="right" w:pos="9072"/>
      </w:tabs>
    </w:pPr>
  </w:style>
  <w:style w:type="character" w:customStyle="1" w:styleId="PtaChar">
    <w:name w:val="Päta Char"/>
    <w:basedOn w:val="Predvolenpsmoodseku"/>
    <w:link w:val="Pta"/>
    <w:uiPriority w:val="99"/>
    <w:rsid w:val="000556DA"/>
    <w:rPr>
      <w:sz w:val="24"/>
      <w:szCs w:val="24"/>
    </w:rPr>
  </w:style>
  <w:style w:type="character" w:customStyle="1" w:styleId="Nadpis1Char">
    <w:name w:val="Nadpis 1 Char"/>
    <w:basedOn w:val="Predvolenpsmoodseku"/>
    <w:link w:val="Nadpis1"/>
    <w:uiPriority w:val="9"/>
    <w:rsid w:val="00074B32"/>
    <w:rPr>
      <w:rFonts w:asciiTheme="majorHAnsi" w:eastAsiaTheme="majorEastAsia" w:hAnsiTheme="majorHAnsi" w:cstheme="majorBidi"/>
      <w:color w:val="365F91" w:themeColor="accent1" w:themeShade="BF"/>
      <w:sz w:val="32"/>
      <w:szCs w:val="32"/>
    </w:rPr>
  </w:style>
  <w:style w:type="character" w:styleId="Zvraznenie">
    <w:name w:val="Emphasis"/>
    <w:basedOn w:val="Predvolenpsmoodseku"/>
    <w:uiPriority w:val="20"/>
    <w:qFormat/>
    <w:rsid w:val="00074B32"/>
    <w:rPr>
      <w:rFonts w:cs="Times New Roman"/>
      <w:i/>
    </w:rPr>
  </w:style>
  <w:style w:type="character" w:styleId="Hypertextovprepojenie">
    <w:name w:val="Hyperlink"/>
    <w:basedOn w:val="Predvolenpsmoodseku"/>
    <w:uiPriority w:val="99"/>
    <w:semiHidden/>
    <w:unhideWhenUsed/>
    <w:rsid w:val="00056B62"/>
    <w:rPr>
      <w:color w:val="0000FF"/>
      <w:u w:val="single"/>
    </w:rPr>
  </w:style>
  <w:style w:type="paragraph" w:styleId="Normlnywebov">
    <w:name w:val="Normal (Web)"/>
    <w:basedOn w:val="Normlny"/>
    <w:uiPriority w:val="99"/>
    <w:semiHidden/>
    <w:unhideWhenUsed/>
    <w:rsid w:val="00AB4BF7"/>
    <w:pPr>
      <w:widowControl/>
      <w:autoSpaceDE/>
      <w:autoSpaceDN/>
      <w:adjustRightInd/>
      <w:spacing w:before="100" w:beforeAutospacing="1" w:after="100" w:afterAutospacing="1"/>
    </w:pPr>
  </w:style>
  <w:style w:type="paragraph" w:customStyle="1" w:styleId="forceindicator">
    <w:name w:val="forceindicator"/>
    <w:basedOn w:val="Normlny"/>
    <w:rsid w:val="00AB4BF7"/>
    <w:pPr>
      <w:widowControl/>
      <w:autoSpaceDE/>
      <w:autoSpaceDN/>
      <w:adjustRightInd/>
      <w:spacing w:before="100" w:beforeAutospacing="1" w:after="100" w:afterAutospacing="1"/>
    </w:pPr>
  </w:style>
  <w:style w:type="paragraph" w:styleId="Revzia">
    <w:name w:val="Revision"/>
    <w:hidden/>
    <w:uiPriority w:val="99"/>
    <w:semiHidden/>
    <w:rsid w:val="003D3CC4"/>
    <w:pPr>
      <w:spacing w:after="0" w:line="240" w:lineRule="auto"/>
    </w:pPr>
    <w:rPr>
      <w:sz w:val="24"/>
      <w:szCs w:val="24"/>
    </w:rPr>
  </w:style>
  <w:style w:type="character" w:customStyle="1" w:styleId="Nadpis3Char">
    <w:name w:val="Nadpis 3 Char"/>
    <w:basedOn w:val="Predvolenpsmoodseku"/>
    <w:link w:val="Nadpis3"/>
    <w:uiPriority w:val="99"/>
    <w:semiHidden/>
    <w:rsid w:val="009853C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9"/>
    <w:semiHidden/>
    <w:rsid w:val="009853C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63597">
      <w:bodyDiv w:val="1"/>
      <w:marLeft w:val="0"/>
      <w:marRight w:val="0"/>
      <w:marTop w:val="0"/>
      <w:marBottom w:val="0"/>
      <w:divBdr>
        <w:top w:val="none" w:sz="0" w:space="0" w:color="auto"/>
        <w:left w:val="none" w:sz="0" w:space="0" w:color="auto"/>
        <w:bottom w:val="none" w:sz="0" w:space="0" w:color="auto"/>
        <w:right w:val="none" w:sz="0" w:space="0" w:color="auto"/>
      </w:divBdr>
      <w:divsChild>
        <w:div w:id="2112620792">
          <w:marLeft w:val="0"/>
          <w:marRight w:val="0"/>
          <w:marTop w:val="0"/>
          <w:marBottom w:val="0"/>
          <w:divBdr>
            <w:top w:val="none" w:sz="0" w:space="0" w:color="auto"/>
            <w:left w:val="none" w:sz="0" w:space="0" w:color="auto"/>
            <w:bottom w:val="none" w:sz="0" w:space="0" w:color="auto"/>
            <w:right w:val="none" w:sz="0" w:space="0" w:color="auto"/>
          </w:divBdr>
        </w:div>
      </w:divsChild>
    </w:div>
    <w:div w:id="521091469">
      <w:bodyDiv w:val="1"/>
      <w:marLeft w:val="0"/>
      <w:marRight w:val="0"/>
      <w:marTop w:val="0"/>
      <w:marBottom w:val="0"/>
      <w:divBdr>
        <w:top w:val="none" w:sz="0" w:space="0" w:color="auto"/>
        <w:left w:val="none" w:sz="0" w:space="0" w:color="auto"/>
        <w:bottom w:val="none" w:sz="0" w:space="0" w:color="auto"/>
        <w:right w:val="none" w:sz="0" w:space="0" w:color="auto"/>
      </w:divBdr>
      <w:divsChild>
        <w:div w:id="1921673111">
          <w:marLeft w:val="0"/>
          <w:marRight w:val="0"/>
          <w:marTop w:val="0"/>
          <w:marBottom w:val="240"/>
          <w:divBdr>
            <w:top w:val="none" w:sz="0" w:space="0" w:color="auto"/>
            <w:left w:val="none" w:sz="0" w:space="0" w:color="auto"/>
            <w:bottom w:val="none" w:sz="0" w:space="0" w:color="auto"/>
            <w:right w:val="none" w:sz="0" w:space="0" w:color="auto"/>
          </w:divBdr>
        </w:div>
        <w:div w:id="756560740">
          <w:marLeft w:val="0"/>
          <w:marRight w:val="0"/>
          <w:marTop w:val="100"/>
          <w:marBottom w:val="100"/>
          <w:divBdr>
            <w:top w:val="none" w:sz="0" w:space="0" w:color="auto"/>
            <w:left w:val="none" w:sz="0" w:space="0" w:color="auto"/>
            <w:bottom w:val="none" w:sz="0" w:space="0" w:color="auto"/>
            <w:right w:val="none" w:sz="0" w:space="0" w:color="auto"/>
          </w:divBdr>
        </w:div>
        <w:div w:id="766197678">
          <w:marLeft w:val="0"/>
          <w:marRight w:val="0"/>
          <w:marTop w:val="0"/>
          <w:marBottom w:val="300"/>
          <w:divBdr>
            <w:top w:val="none" w:sz="0" w:space="0" w:color="auto"/>
            <w:left w:val="none" w:sz="0" w:space="0" w:color="auto"/>
            <w:bottom w:val="single" w:sz="6" w:space="8" w:color="EFEFEF"/>
            <w:right w:val="none" w:sz="0" w:space="0" w:color="auto"/>
          </w:divBdr>
        </w:div>
      </w:divsChild>
    </w:div>
    <w:div w:id="736631322">
      <w:bodyDiv w:val="1"/>
      <w:marLeft w:val="0"/>
      <w:marRight w:val="0"/>
      <w:marTop w:val="0"/>
      <w:marBottom w:val="0"/>
      <w:divBdr>
        <w:top w:val="none" w:sz="0" w:space="0" w:color="auto"/>
        <w:left w:val="none" w:sz="0" w:space="0" w:color="auto"/>
        <w:bottom w:val="none" w:sz="0" w:space="0" w:color="auto"/>
        <w:right w:val="none" w:sz="0" w:space="0" w:color="auto"/>
      </w:divBdr>
    </w:div>
    <w:div w:id="761879032">
      <w:bodyDiv w:val="1"/>
      <w:marLeft w:val="0"/>
      <w:marRight w:val="0"/>
      <w:marTop w:val="0"/>
      <w:marBottom w:val="0"/>
      <w:divBdr>
        <w:top w:val="none" w:sz="0" w:space="0" w:color="auto"/>
        <w:left w:val="none" w:sz="0" w:space="0" w:color="auto"/>
        <w:bottom w:val="none" w:sz="0" w:space="0" w:color="auto"/>
        <w:right w:val="none" w:sz="0" w:space="0" w:color="auto"/>
      </w:divBdr>
      <w:divsChild>
        <w:div w:id="435099042">
          <w:marLeft w:val="0"/>
          <w:marRight w:val="0"/>
          <w:marTop w:val="0"/>
          <w:marBottom w:val="0"/>
          <w:divBdr>
            <w:top w:val="none" w:sz="0" w:space="0" w:color="auto"/>
            <w:left w:val="none" w:sz="0" w:space="0" w:color="auto"/>
            <w:bottom w:val="none" w:sz="0" w:space="0" w:color="auto"/>
            <w:right w:val="none" w:sz="0" w:space="0" w:color="auto"/>
          </w:divBdr>
        </w:div>
        <w:div w:id="1717922721">
          <w:marLeft w:val="0"/>
          <w:marRight w:val="0"/>
          <w:marTop w:val="0"/>
          <w:marBottom w:val="0"/>
          <w:divBdr>
            <w:top w:val="none" w:sz="0" w:space="0" w:color="auto"/>
            <w:left w:val="none" w:sz="0" w:space="0" w:color="auto"/>
            <w:bottom w:val="none" w:sz="0" w:space="0" w:color="auto"/>
            <w:right w:val="none" w:sz="0" w:space="0" w:color="auto"/>
          </w:divBdr>
        </w:div>
      </w:divsChild>
    </w:div>
    <w:div w:id="936641385">
      <w:bodyDiv w:val="1"/>
      <w:marLeft w:val="0"/>
      <w:marRight w:val="0"/>
      <w:marTop w:val="0"/>
      <w:marBottom w:val="0"/>
      <w:divBdr>
        <w:top w:val="none" w:sz="0" w:space="0" w:color="auto"/>
        <w:left w:val="none" w:sz="0" w:space="0" w:color="auto"/>
        <w:bottom w:val="none" w:sz="0" w:space="0" w:color="auto"/>
        <w:right w:val="none" w:sz="0" w:space="0" w:color="auto"/>
      </w:divBdr>
      <w:divsChild>
        <w:div w:id="1423840175">
          <w:marLeft w:val="0"/>
          <w:marRight w:val="0"/>
          <w:marTop w:val="0"/>
          <w:marBottom w:val="0"/>
          <w:divBdr>
            <w:top w:val="none" w:sz="0" w:space="0" w:color="auto"/>
            <w:left w:val="none" w:sz="0" w:space="0" w:color="auto"/>
            <w:bottom w:val="none" w:sz="0" w:space="0" w:color="auto"/>
            <w:right w:val="none" w:sz="0" w:space="0" w:color="auto"/>
          </w:divBdr>
        </w:div>
        <w:div w:id="1741369836">
          <w:marLeft w:val="0"/>
          <w:marRight w:val="0"/>
          <w:marTop w:val="0"/>
          <w:marBottom w:val="0"/>
          <w:divBdr>
            <w:top w:val="none" w:sz="0" w:space="0" w:color="auto"/>
            <w:left w:val="none" w:sz="0" w:space="0" w:color="auto"/>
            <w:bottom w:val="none" w:sz="0" w:space="0" w:color="auto"/>
            <w:right w:val="none" w:sz="0" w:space="0" w:color="auto"/>
          </w:divBdr>
          <w:divsChild>
            <w:div w:id="960695781">
              <w:marLeft w:val="0"/>
              <w:marRight w:val="0"/>
              <w:marTop w:val="0"/>
              <w:marBottom w:val="240"/>
              <w:divBdr>
                <w:top w:val="none" w:sz="0" w:space="0" w:color="auto"/>
                <w:left w:val="none" w:sz="0" w:space="0" w:color="auto"/>
                <w:bottom w:val="none" w:sz="0" w:space="0" w:color="auto"/>
                <w:right w:val="none" w:sz="0" w:space="0" w:color="auto"/>
              </w:divBdr>
            </w:div>
            <w:div w:id="559024582">
              <w:marLeft w:val="0"/>
              <w:marRight w:val="0"/>
              <w:marTop w:val="100"/>
              <w:marBottom w:val="100"/>
              <w:divBdr>
                <w:top w:val="none" w:sz="0" w:space="0" w:color="auto"/>
                <w:left w:val="none" w:sz="0" w:space="0" w:color="auto"/>
                <w:bottom w:val="none" w:sz="0" w:space="0" w:color="auto"/>
                <w:right w:val="none" w:sz="0" w:space="0" w:color="auto"/>
              </w:divBdr>
            </w:div>
            <w:div w:id="98375010">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051656611">
      <w:bodyDiv w:val="1"/>
      <w:marLeft w:val="0"/>
      <w:marRight w:val="0"/>
      <w:marTop w:val="0"/>
      <w:marBottom w:val="0"/>
      <w:divBdr>
        <w:top w:val="none" w:sz="0" w:space="0" w:color="auto"/>
        <w:left w:val="none" w:sz="0" w:space="0" w:color="auto"/>
        <w:bottom w:val="none" w:sz="0" w:space="0" w:color="auto"/>
        <w:right w:val="none" w:sz="0" w:space="0" w:color="auto"/>
      </w:divBdr>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431268657">
      <w:bodyDiv w:val="1"/>
      <w:marLeft w:val="0"/>
      <w:marRight w:val="0"/>
      <w:marTop w:val="0"/>
      <w:marBottom w:val="0"/>
      <w:divBdr>
        <w:top w:val="none" w:sz="0" w:space="0" w:color="auto"/>
        <w:left w:val="none" w:sz="0" w:space="0" w:color="auto"/>
        <w:bottom w:val="none" w:sz="0" w:space="0" w:color="auto"/>
        <w:right w:val="none" w:sz="0" w:space="0" w:color="auto"/>
      </w:divBdr>
    </w:div>
    <w:div w:id="1454904484">
      <w:bodyDiv w:val="1"/>
      <w:marLeft w:val="0"/>
      <w:marRight w:val="0"/>
      <w:marTop w:val="0"/>
      <w:marBottom w:val="0"/>
      <w:divBdr>
        <w:top w:val="none" w:sz="0" w:space="0" w:color="auto"/>
        <w:left w:val="none" w:sz="0" w:space="0" w:color="auto"/>
        <w:bottom w:val="none" w:sz="0" w:space="0" w:color="auto"/>
        <w:right w:val="none" w:sz="0" w:space="0" w:color="auto"/>
      </w:divBdr>
      <w:divsChild>
        <w:div w:id="1855922810">
          <w:marLeft w:val="0"/>
          <w:marRight w:val="0"/>
          <w:marTop w:val="0"/>
          <w:marBottom w:val="0"/>
          <w:divBdr>
            <w:top w:val="none" w:sz="0" w:space="0" w:color="auto"/>
            <w:left w:val="none" w:sz="0" w:space="0" w:color="auto"/>
            <w:bottom w:val="none" w:sz="0" w:space="0" w:color="auto"/>
            <w:right w:val="none" w:sz="0" w:space="0" w:color="auto"/>
          </w:divBdr>
        </w:div>
        <w:div w:id="988249178">
          <w:marLeft w:val="0"/>
          <w:marRight w:val="0"/>
          <w:marTop w:val="0"/>
          <w:marBottom w:val="0"/>
          <w:divBdr>
            <w:top w:val="none" w:sz="0" w:space="0" w:color="auto"/>
            <w:left w:val="none" w:sz="0" w:space="0" w:color="auto"/>
            <w:bottom w:val="none" w:sz="0" w:space="0" w:color="auto"/>
            <w:right w:val="none" w:sz="0" w:space="0" w:color="auto"/>
          </w:divBdr>
        </w:div>
        <w:div w:id="741369893">
          <w:marLeft w:val="0"/>
          <w:marRight w:val="0"/>
          <w:marTop w:val="0"/>
          <w:marBottom w:val="0"/>
          <w:divBdr>
            <w:top w:val="none" w:sz="0" w:space="0" w:color="auto"/>
            <w:left w:val="none" w:sz="0" w:space="0" w:color="auto"/>
            <w:bottom w:val="none" w:sz="0" w:space="0" w:color="auto"/>
            <w:right w:val="none" w:sz="0" w:space="0" w:color="auto"/>
          </w:divBdr>
        </w:div>
        <w:div w:id="1894269119">
          <w:marLeft w:val="0"/>
          <w:marRight w:val="0"/>
          <w:marTop w:val="0"/>
          <w:marBottom w:val="0"/>
          <w:divBdr>
            <w:top w:val="none" w:sz="0" w:space="0" w:color="auto"/>
            <w:left w:val="none" w:sz="0" w:space="0" w:color="auto"/>
            <w:bottom w:val="none" w:sz="0" w:space="0" w:color="auto"/>
            <w:right w:val="none" w:sz="0" w:space="0" w:color="auto"/>
          </w:divBdr>
        </w:div>
        <w:div w:id="1796410136">
          <w:marLeft w:val="0"/>
          <w:marRight w:val="0"/>
          <w:marTop w:val="0"/>
          <w:marBottom w:val="0"/>
          <w:divBdr>
            <w:top w:val="none" w:sz="0" w:space="0" w:color="auto"/>
            <w:left w:val="none" w:sz="0" w:space="0" w:color="auto"/>
            <w:bottom w:val="none" w:sz="0" w:space="0" w:color="auto"/>
            <w:right w:val="none" w:sz="0" w:space="0" w:color="auto"/>
          </w:divBdr>
        </w:div>
        <w:div w:id="804544434">
          <w:marLeft w:val="0"/>
          <w:marRight w:val="0"/>
          <w:marTop w:val="0"/>
          <w:marBottom w:val="0"/>
          <w:divBdr>
            <w:top w:val="none" w:sz="0" w:space="0" w:color="auto"/>
            <w:left w:val="none" w:sz="0" w:space="0" w:color="auto"/>
            <w:bottom w:val="none" w:sz="0" w:space="0" w:color="auto"/>
            <w:right w:val="none" w:sz="0" w:space="0" w:color="auto"/>
          </w:divBdr>
        </w:div>
        <w:div w:id="1620646713">
          <w:marLeft w:val="0"/>
          <w:marRight w:val="0"/>
          <w:marTop w:val="0"/>
          <w:marBottom w:val="0"/>
          <w:divBdr>
            <w:top w:val="none" w:sz="0" w:space="0" w:color="auto"/>
            <w:left w:val="none" w:sz="0" w:space="0" w:color="auto"/>
            <w:bottom w:val="none" w:sz="0" w:space="0" w:color="auto"/>
            <w:right w:val="none" w:sz="0" w:space="0" w:color="auto"/>
          </w:divBdr>
        </w:div>
        <w:div w:id="1998072058">
          <w:marLeft w:val="0"/>
          <w:marRight w:val="0"/>
          <w:marTop w:val="0"/>
          <w:marBottom w:val="0"/>
          <w:divBdr>
            <w:top w:val="none" w:sz="0" w:space="0" w:color="auto"/>
            <w:left w:val="none" w:sz="0" w:space="0" w:color="auto"/>
            <w:bottom w:val="none" w:sz="0" w:space="0" w:color="auto"/>
            <w:right w:val="none" w:sz="0" w:space="0" w:color="auto"/>
          </w:divBdr>
        </w:div>
        <w:div w:id="15010601">
          <w:marLeft w:val="0"/>
          <w:marRight w:val="0"/>
          <w:marTop w:val="0"/>
          <w:marBottom w:val="0"/>
          <w:divBdr>
            <w:top w:val="none" w:sz="0" w:space="0" w:color="auto"/>
            <w:left w:val="none" w:sz="0" w:space="0" w:color="auto"/>
            <w:bottom w:val="none" w:sz="0" w:space="0" w:color="auto"/>
            <w:right w:val="none" w:sz="0" w:space="0" w:color="auto"/>
          </w:divBdr>
        </w:div>
        <w:div w:id="564334825">
          <w:marLeft w:val="0"/>
          <w:marRight w:val="0"/>
          <w:marTop w:val="0"/>
          <w:marBottom w:val="0"/>
          <w:divBdr>
            <w:top w:val="none" w:sz="0" w:space="0" w:color="auto"/>
            <w:left w:val="none" w:sz="0" w:space="0" w:color="auto"/>
            <w:bottom w:val="none" w:sz="0" w:space="0" w:color="auto"/>
            <w:right w:val="none" w:sz="0" w:space="0" w:color="auto"/>
          </w:divBdr>
        </w:div>
      </w:divsChild>
    </w:div>
    <w:div w:id="1523203830">
      <w:bodyDiv w:val="1"/>
      <w:marLeft w:val="0"/>
      <w:marRight w:val="0"/>
      <w:marTop w:val="0"/>
      <w:marBottom w:val="0"/>
      <w:divBdr>
        <w:top w:val="none" w:sz="0" w:space="0" w:color="auto"/>
        <w:left w:val="none" w:sz="0" w:space="0" w:color="auto"/>
        <w:bottom w:val="none" w:sz="0" w:space="0" w:color="auto"/>
        <w:right w:val="none" w:sz="0" w:space="0" w:color="auto"/>
      </w:divBdr>
      <w:divsChild>
        <w:div w:id="186796073">
          <w:marLeft w:val="0"/>
          <w:marRight w:val="0"/>
          <w:marTop w:val="0"/>
          <w:marBottom w:val="0"/>
          <w:divBdr>
            <w:top w:val="none" w:sz="0" w:space="0" w:color="auto"/>
            <w:left w:val="none" w:sz="0" w:space="0" w:color="auto"/>
            <w:bottom w:val="none" w:sz="0" w:space="0" w:color="auto"/>
            <w:right w:val="none" w:sz="0" w:space="0" w:color="auto"/>
          </w:divBdr>
          <w:divsChild>
            <w:div w:id="1854883288">
              <w:marLeft w:val="0"/>
              <w:marRight w:val="0"/>
              <w:marTop w:val="0"/>
              <w:marBottom w:val="0"/>
              <w:divBdr>
                <w:top w:val="none" w:sz="0" w:space="0" w:color="auto"/>
                <w:left w:val="none" w:sz="0" w:space="0" w:color="auto"/>
                <w:bottom w:val="none" w:sz="0" w:space="0" w:color="auto"/>
                <w:right w:val="none" w:sz="0" w:space="0" w:color="auto"/>
              </w:divBdr>
            </w:div>
            <w:div w:id="1808277871">
              <w:marLeft w:val="0"/>
              <w:marRight w:val="0"/>
              <w:marTop w:val="0"/>
              <w:marBottom w:val="0"/>
              <w:divBdr>
                <w:top w:val="none" w:sz="0" w:space="0" w:color="auto"/>
                <w:left w:val="none" w:sz="0" w:space="0" w:color="auto"/>
                <w:bottom w:val="none" w:sz="0" w:space="0" w:color="auto"/>
                <w:right w:val="none" w:sz="0" w:space="0" w:color="auto"/>
              </w:divBdr>
            </w:div>
            <w:div w:id="9915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052">
      <w:bodyDiv w:val="1"/>
      <w:marLeft w:val="0"/>
      <w:marRight w:val="0"/>
      <w:marTop w:val="0"/>
      <w:marBottom w:val="0"/>
      <w:divBdr>
        <w:top w:val="none" w:sz="0" w:space="0" w:color="auto"/>
        <w:left w:val="none" w:sz="0" w:space="0" w:color="auto"/>
        <w:bottom w:val="none" w:sz="0" w:space="0" w:color="auto"/>
        <w:right w:val="none" w:sz="0" w:space="0" w:color="auto"/>
      </w:divBdr>
      <w:divsChild>
        <w:div w:id="606502333">
          <w:marLeft w:val="0"/>
          <w:marRight w:val="0"/>
          <w:marTop w:val="0"/>
          <w:marBottom w:val="0"/>
          <w:divBdr>
            <w:top w:val="none" w:sz="0" w:space="0" w:color="auto"/>
            <w:left w:val="none" w:sz="0" w:space="0" w:color="auto"/>
            <w:bottom w:val="none" w:sz="0" w:space="0" w:color="auto"/>
            <w:right w:val="none" w:sz="0" w:space="0" w:color="auto"/>
          </w:divBdr>
        </w:div>
      </w:divsChild>
    </w:div>
    <w:div w:id="1624842095">
      <w:bodyDiv w:val="1"/>
      <w:marLeft w:val="0"/>
      <w:marRight w:val="0"/>
      <w:marTop w:val="0"/>
      <w:marBottom w:val="0"/>
      <w:divBdr>
        <w:top w:val="none" w:sz="0" w:space="0" w:color="auto"/>
        <w:left w:val="none" w:sz="0" w:space="0" w:color="auto"/>
        <w:bottom w:val="none" w:sz="0" w:space="0" w:color="auto"/>
        <w:right w:val="none" w:sz="0" w:space="0" w:color="auto"/>
      </w:divBdr>
      <w:divsChild>
        <w:div w:id="1807696775">
          <w:marLeft w:val="0"/>
          <w:marRight w:val="0"/>
          <w:marTop w:val="0"/>
          <w:marBottom w:val="240"/>
          <w:divBdr>
            <w:top w:val="none" w:sz="0" w:space="0" w:color="auto"/>
            <w:left w:val="none" w:sz="0" w:space="0" w:color="auto"/>
            <w:bottom w:val="none" w:sz="0" w:space="0" w:color="auto"/>
            <w:right w:val="none" w:sz="0" w:space="0" w:color="auto"/>
          </w:divBdr>
        </w:div>
        <w:div w:id="885528097">
          <w:marLeft w:val="0"/>
          <w:marRight w:val="0"/>
          <w:marTop w:val="100"/>
          <w:marBottom w:val="100"/>
          <w:divBdr>
            <w:top w:val="none" w:sz="0" w:space="0" w:color="auto"/>
            <w:left w:val="none" w:sz="0" w:space="0" w:color="auto"/>
            <w:bottom w:val="none" w:sz="0" w:space="0" w:color="auto"/>
            <w:right w:val="none" w:sz="0" w:space="0" w:color="auto"/>
          </w:divBdr>
        </w:div>
        <w:div w:id="2001494752">
          <w:marLeft w:val="0"/>
          <w:marRight w:val="0"/>
          <w:marTop w:val="0"/>
          <w:marBottom w:val="300"/>
          <w:divBdr>
            <w:top w:val="none" w:sz="0" w:space="0" w:color="auto"/>
            <w:left w:val="none" w:sz="0" w:space="0" w:color="auto"/>
            <w:bottom w:val="single" w:sz="6" w:space="8" w:color="EFEFEF"/>
            <w:right w:val="none" w:sz="0" w:space="0" w:color="auto"/>
          </w:divBdr>
        </w:div>
      </w:divsChild>
    </w:div>
    <w:div w:id="1674255589">
      <w:bodyDiv w:val="1"/>
      <w:marLeft w:val="0"/>
      <w:marRight w:val="0"/>
      <w:marTop w:val="0"/>
      <w:marBottom w:val="0"/>
      <w:divBdr>
        <w:top w:val="none" w:sz="0" w:space="0" w:color="auto"/>
        <w:left w:val="none" w:sz="0" w:space="0" w:color="auto"/>
        <w:bottom w:val="none" w:sz="0" w:space="0" w:color="auto"/>
        <w:right w:val="none" w:sz="0" w:space="0" w:color="auto"/>
      </w:divBdr>
    </w:div>
    <w:div w:id="1826163160">
      <w:bodyDiv w:val="1"/>
      <w:marLeft w:val="0"/>
      <w:marRight w:val="0"/>
      <w:marTop w:val="0"/>
      <w:marBottom w:val="0"/>
      <w:divBdr>
        <w:top w:val="none" w:sz="0" w:space="0" w:color="auto"/>
        <w:left w:val="none" w:sz="0" w:space="0" w:color="auto"/>
        <w:bottom w:val="none" w:sz="0" w:space="0" w:color="auto"/>
        <w:right w:val="none" w:sz="0" w:space="0" w:color="auto"/>
      </w:divBdr>
    </w:div>
    <w:div w:id="1895235675">
      <w:bodyDiv w:val="1"/>
      <w:marLeft w:val="0"/>
      <w:marRight w:val="0"/>
      <w:marTop w:val="0"/>
      <w:marBottom w:val="0"/>
      <w:divBdr>
        <w:top w:val="none" w:sz="0" w:space="0" w:color="auto"/>
        <w:left w:val="none" w:sz="0" w:space="0" w:color="auto"/>
        <w:bottom w:val="none" w:sz="0" w:space="0" w:color="auto"/>
        <w:right w:val="none" w:sz="0" w:space="0" w:color="auto"/>
      </w:divBdr>
      <w:divsChild>
        <w:div w:id="1191650246">
          <w:marLeft w:val="0"/>
          <w:marRight w:val="0"/>
          <w:marTop w:val="0"/>
          <w:marBottom w:val="0"/>
          <w:divBdr>
            <w:top w:val="none" w:sz="0" w:space="0" w:color="auto"/>
            <w:left w:val="none" w:sz="0" w:space="0" w:color="auto"/>
            <w:bottom w:val="none" w:sz="0" w:space="0" w:color="auto"/>
            <w:right w:val="none" w:sz="0" w:space="0" w:color="auto"/>
          </w:divBdr>
        </w:div>
      </w:divsChild>
    </w:div>
    <w:div w:id="1970427243">
      <w:bodyDiv w:val="1"/>
      <w:marLeft w:val="0"/>
      <w:marRight w:val="0"/>
      <w:marTop w:val="0"/>
      <w:marBottom w:val="0"/>
      <w:divBdr>
        <w:top w:val="none" w:sz="0" w:space="0" w:color="auto"/>
        <w:left w:val="none" w:sz="0" w:space="0" w:color="auto"/>
        <w:bottom w:val="none" w:sz="0" w:space="0" w:color="auto"/>
        <w:right w:val="none" w:sz="0" w:space="0" w:color="auto"/>
      </w:divBdr>
    </w:div>
    <w:div w:id="2041196567">
      <w:bodyDiv w:val="1"/>
      <w:marLeft w:val="0"/>
      <w:marRight w:val="0"/>
      <w:marTop w:val="0"/>
      <w:marBottom w:val="0"/>
      <w:divBdr>
        <w:top w:val="none" w:sz="0" w:space="0" w:color="auto"/>
        <w:left w:val="none" w:sz="0" w:space="0" w:color="auto"/>
        <w:bottom w:val="none" w:sz="0" w:space="0" w:color="auto"/>
        <w:right w:val="none" w:sz="0" w:space="0" w:color="auto"/>
      </w:divBdr>
      <w:divsChild>
        <w:div w:id="143486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_doložka-zlučiteľnosti_novela-zákona-272_2015_MPK"/>
    <f:field ref="objsubject" par="" edit="true" text=""/>
    <f:field ref="objcreatedby" par="" text="Blaho, Peter, JUDr."/>
    <f:field ref="objcreatedat" par="" text="8.9.2022 13:21:48"/>
    <f:field ref="objchangedby" par="" text="Administrator, System"/>
    <f:field ref="objmodifiedat" par="" text="8.9.2022 13:21: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654AE0-494B-4169-8BBF-F16A6DCD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10448</Characters>
  <Application>Microsoft Office Word</Application>
  <DocSecurity>0</DocSecurity>
  <Lines>87</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Pavol Gibala</dc:creator>
  <cp:lastModifiedBy>Bokol Viliam</cp:lastModifiedBy>
  <cp:revision>2</cp:revision>
  <dcterms:created xsi:type="dcterms:W3CDTF">2023-03-24T02:31:00Z</dcterms:created>
  <dcterms:modified xsi:type="dcterms:W3CDTF">2023-03-24T02:31:00Z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COO.2145.1000.3.5174895</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Štatistiky_x000d_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Peter Blaho</vt:lpwstr>
  </property>
  <property fmtid="{D5CDD505-2E9C-101B-9397-08002B2CF9AE}" pid="11" name="FSC#SKEDITIONSLOVLEX@103.510:zodppredkladatel">
    <vt:lpwstr>Ing. Alexander Ballek</vt:lpwstr>
  </property>
  <property fmtid="{D5CDD505-2E9C-101B-9397-08002B2CF9AE}" pid="12"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3" name="FSC#SKEDITIONSLOVLEX@103.510:cislopredpis">
    <vt:lpwstr/>
  </property>
  <property fmtid="{D5CDD505-2E9C-101B-9397-08002B2CF9AE}" pid="14" name="FSC#SKEDITIONSLOVLEX@103.510:zodpinstitucia">
    <vt:lpwstr>Štatistický úrad Slovenskej republiky (Úrad vlády Slovenskej republiky, odbor legislatívy ostatných ústredných orgánov štátnej správy)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plán legislatívnych úloh vlády Slovenskej republiky na mesiace január až jún 2021</vt:lpwstr>
  </property>
  <property fmtid="{D5CDD505-2E9C-101B-9397-08002B2CF9AE}" pid="18"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19" name="FSC#SKEDITIONSLOVLEX@103.510:rezortcislopredpis">
    <vt:lpwstr>10430-745/2022</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LP/2022/520</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
  </property>
  <property fmtid="{D5CDD505-2E9C-101B-9397-08002B2CF9AE}" pid="38" name="FSC#SKEDITIONSLOVLEX@103.510:AttrStrListDocPropPrimarnePravoEU">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
  </property>
  <property fmtid="{D5CDD505-2E9C-101B-9397-08002B2CF9AE}" pid="129" name="FSC#SKEDITIONSLOVLEX@103.510:AttrStrListDocPropUznesenieNaVedomie">
    <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Predseda</vt:lpwstr>
  </property>
  <property fmtid="{D5CDD505-2E9C-101B-9397-08002B2CF9AE}" pid="138" name="FSC#SKEDITIONSLOVLEX@103.510:funkciaZodpPredAkuzativ">
    <vt:lpwstr>Predsedu</vt:lpwstr>
  </property>
  <property fmtid="{D5CDD505-2E9C-101B-9397-08002B2CF9AE}" pid="139" name="FSC#SKEDITIONSLOVLEX@103.510:funkciaZodpPredDativ">
    <vt:lpwstr>Predsedovi</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Ing. Alexander Ballek_x000d_
Predseda</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2022</vt:lpwstr>
  </property>
  <property fmtid="{D5CDD505-2E9C-101B-9397-08002B2CF9AE}" pid="152" name="FSC#SKEDITIONSLOVLEX@103.510:vytvorenedna">
    <vt:lpwstr>8. 9. 2022</vt:lpwstr>
  </property>
</Properties>
</file>