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F8C4C" w14:textId="06729E37" w:rsidR="00640AD6" w:rsidRDefault="00640AD6" w:rsidP="00640AD6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3715EB">
        <w:rPr>
          <w:rFonts w:eastAsia="Calibri"/>
          <w:b/>
          <w:sz w:val="24"/>
          <w:szCs w:val="24"/>
        </w:rPr>
        <w:t>Analýza vpl</w:t>
      </w:r>
      <w:r w:rsidR="00EF270E" w:rsidRPr="003715EB">
        <w:rPr>
          <w:rFonts w:eastAsia="Calibri"/>
          <w:b/>
          <w:sz w:val="24"/>
          <w:szCs w:val="24"/>
        </w:rPr>
        <w:t>yvov na podnikateľské prostredi</w:t>
      </w:r>
      <w:r w:rsidR="00A03F3E" w:rsidRPr="003715EB">
        <w:rPr>
          <w:rFonts w:eastAsia="Calibri"/>
          <w:b/>
          <w:sz w:val="24"/>
          <w:szCs w:val="24"/>
        </w:rPr>
        <w:t>e</w:t>
      </w:r>
    </w:p>
    <w:p w14:paraId="762C57AE" w14:textId="77777777" w:rsidR="0078144B" w:rsidRPr="00B2053F" w:rsidRDefault="0078144B" w:rsidP="00640AD6">
      <w:pPr>
        <w:jc w:val="center"/>
        <w:rPr>
          <w:rFonts w:eastAsia="Calibri"/>
          <w:sz w:val="24"/>
          <w:szCs w:val="24"/>
        </w:rPr>
      </w:pPr>
    </w:p>
    <w:p w14:paraId="08C33DA7" w14:textId="77777777" w:rsidR="00B2053F" w:rsidRDefault="00640AD6" w:rsidP="00640AD6">
      <w:pPr>
        <w:jc w:val="both"/>
        <w:rPr>
          <w:rFonts w:eastAsia="Calibri"/>
          <w:b/>
          <w:sz w:val="24"/>
          <w:szCs w:val="24"/>
        </w:rPr>
      </w:pPr>
      <w:r w:rsidRPr="003715EB">
        <w:rPr>
          <w:rFonts w:eastAsia="Calibri"/>
          <w:b/>
          <w:sz w:val="24"/>
          <w:szCs w:val="24"/>
        </w:rPr>
        <w:t xml:space="preserve">Názov materiálu: </w:t>
      </w:r>
    </w:p>
    <w:p w14:paraId="4D261AB9" w14:textId="1AA1F858" w:rsidR="00640AD6" w:rsidRPr="003715EB" w:rsidRDefault="00640AD6" w:rsidP="00640AD6">
      <w:pPr>
        <w:jc w:val="both"/>
        <w:rPr>
          <w:rFonts w:eastAsia="Calibri"/>
          <w:b/>
          <w:sz w:val="24"/>
          <w:szCs w:val="24"/>
        </w:rPr>
      </w:pPr>
      <w:r w:rsidRPr="003715EB">
        <w:rPr>
          <w:rFonts w:eastAsia="Calibri"/>
          <w:sz w:val="24"/>
          <w:szCs w:val="24"/>
        </w:rPr>
        <w:t>Nariadenie vlády Slovenskej republiky</w:t>
      </w:r>
      <w:r w:rsidR="00BD1AD1" w:rsidRPr="003715EB">
        <w:rPr>
          <w:rFonts w:eastAsia="Calibri"/>
          <w:sz w:val="24"/>
          <w:szCs w:val="24"/>
        </w:rPr>
        <w:t xml:space="preserve">, </w:t>
      </w:r>
      <w:r w:rsidR="00CA71AD" w:rsidRPr="00CA71AD">
        <w:rPr>
          <w:rFonts w:eastAsia="Calibri"/>
          <w:sz w:val="24"/>
          <w:szCs w:val="24"/>
        </w:rPr>
        <w:t>ktorým sa ustanovujú pravidlá predkladania žiadostí, výkonu kontroly a znižovania priamych podpôr</w:t>
      </w:r>
      <w:r w:rsidR="005F414A">
        <w:rPr>
          <w:rFonts w:eastAsia="Calibri"/>
          <w:sz w:val="24"/>
          <w:szCs w:val="24"/>
        </w:rPr>
        <w:t xml:space="preserve"> Strategického plánu spoločnej poľnohospodárskej politiky</w:t>
      </w:r>
    </w:p>
    <w:p w14:paraId="7F733EB5" w14:textId="77777777" w:rsidR="00B2053F" w:rsidRPr="00B2053F" w:rsidRDefault="00B2053F" w:rsidP="00640AD6">
      <w:pPr>
        <w:jc w:val="both"/>
        <w:rPr>
          <w:rFonts w:eastAsia="Calibri"/>
          <w:sz w:val="24"/>
          <w:szCs w:val="24"/>
        </w:rPr>
      </w:pPr>
    </w:p>
    <w:p w14:paraId="16649A85" w14:textId="77777777" w:rsidR="00B2053F" w:rsidRDefault="00640AD6" w:rsidP="00640AD6">
      <w:pPr>
        <w:jc w:val="both"/>
        <w:rPr>
          <w:rFonts w:eastAsia="Calibri"/>
          <w:b/>
          <w:sz w:val="24"/>
          <w:szCs w:val="24"/>
        </w:rPr>
      </w:pPr>
      <w:r w:rsidRPr="003715EB">
        <w:rPr>
          <w:rFonts w:eastAsia="Calibri"/>
          <w:b/>
          <w:sz w:val="24"/>
          <w:szCs w:val="24"/>
        </w:rPr>
        <w:t>Predkladateľ:</w:t>
      </w:r>
    </w:p>
    <w:p w14:paraId="49DC0040" w14:textId="3D013042" w:rsidR="00640AD6" w:rsidRPr="003715EB" w:rsidRDefault="00640AD6" w:rsidP="00640AD6">
      <w:pPr>
        <w:jc w:val="both"/>
        <w:rPr>
          <w:rFonts w:eastAsia="Calibri"/>
          <w:b/>
          <w:sz w:val="24"/>
          <w:szCs w:val="24"/>
        </w:rPr>
      </w:pPr>
      <w:r w:rsidRPr="003715EB">
        <w:rPr>
          <w:rFonts w:eastAsia="Calibri"/>
          <w:sz w:val="24"/>
          <w:szCs w:val="24"/>
        </w:rPr>
        <w:t>Ministerstvo pôdohospodárstva a</w:t>
      </w:r>
      <w:r w:rsidR="00B2053F">
        <w:rPr>
          <w:rFonts w:eastAsia="Calibri"/>
          <w:sz w:val="24"/>
          <w:szCs w:val="24"/>
        </w:rPr>
        <w:t xml:space="preserve"> </w:t>
      </w:r>
      <w:r w:rsidRPr="003715EB">
        <w:rPr>
          <w:rFonts w:eastAsia="Calibri"/>
          <w:sz w:val="24"/>
          <w:szCs w:val="24"/>
        </w:rPr>
        <w:t>rozvoja vidieka Slovenskej republiky</w:t>
      </w:r>
    </w:p>
    <w:p w14:paraId="652F3BB0" w14:textId="77777777" w:rsidR="00B2053F" w:rsidRDefault="00B2053F" w:rsidP="00640AD6">
      <w:pPr>
        <w:jc w:val="both"/>
        <w:rPr>
          <w:rFonts w:eastAsia="Calibri"/>
          <w:b/>
          <w:sz w:val="24"/>
          <w:szCs w:val="24"/>
        </w:rPr>
      </w:pPr>
    </w:p>
    <w:p w14:paraId="18027750" w14:textId="1D446DA6" w:rsidR="00640AD6" w:rsidRPr="003715EB" w:rsidRDefault="00640AD6" w:rsidP="00640AD6">
      <w:pPr>
        <w:jc w:val="both"/>
        <w:rPr>
          <w:rFonts w:eastAsia="Calibri"/>
          <w:b/>
          <w:sz w:val="24"/>
          <w:szCs w:val="24"/>
        </w:rPr>
      </w:pPr>
      <w:r w:rsidRPr="003715EB">
        <w:rPr>
          <w:rFonts w:eastAsia="Calibri"/>
          <w:b/>
          <w:sz w:val="24"/>
          <w:szCs w:val="24"/>
        </w:rPr>
        <w:t>3.1 Náklady regulácie</w:t>
      </w:r>
    </w:p>
    <w:p w14:paraId="31A7E64B" w14:textId="0C82999A" w:rsidR="00640AD6" w:rsidRPr="003715EB" w:rsidRDefault="00640AD6" w:rsidP="00640AD6">
      <w:pPr>
        <w:tabs>
          <w:tab w:val="left" w:pos="8025"/>
        </w:tabs>
        <w:rPr>
          <w:rFonts w:eastAsia="Calibri"/>
          <w:bCs/>
          <w:i/>
          <w:iCs/>
          <w:sz w:val="24"/>
          <w:szCs w:val="24"/>
        </w:rPr>
      </w:pPr>
      <w:r w:rsidRPr="003715EB">
        <w:rPr>
          <w:rFonts w:eastAsia="Calibri"/>
          <w:b/>
          <w:i/>
          <w:iCs/>
          <w:sz w:val="24"/>
          <w:szCs w:val="24"/>
        </w:rPr>
        <w:t>3.1.1 Súhr</w:t>
      </w:r>
      <w:r w:rsidR="00B2053F">
        <w:rPr>
          <w:rFonts w:eastAsia="Calibri"/>
          <w:b/>
          <w:i/>
          <w:iCs/>
          <w:sz w:val="24"/>
          <w:szCs w:val="24"/>
        </w:rPr>
        <w:t>nná tabuľka nákladov regulácie</w:t>
      </w:r>
    </w:p>
    <w:p w14:paraId="113AA7DC" w14:textId="77777777" w:rsidR="00640AD6" w:rsidRPr="003715EB" w:rsidRDefault="00640AD6" w:rsidP="00640AD6">
      <w:pPr>
        <w:jc w:val="both"/>
        <w:rPr>
          <w:rFonts w:eastAsia="Calibri"/>
          <w:i/>
          <w:sz w:val="24"/>
          <w:szCs w:val="24"/>
        </w:rPr>
      </w:pPr>
      <w:r w:rsidRPr="003715EB">
        <w:rPr>
          <w:rFonts w:eastAsia="Calibri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124669E2" w14:textId="15EB6D61" w:rsidR="00640AD6" w:rsidRPr="003715EB" w:rsidRDefault="00640AD6" w:rsidP="00640AD6">
      <w:pPr>
        <w:jc w:val="both"/>
        <w:rPr>
          <w:rFonts w:eastAsia="Calibri"/>
          <w:i/>
          <w:sz w:val="24"/>
          <w:szCs w:val="24"/>
        </w:rPr>
      </w:pPr>
      <w:r w:rsidRPr="003715EB">
        <w:rPr>
          <w:rFonts w:eastAsia="Calibri"/>
          <w:i/>
          <w:sz w:val="24"/>
          <w:szCs w:val="24"/>
        </w:rPr>
        <w:t>Nahraďte rovnakou tabuľkou po vyplnení Kalkulačky nákladov podnikateľského prostredia, ktorá je povinnou prílohou tejto analýzy a</w:t>
      </w:r>
      <w:r w:rsidR="00B2053F">
        <w:rPr>
          <w:rFonts w:eastAsia="Calibri"/>
          <w:i/>
          <w:sz w:val="24"/>
          <w:szCs w:val="24"/>
        </w:rPr>
        <w:t xml:space="preserve"> </w:t>
      </w:r>
      <w:r w:rsidRPr="003715EB">
        <w:rPr>
          <w:rFonts w:eastAsia="Calibri"/>
          <w:i/>
          <w:sz w:val="24"/>
          <w:szCs w:val="24"/>
        </w:rPr>
        <w:t xml:space="preserve">nájdete ju na </w:t>
      </w:r>
      <w:hyperlink r:id="rId8" w:history="1">
        <w:r w:rsidRPr="003715EB">
          <w:rPr>
            <w:rFonts w:eastAsia="Calibri"/>
            <w:i/>
            <w:sz w:val="24"/>
            <w:szCs w:val="24"/>
            <w:u w:val="single"/>
          </w:rPr>
          <w:t>webovom sídle MH SR</w:t>
        </w:r>
      </w:hyperlink>
      <w:r w:rsidRPr="003715EB">
        <w:rPr>
          <w:rFonts w:eastAsia="Calibri"/>
          <w:i/>
          <w:sz w:val="24"/>
          <w:szCs w:val="24"/>
        </w:rPr>
        <w:t>, (ďalej len „Kalkulačka nákladov“):</w:t>
      </w: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3715EB" w:rsidRPr="003715EB" w14:paraId="239E9DEA" w14:textId="77777777" w:rsidTr="00ED1A67">
        <w:tc>
          <w:tcPr>
            <w:tcW w:w="3681" w:type="dxa"/>
          </w:tcPr>
          <w:p w14:paraId="3258B71A" w14:textId="77777777" w:rsidR="00640AD6" w:rsidRPr="003715EB" w:rsidRDefault="00640AD6" w:rsidP="00ED1A6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3715EB">
              <w:rPr>
                <w:rFonts w:eastAsia="Calibri"/>
                <w:b/>
                <w:bCs/>
                <w:i/>
                <w:sz w:val="24"/>
                <w:szCs w:val="24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10753C89" w14:textId="77777777" w:rsidR="00640AD6" w:rsidRPr="003715EB" w:rsidRDefault="00640AD6" w:rsidP="00ED1A67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715EB">
              <w:rPr>
                <w:rFonts w:eastAsia="Calibri"/>
                <w:b/>
                <w:bCs/>
                <w:sz w:val="24"/>
                <w:szCs w:val="24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7CA0104F" w14:textId="77777777" w:rsidR="00640AD6" w:rsidRPr="003715EB" w:rsidRDefault="00640AD6" w:rsidP="00ED1A6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715EB">
              <w:rPr>
                <w:rFonts w:eastAsia="Calibri"/>
                <w:b/>
                <w:bCs/>
                <w:sz w:val="24"/>
                <w:szCs w:val="24"/>
              </w:rPr>
              <w:t>Zníženie nákladov v € na PP</w:t>
            </w:r>
          </w:p>
        </w:tc>
      </w:tr>
      <w:tr w:rsidR="003715EB" w:rsidRPr="003715EB" w14:paraId="6A48DE35" w14:textId="77777777" w:rsidTr="00B2053F">
        <w:trPr>
          <w:trHeight w:val="227"/>
        </w:trPr>
        <w:tc>
          <w:tcPr>
            <w:tcW w:w="3681" w:type="dxa"/>
          </w:tcPr>
          <w:p w14:paraId="171CCD30" w14:textId="6DD74030" w:rsidR="00640AD6" w:rsidRPr="003715EB" w:rsidRDefault="00640AD6" w:rsidP="00B2053F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3715EB">
              <w:rPr>
                <w:rFonts w:eastAsia="Calibri"/>
                <w:i/>
                <w:iCs/>
                <w:sz w:val="24"/>
                <w:szCs w:val="24"/>
              </w:rPr>
              <w:t>A. Dane, odvody, clá a</w:t>
            </w:r>
            <w:r w:rsidR="00B2053F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3715EB">
              <w:rPr>
                <w:rFonts w:eastAsia="Calibri"/>
                <w:i/>
                <w:iCs/>
                <w:sz w:val="24"/>
                <w:szCs w:val="24"/>
              </w:rPr>
              <w:t>poplatky</w:t>
            </w:r>
            <w:r w:rsidRPr="003715EB">
              <w:rPr>
                <w:sz w:val="24"/>
                <w:szCs w:val="24"/>
              </w:rPr>
              <w:t>,</w:t>
            </w:r>
            <w:r w:rsidRPr="003715EB">
              <w:rPr>
                <w:b/>
                <w:bCs/>
                <w:sz w:val="24"/>
                <w:szCs w:val="24"/>
              </w:rPr>
              <w:t xml:space="preserve"> </w:t>
            </w:r>
            <w:r w:rsidRPr="003715EB">
              <w:rPr>
                <w:rFonts w:eastAsia="Calibri"/>
                <w:i/>
                <w:iCs/>
                <w:sz w:val="24"/>
                <w:szCs w:val="24"/>
              </w:rPr>
              <w:t xml:space="preserve">ktorých cieľom je znižovať negatívne </w:t>
            </w:r>
            <w:proofErr w:type="spellStart"/>
            <w:r w:rsidRPr="003715EB">
              <w:rPr>
                <w:rFonts w:eastAsia="Calibri"/>
                <w:i/>
                <w:iCs/>
                <w:sz w:val="24"/>
                <w:szCs w:val="24"/>
              </w:rPr>
              <w:t>externality</w:t>
            </w:r>
            <w:proofErr w:type="spellEnd"/>
          </w:p>
        </w:tc>
        <w:tc>
          <w:tcPr>
            <w:tcW w:w="2693" w:type="dxa"/>
            <w:shd w:val="clear" w:color="auto" w:fill="FFC000"/>
            <w:vAlign w:val="center"/>
          </w:tcPr>
          <w:p w14:paraId="46F8603C" w14:textId="77777777" w:rsidR="00640AD6" w:rsidRPr="003715EB" w:rsidRDefault="00640AD6" w:rsidP="00B205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715EB">
              <w:rPr>
                <w:rFonts w:eastAsia="Calibri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190C7AC" w14:textId="77777777" w:rsidR="00640AD6" w:rsidRPr="003715EB" w:rsidRDefault="00640AD6" w:rsidP="00B205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715EB"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3715EB" w:rsidRPr="003715EB" w14:paraId="107798F7" w14:textId="77777777" w:rsidTr="00B2053F">
        <w:tc>
          <w:tcPr>
            <w:tcW w:w="3681" w:type="dxa"/>
          </w:tcPr>
          <w:p w14:paraId="08819776" w14:textId="77777777" w:rsidR="00640AD6" w:rsidRPr="003715EB" w:rsidRDefault="00640AD6" w:rsidP="00ED1A67">
            <w:pPr>
              <w:rPr>
                <w:rFonts w:eastAsia="Calibri"/>
                <w:i/>
                <w:sz w:val="24"/>
                <w:szCs w:val="24"/>
              </w:rPr>
            </w:pPr>
            <w:r w:rsidRPr="003715EB">
              <w:rPr>
                <w:rFonts w:eastAsia="Calibri"/>
                <w:i/>
                <w:sz w:val="24"/>
                <w:szCs w:val="24"/>
              </w:rPr>
              <w:t>B. Iné poplatky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6E9C352C" w14:textId="77777777" w:rsidR="00640AD6" w:rsidRPr="003715EB" w:rsidRDefault="00640AD6" w:rsidP="00B205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715EB">
              <w:rPr>
                <w:rFonts w:eastAsia="Calibri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79B0D8BC" w14:textId="77777777" w:rsidR="00640AD6" w:rsidRPr="003715EB" w:rsidRDefault="00640AD6" w:rsidP="00B205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715EB"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3715EB" w:rsidRPr="003715EB" w14:paraId="0BBBDCA7" w14:textId="77777777" w:rsidTr="00B2053F">
        <w:tc>
          <w:tcPr>
            <w:tcW w:w="3681" w:type="dxa"/>
          </w:tcPr>
          <w:p w14:paraId="5733E829" w14:textId="77777777" w:rsidR="00640AD6" w:rsidRPr="003715EB" w:rsidRDefault="00640AD6" w:rsidP="00ED1A67">
            <w:pPr>
              <w:rPr>
                <w:rFonts w:eastAsia="Calibri"/>
                <w:i/>
                <w:sz w:val="24"/>
                <w:szCs w:val="24"/>
              </w:rPr>
            </w:pPr>
            <w:r w:rsidRPr="003715EB">
              <w:rPr>
                <w:rFonts w:eastAsia="Calibri"/>
                <w:i/>
                <w:sz w:val="24"/>
                <w:szCs w:val="24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7D5E6214" w14:textId="77777777" w:rsidR="00640AD6" w:rsidRPr="003715EB" w:rsidRDefault="00640AD6" w:rsidP="00B205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715EB">
              <w:rPr>
                <w:rFonts w:eastAsia="Calibri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28E59CC4" w14:textId="77777777" w:rsidR="00640AD6" w:rsidRPr="003715EB" w:rsidRDefault="00640AD6" w:rsidP="00B205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715EB"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3715EB" w:rsidRPr="003715EB" w14:paraId="1663805B" w14:textId="77777777" w:rsidTr="00B2053F">
        <w:tc>
          <w:tcPr>
            <w:tcW w:w="3681" w:type="dxa"/>
          </w:tcPr>
          <w:p w14:paraId="410CB727" w14:textId="77777777" w:rsidR="00640AD6" w:rsidRPr="003715EB" w:rsidRDefault="00640AD6" w:rsidP="00ED1A67">
            <w:pPr>
              <w:rPr>
                <w:rFonts w:eastAsia="Calibri"/>
                <w:i/>
                <w:sz w:val="24"/>
                <w:szCs w:val="24"/>
              </w:rPr>
            </w:pPr>
            <w:r w:rsidRPr="003715EB">
              <w:rPr>
                <w:rFonts w:eastAsia="Calibri"/>
                <w:i/>
                <w:sz w:val="24"/>
                <w:szCs w:val="24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1FDB2DC2" w14:textId="77777777" w:rsidR="00640AD6" w:rsidRPr="003715EB" w:rsidRDefault="00640AD6" w:rsidP="00B205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715EB">
              <w:rPr>
                <w:rFonts w:eastAsia="Calibri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3677361B" w14:textId="4D8BB78D" w:rsidR="00640AD6" w:rsidRPr="003715EB" w:rsidRDefault="00F4273D" w:rsidP="00B2053F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3715EB" w:rsidRPr="003715EB" w14:paraId="25A5A5FE" w14:textId="77777777" w:rsidTr="00B2053F">
        <w:tc>
          <w:tcPr>
            <w:tcW w:w="3681" w:type="dxa"/>
          </w:tcPr>
          <w:p w14:paraId="023FCEAC" w14:textId="77777777" w:rsidR="00640AD6" w:rsidRPr="003715EB" w:rsidRDefault="00640AD6" w:rsidP="00ED1A67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3715EB">
              <w:rPr>
                <w:rFonts w:eastAsia="Calibri"/>
                <w:b/>
                <w:i/>
                <w:sz w:val="24"/>
                <w:szCs w:val="24"/>
              </w:rPr>
              <w:t>Spolu = A+B+C+D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64E84505" w14:textId="77777777" w:rsidR="00640AD6" w:rsidRPr="003715EB" w:rsidRDefault="00640AD6" w:rsidP="00B2053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3715EB">
              <w:rPr>
                <w:rFonts w:eastAsia="Calibri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3DACB4EC" w14:textId="66B07FE2" w:rsidR="00640AD6" w:rsidRPr="003715EB" w:rsidRDefault="00F4273D" w:rsidP="00B2053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0</w:t>
            </w:r>
          </w:p>
        </w:tc>
      </w:tr>
      <w:tr w:rsidR="003715EB" w:rsidRPr="003715EB" w14:paraId="1B556714" w14:textId="77777777" w:rsidTr="00B2053F">
        <w:tc>
          <w:tcPr>
            <w:tcW w:w="3681" w:type="dxa"/>
          </w:tcPr>
          <w:p w14:paraId="5EDDB619" w14:textId="77777777" w:rsidR="00640AD6" w:rsidRPr="003715EB" w:rsidRDefault="00640AD6" w:rsidP="00ED1A67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3715EB">
              <w:rPr>
                <w:rFonts w:eastAsia="Calibri"/>
                <w:b/>
                <w:i/>
                <w:sz w:val="24"/>
                <w:szCs w:val="24"/>
              </w:rPr>
              <w:t xml:space="preserve"> z toho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7A9FB917" w14:textId="77777777" w:rsidR="00640AD6" w:rsidRPr="003715EB" w:rsidRDefault="00640AD6" w:rsidP="00B2053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14:paraId="5C8CA9A8" w14:textId="77777777" w:rsidR="00640AD6" w:rsidRPr="003715EB" w:rsidRDefault="00640AD6" w:rsidP="00B2053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3715EB" w:rsidRPr="003715EB" w14:paraId="7AA24123" w14:textId="77777777" w:rsidTr="00B2053F">
        <w:tc>
          <w:tcPr>
            <w:tcW w:w="3681" w:type="dxa"/>
          </w:tcPr>
          <w:p w14:paraId="366023F6" w14:textId="4CDDE22E" w:rsidR="00640AD6" w:rsidRPr="003715EB" w:rsidRDefault="00640AD6" w:rsidP="00B2053F">
            <w:pPr>
              <w:rPr>
                <w:rFonts w:eastAsia="Calibri"/>
                <w:i/>
                <w:sz w:val="24"/>
                <w:szCs w:val="24"/>
              </w:rPr>
            </w:pPr>
            <w:r w:rsidRPr="003715EB">
              <w:rPr>
                <w:rFonts w:eastAsia="Calibri"/>
                <w:i/>
                <w:sz w:val="24"/>
                <w:szCs w:val="24"/>
              </w:rPr>
              <w:t xml:space="preserve">E. Vplyv na </w:t>
            </w:r>
            <w:proofErr w:type="spellStart"/>
            <w:r w:rsidRPr="003715EB">
              <w:rPr>
                <w:rFonts w:eastAsia="Calibri"/>
                <w:i/>
                <w:sz w:val="24"/>
                <w:szCs w:val="24"/>
              </w:rPr>
              <w:t>mikro</w:t>
            </w:r>
            <w:proofErr w:type="spellEnd"/>
            <w:r w:rsidRPr="003715EB">
              <w:rPr>
                <w:rFonts w:eastAsia="Calibri"/>
                <w:i/>
                <w:sz w:val="24"/>
                <w:szCs w:val="24"/>
              </w:rPr>
              <w:t>, malé a</w:t>
            </w:r>
            <w:r w:rsidR="00B2053F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3715EB">
              <w:rPr>
                <w:rFonts w:eastAsia="Calibri"/>
                <w:i/>
                <w:sz w:val="24"/>
                <w:szCs w:val="24"/>
              </w:rPr>
              <w:t>stredné podniky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215068F7" w14:textId="77777777" w:rsidR="00640AD6" w:rsidRPr="003715EB" w:rsidRDefault="00640AD6" w:rsidP="00B2053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3715EB">
              <w:rPr>
                <w:rFonts w:eastAsia="Calibri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24D781FB" w14:textId="77777777" w:rsidR="00640AD6" w:rsidRPr="003715EB" w:rsidRDefault="00640AD6" w:rsidP="00B2053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3715EB"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3715EB" w:rsidRPr="003715EB" w14:paraId="78A22463" w14:textId="77777777" w:rsidTr="00B2053F">
        <w:tc>
          <w:tcPr>
            <w:tcW w:w="3681" w:type="dxa"/>
          </w:tcPr>
          <w:p w14:paraId="3DA9DC71" w14:textId="77777777" w:rsidR="00640AD6" w:rsidRPr="003715EB" w:rsidRDefault="00640AD6" w:rsidP="00ED1A67">
            <w:pPr>
              <w:rPr>
                <w:rFonts w:eastAsia="Calibri"/>
                <w:i/>
                <w:sz w:val="24"/>
                <w:szCs w:val="24"/>
              </w:rPr>
            </w:pPr>
            <w:r w:rsidRPr="003715EB">
              <w:rPr>
                <w:rFonts w:eastAsia="Calibri"/>
                <w:i/>
                <w:sz w:val="24"/>
                <w:szCs w:val="24"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387AB74A" w14:textId="77777777" w:rsidR="00640AD6" w:rsidRPr="003715EB" w:rsidRDefault="00640AD6" w:rsidP="00B2053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3715EB">
              <w:rPr>
                <w:rFonts w:eastAsia="Calibri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56D65C5C" w14:textId="77777777" w:rsidR="00640AD6" w:rsidRPr="003715EB" w:rsidRDefault="00640AD6" w:rsidP="00B2053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3715EB"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3715EB" w:rsidRPr="003715EB" w14:paraId="5DE4A4A5" w14:textId="77777777" w:rsidTr="00ED1A67">
        <w:tc>
          <w:tcPr>
            <w:tcW w:w="9067" w:type="dxa"/>
            <w:gridSpan w:val="3"/>
            <w:shd w:val="clear" w:color="auto" w:fill="auto"/>
          </w:tcPr>
          <w:p w14:paraId="7F5AEA8A" w14:textId="77777777" w:rsidR="00640AD6" w:rsidRPr="003715EB" w:rsidRDefault="00640AD6" w:rsidP="00ED1A67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3715EB" w:rsidRPr="003715EB" w14:paraId="0A03F1A0" w14:textId="77777777" w:rsidTr="00ED1A67">
        <w:tc>
          <w:tcPr>
            <w:tcW w:w="3681" w:type="dxa"/>
          </w:tcPr>
          <w:p w14:paraId="278D392A" w14:textId="77777777" w:rsidR="00640AD6" w:rsidRPr="003715EB" w:rsidRDefault="00640AD6" w:rsidP="00ED1A67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3715EB">
              <w:rPr>
                <w:rFonts w:eastAsia="Calibri"/>
                <w:b/>
                <w:bCs/>
                <w:i/>
                <w:sz w:val="24"/>
                <w:szCs w:val="24"/>
              </w:rPr>
              <w:t>VÝPOČET mechanizmu znižovania byrokracie a nákladov</w:t>
            </w:r>
          </w:p>
        </w:tc>
        <w:tc>
          <w:tcPr>
            <w:tcW w:w="2693" w:type="dxa"/>
            <w:shd w:val="clear" w:color="auto" w:fill="FFC000"/>
          </w:tcPr>
          <w:p w14:paraId="6FD6D752" w14:textId="77777777" w:rsidR="00640AD6" w:rsidRPr="003715EB" w:rsidRDefault="00640AD6" w:rsidP="00ED1A67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3715EB">
              <w:rPr>
                <w:rFonts w:eastAsia="Calibri"/>
                <w:b/>
                <w:bCs/>
                <w:i/>
                <w:sz w:val="24"/>
                <w:szCs w:val="24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200F678B" w14:textId="77777777" w:rsidR="00640AD6" w:rsidRPr="003715EB" w:rsidRDefault="00640AD6" w:rsidP="00ED1A67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3715EB">
              <w:rPr>
                <w:rFonts w:eastAsia="Calibri"/>
                <w:b/>
                <w:bCs/>
                <w:i/>
                <w:sz w:val="24"/>
                <w:szCs w:val="24"/>
              </w:rPr>
              <w:t>OUT</w:t>
            </w:r>
          </w:p>
        </w:tc>
      </w:tr>
      <w:tr w:rsidR="003715EB" w:rsidRPr="003715EB" w14:paraId="20A0B658" w14:textId="77777777" w:rsidTr="00ED1A67">
        <w:tc>
          <w:tcPr>
            <w:tcW w:w="3681" w:type="dxa"/>
          </w:tcPr>
          <w:p w14:paraId="54594E75" w14:textId="77777777" w:rsidR="00640AD6" w:rsidRPr="003715EB" w:rsidRDefault="00640AD6" w:rsidP="00ED1A67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3715EB">
              <w:rPr>
                <w:rFonts w:eastAsia="Calibri"/>
                <w:b/>
                <w:i/>
                <w:sz w:val="24"/>
                <w:szCs w:val="24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0123B55A" w14:textId="77777777" w:rsidR="00640AD6" w:rsidRPr="003715EB" w:rsidRDefault="00640AD6" w:rsidP="00ED1A67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3715EB">
              <w:rPr>
                <w:rFonts w:eastAsia="Calibri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51F0DED0" w14:textId="64DD3215" w:rsidR="00640AD6" w:rsidRPr="003715EB" w:rsidRDefault="00F4273D" w:rsidP="00ED1A67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>0</w:t>
            </w:r>
          </w:p>
        </w:tc>
      </w:tr>
    </w:tbl>
    <w:p w14:paraId="508018AC" w14:textId="77777777" w:rsidR="00640AD6" w:rsidRPr="003715EB" w:rsidRDefault="00640AD6" w:rsidP="00640AD6">
      <w:pPr>
        <w:rPr>
          <w:rFonts w:eastAsia="Calibri"/>
          <w:i/>
          <w:sz w:val="24"/>
          <w:szCs w:val="24"/>
        </w:rPr>
      </w:pPr>
    </w:p>
    <w:p w14:paraId="5D3F5BFE" w14:textId="77777777" w:rsidR="00640AD6" w:rsidRPr="003715EB" w:rsidRDefault="00640AD6" w:rsidP="00640AD6">
      <w:pPr>
        <w:rPr>
          <w:rFonts w:eastAsia="Calibri"/>
          <w:b/>
          <w:sz w:val="24"/>
          <w:szCs w:val="24"/>
        </w:rPr>
      </w:pPr>
    </w:p>
    <w:p w14:paraId="62B9137C" w14:textId="77777777" w:rsidR="00640AD6" w:rsidRPr="003715EB" w:rsidRDefault="00640AD6" w:rsidP="00640AD6">
      <w:pPr>
        <w:rPr>
          <w:rFonts w:eastAsia="Calibri"/>
          <w:b/>
          <w:sz w:val="24"/>
          <w:szCs w:val="24"/>
        </w:rPr>
        <w:sectPr w:rsidR="00640AD6" w:rsidRPr="003715EB" w:rsidSect="00312AF0">
          <w:headerReference w:type="default" r:id="rId9"/>
          <w:footerReference w:type="default" r:id="rId10"/>
          <w:pgSz w:w="11906" w:h="16838"/>
          <w:pgMar w:top="993" w:right="1417" w:bottom="1417" w:left="1417" w:header="708" w:footer="708" w:gutter="0"/>
          <w:pgNumType w:start="9"/>
          <w:cols w:space="708"/>
          <w:docGrid w:linePitch="360"/>
        </w:sectPr>
      </w:pPr>
    </w:p>
    <w:p w14:paraId="712D71AE" w14:textId="1C0027C2" w:rsidR="00640AD6" w:rsidRPr="003715EB" w:rsidRDefault="00640AD6" w:rsidP="00640AD6">
      <w:pPr>
        <w:rPr>
          <w:rFonts w:eastAsia="Calibri"/>
          <w:b/>
          <w:i/>
          <w:iCs/>
          <w:sz w:val="24"/>
          <w:szCs w:val="24"/>
        </w:rPr>
      </w:pPr>
      <w:r w:rsidRPr="003715EB">
        <w:rPr>
          <w:rFonts w:eastAsia="Calibri"/>
          <w:b/>
          <w:i/>
          <w:iCs/>
          <w:sz w:val="24"/>
          <w:szCs w:val="24"/>
        </w:rPr>
        <w:lastRenderedPageBreak/>
        <w:t>3.1.2 Výpočty vplyvov jednotlivých regulácií na zmeny v</w:t>
      </w:r>
      <w:r w:rsidR="00B2053F">
        <w:rPr>
          <w:rFonts w:eastAsia="Calibri"/>
          <w:b/>
          <w:i/>
          <w:iCs/>
          <w:sz w:val="24"/>
          <w:szCs w:val="24"/>
        </w:rPr>
        <w:t xml:space="preserve"> </w:t>
      </w:r>
      <w:r w:rsidRPr="003715EB">
        <w:rPr>
          <w:rFonts w:eastAsia="Calibri"/>
          <w:b/>
          <w:i/>
          <w:iCs/>
          <w:sz w:val="24"/>
          <w:szCs w:val="24"/>
        </w:rPr>
        <w:t>nákladoch podnikateľov</w:t>
      </w:r>
    </w:p>
    <w:p w14:paraId="776F2727" w14:textId="77777777" w:rsidR="00640AD6" w:rsidRPr="003715EB" w:rsidRDefault="00640AD6" w:rsidP="00640AD6">
      <w:pPr>
        <w:jc w:val="both"/>
        <w:rPr>
          <w:rFonts w:eastAsia="Calibri"/>
          <w:i/>
          <w:sz w:val="24"/>
          <w:szCs w:val="24"/>
        </w:rPr>
      </w:pPr>
      <w:r w:rsidRPr="003715EB">
        <w:rPr>
          <w:rFonts w:eastAsia="Calibri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688"/>
        <w:gridCol w:w="1676"/>
        <w:gridCol w:w="1129"/>
        <w:gridCol w:w="1246"/>
        <w:gridCol w:w="934"/>
        <w:gridCol w:w="1676"/>
        <w:gridCol w:w="974"/>
        <w:gridCol w:w="974"/>
        <w:gridCol w:w="982"/>
        <w:gridCol w:w="992"/>
        <w:gridCol w:w="1107"/>
      </w:tblGrid>
      <w:tr w:rsidR="003715EB" w:rsidRPr="003715EB" w14:paraId="0D90AA0F" w14:textId="77777777" w:rsidTr="00B2053F">
        <w:trPr>
          <w:trHeight w:val="1885"/>
        </w:trPr>
        <w:tc>
          <w:tcPr>
            <w:tcW w:w="479" w:type="dxa"/>
            <w:shd w:val="clear" w:color="auto" w:fill="BFBFBF"/>
            <w:vAlign w:val="center"/>
          </w:tcPr>
          <w:p w14:paraId="7E3E089D" w14:textId="77777777" w:rsidR="00640AD6" w:rsidRPr="00B2053F" w:rsidRDefault="00640AD6" w:rsidP="00B2053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2053F">
              <w:rPr>
                <w:b/>
                <w:bCs/>
                <w:sz w:val="22"/>
                <w:szCs w:val="22"/>
              </w:rPr>
              <w:t>P.č</w:t>
            </w:r>
            <w:proofErr w:type="spellEnd"/>
            <w:r w:rsidRPr="00B2053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90" w:type="dxa"/>
            <w:shd w:val="clear" w:color="auto" w:fill="BFBFBF"/>
            <w:vAlign w:val="center"/>
            <w:hideMark/>
          </w:tcPr>
          <w:p w14:paraId="2CDD5C35" w14:textId="77777777" w:rsidR="00640AD6" w:rsidRPr="00411FC6" w:rsidRDefault="00640AD6" w:rsidP="00B2053F">
            <w:pPr>
              <w:jc w:val="center"/>
              <w:rPr>
                <w:b/>
                <w:bCs/>
              </w:rPr>
            </w:pPr>
            <w:r w:rsidRPr="00411FC6">
              <w:rPr>
                <w:b/>
                <w:bCs/>
              </w:rPr>
              <w:t>Zrozumiteľný a stručný opis regulácie vyjadrujúci dôvod zvýšenia/zníženia nákladov na PP</w:t>
            </w:r>
          </w:p>
        </w:tc>
        <w:tc>
          <w:tcPr>
            <w:tcW w:w="1677" w:type="dxa"/>
            <w:shd w:val="clear" w:color="auto" w:fill="BFBFBF"/>
            <w:vAlign w:val="center"/>
          </w:tcPr>
          <w:p w14:paraId="5079BC69" w14:textId="77777777" w:rsidR="00640AD6" w:rsidRPr="00411FC6" w:rsidRDefault="00640AD6" w:rsidP="00B2053F">
            <w:pPr>
              <w:jc w:val="center"/>
              <w:rPr>
                <w:b/>
                <w:bCs/>
              </w:rPr>
            </w:pPr>
            <w:r w:rsidRPr="00411FC6">
              <w:rPr>
                <w:b/>
                <w:bCs/>
              </w:rPr>
              <w:t>Číslo normy</w:t>
            </w:r>
          </w:p>
          <w:p w14:paraId="693DE62D" w14:textId="75AACD3F" w:rsidR="00640AD6" w:rsidRPr="00B2053F" w:rsidRDefault="00640AD6" w:rsidP="00B2053F">
            <w:pPr>
              <w:jc w:val="center"/>
              <w:rPr>
                <w:bCs/>
                <w:sz w:val="18"/>
                <w:szCs w:val="18"/>
              </w:rPr>
            </w:pPr>
            <w:r w:rsidRPr="00B2053F">
              <w:rPr>
                <w:bCs/>
                <w:sz w:val="18"/>
                <w:szCs w:val="18"/>
              </w:rPr>
              <w:t>(zákona, vyhlášky a</w:t>
            </w:r>
            <w:r w:rsidR="00B2053F">
              <w:rPr>
                <w:bCs/>
                <w:sz w:val="18"/>
                <w:szCs w:val="18"/>
              </w:rPr>
              <w:t> </w:t>
            </w:r>
            <w:r w:rsidRPr="00B2053F">
              <w:rPr>
                <w:bCs/>
                <w:sz w:val="18"/>
                <w:szCs w:val="18"/>
              </w:rPr>
              <w:t>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06B44AFB" w14:textId="77777777" w:rsidR="00640AD6" w:rsidRPr="00411FC6" w:rsidRDefault="00640AD6" w:rsidP="00B2053F">
            <w:pPr>
              <w:jc w:val="center"/>
              <w:rPr>
                <w:b/>
                <w:bCs/>
              </w:rPr>
            </w:pPr>
            <w:r w:rsidRPr="00411FC6">
              <w:rPr>
                <w:b/>
                <w:bCs/>
              </w:rPr>
              <w:t xml:space="preserve">Lokalizácia </w:t>
            </w:r>
            <w:r w:rsidRPr="00411FC6">
              <w:rPr>
                <w:bCs/>
              </w:rPr>
              <w:t>(§, ods.)</w:t>
            </w:r>
          </w:p>
        </w:tc>
        <w:tc>
          <w:tcPr>
            <w:tcW w:w="1246" w:type="dxa"/>
            <w:shd w:val="clear" w:color="auto" w:fill="BFBFBF"/>
            <w:vAlign w:val="center"/>
          </w:tcPr>
          <w:p w14:paraId="4DAD319C" w14:textId="77777777" w:rsidR="00640AD6" w:rsidRPr="00411FC6" w:rsidRDefault="00640AD6" w:rsidP="00B2053F">
            <w:pPr>
              <w:jc w:val="center"/>
              <w:rPr>
                <w:b/>
                <w:bCs/>
              </w:rPr>
            </w:pPr>
            <w:r w:rsidRPr="00411FC6">
              <w:rPr>
                <w:b/>
                <w:bCs/>
              </w:rPr>
              <w:t>Pôvod regulácie:</w:t>
            </w:r>
          </w:p>
          <w:p w14:paraId="085510E1" w14:textId="77777777" w:rsidR="00640AD6" w:rsidRPr="00411FC6" w:rsidRDefault="00640AD6" w:rsidP="00B2053F">
            <w:pPr>
              <w:jc w:val="center"/>
              <w:rPr>
                <w:bCs/>
              </w:rPr>
            </w:pPr>
            <w:r w:rsidRPr="00411FC6">
              <w:rPr>
                <w:bCs/>
              </w:rPr>
              <w:t xml:space="preserve">SK/EÚ úplná </w:t>
            </w:r>
            <w:proofErr w:type="spellStart"/>
            <w:r w:rsidRPr="00411FC6">
              <w:rPr>
                <w:bCs/>
              </w:rPr>
              <w:t>harm</w:t>
            </w:r>
            <w:proofErr w:type="spellEnd"/>
            <w:r w:rsidRPr="00411FC6">
              <w:rPr>
                <w:bCs/>
              </w:rPr>
              <w:t xml:space="preserve">./EÚ </w:t>
            </w:r>
            <w:proofErr w:type="spellStart"/>
            <w:r w:rsidRPr="00411FC6">
              <w:rPr>
                <w:bCs/>
              </w:rPr>
              <w:t>harm</w:t>
            </w:r>
            <w:proofErr w:type="spellEnd"/>
            <w:r w:rsidRPr="00411FC6">
              <w:rPr>
                <w:bCs/>
              </w:rPr>
              <w:t>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42754E19" w14:textId="77777777" w:rsidR="00640AD6" w:rsidRPr="00411FC6" w:rsidRDefault="00640AD6" w:rsidP="00B2053F">
            <w:pPr>
              <w:jc w:val="center"/>
              <w:rPr>
                <w:b/>
                <w:bCs/>
              </w:rPr>
            </w:pPr>
            <w:r w:rsidRPr="00411FC6">
              <w:rPr>
                <w:b/>
                <w:bCs/>
              </w:rPr>
              <w:t>Účinnosť</w:t>
            </w:r>
          </w:p>
          <w:p w14:paraId="2941DE10" w14:textId="77777777" w:rsidR="00640AD6" w:rsidRPr="00411FC6" w:rsidRDefault="00640AD6" w:rsidP="00B2053F">
            <w:pPr>
              <w:jc w:val="center"/>
              <w:rPr>
                <w:b/>
                <w:bCs/>
              </w:rPr>
            </w:pPr>
            <w:r w:rsidRPr="00411FC6">
              <w:rPr>
                <w:b/>
                <w:bCs/>
              </w:rPr>
              <w:t>regulácie</w:t>
            </w:r>
          </w:p>
          <w:p w14:paraId="5EF0E281" w14:textId="77777777" w:rsidR="00640AD6" w:rsidRPr="00411FC6" w:rsidRDefault="00640AD6" w:rsidP="00B2053F">
            <w:pPr>
              <w:jc w:val="center"/>
              <w:rPr>
                <w:b/>
                <w:bCs/>
              </w:rPr>
            </w:pPr>
          </w:p>
        </w:tc>
        <w:tc>
          <w:tcPr>
            <w:tcW w:w="1677" w:type="dxa"/>
            <w:shd w:val="clear" w:color="auto" w:fill="BFBFBF"/>
            <w:vAlign w:val="center"/>
          </w:tcPr>
          <w:p w14:paraId="5A2E4EC5" w14:textId="77777777" w:rsidR="00640AD6" w:rsidRPr="00411FC6" w:rsidRDefault="00640AD6" w:rsidP="00B2053F">
            <w:pPr>
              <w:jc w:val="center"/>
              <w:rPr>
                <w:b/>
                <w:bCs/>
              </w:rPr>
            </w:pPr>
            <w:r w:rsidRPr="00411FC6">
              <w:rPr>
                <w:b/>
                <w:bCs/>
              </w:rPr>
              <w:t xml:space="preserve">Kategória </w:t>
            </w:r>
            <w:proofErr w:type="spellStart"/>
            <w:r w:rsidRPr="00411FC6">
              <w:rPr>
                <w:b/>
                <w:bCs/>
              </w:rPr>
              <w:t>dotk</w:t>
            </w:r>
            <w:proofErr w:type="spellEnd"/>
            <w:r w:rsidRPr="00411FC6">
              <w:rPr>
                <w:b/>
                <w:bCs/>
              </w:rPr>
              <w:t>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3D90C896" w14:textId="1549A4A4" w:rsidR="00640AD6" w:rsidRPr="00411FC6" w:rsidRDefault="00640AD6" w:rsidP="00B2053F">
            <w:pPr>
              <w:jc w:val="center"/>
              <w:rPr>
                <w:b/>
                <w:bCs/>
              </w:rPr>
            </w:pPr>
            <w:r w:rsidRPr="00411FC6">
              <w:rPr>
                <w:b/>
                <w:bCs/>
              </w:rPr>
              <w:t>Počet</w:t>
            </w:r>
            <w:r w:rsidR="005C4986" w:rsidRPr="00411FC6">
              <w:rPr>
                <w:b/>
                <w:bCs/>
              </w:rPr>
              <w:t xml:space="preserve"> </w:t>
            </w:r>
            <w:r w:rsidRPr="00411FC6">
              <w:rPr>
                <w:b/>
                <w:bCs/>
              </w:rPr>
              <w:t>subjektov v </w:t>
            </w:r>
            <w:proofErr w:type="spellStart"/>
            <w:r w:rsidRPr="00411FC6">
              <w:rPr>
                <w:b/>
                <w:bCs/>
              </w:rPr>
              <w:t>dotk</w:t>
            </w:r>
            <w:proofErr w:type="spellEnd"/>
            <w:r w:rsidRPr="00411FC6">
              <w:rPr>
                <w:b/>
                <w:bCs/>
              </w:rPr>
              <w:t>. kategórii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766C0758" w14:textId="453DEE63" w:rsidR="00640AD6" w:rsidRPr="00411FC6" w:rsidRDefault="00640AD6" w:rsidP="00B2053F">
            <w:pPr>
              <w:jc w:val="center"/>
              <w:rPr>
                <w:b/>
                <w:bCs/>
              </w:rPr>
            </w:pPr>
            <w:r w:rsidRPr="00411FC6">
              <w:rPr>
                <w:b/>
                <w:bCs/>
              </w:rPr>
              <w:t>Počet subjektov MSP v </w:t>
            </w:r>
            <w:proofErr w:type="spellStart"/>
            <w:r w:rsidRPr="00411FC6">
              <w:rPr>
                <w:b/>
                <w:bCs/>
              </w:rPr>
              <w:t>dotk</w:t>
            </w:r>
            <w:proofErr w:type="spellEnd"/>
            <w:r w:rsidRPr="00411FC6">
              <w:rPr>
                <w:b/>
                <w:bCs/>
              </w:rPr>
              <w:t>. kategórii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2962A78B" w14:textId="77777777" w:rsidR="00640AD6" w:rsidRPr="00411FC6" w:rsidRDefault="00640AD6" w:rsidP="00B2053F">
            <w:pPr>
              <w:jc w:val="center"/>
              <w:rPr>
                <w:b/>
                <w:bCs/>
              </w:rPr>
            </w:pPr>
            <w:r w:rsidRPr="00411FC6">
              <w:rPr>
                <w:b/>
                <w:bCs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48C23A9D" w14:textId="77777777" w:rsidR="00640AD6" w:rsidRPr="00411FC6" w:rsidRDefault="00640AD6" w:rsidP="00B2053F">
            <w:pPr>
              <w:jc w:val="center"/>
              <w:rPr>
                <w:b/>
                <w:bCs/>
              </w:rPr>
            </w:pPr>
            <w:r w:rsidRPr="00411FC6">
              <w:rPr>
                <w:b/>
                <w:bCs/>
              </w:rPr>
              <w:t xml:space="preserve">Vplyv na kategóriu </w:t>
            </w:r>
            <w:proofErr w:type="spellStart"/>
            <w:r w:rsidRPr="00411FC6">
              <w:rPr>
                <w:b/>
                <w:bCs/>
              </w:rPr>
              <w:t>dotk</w:t>
            </w:r>
            <w:proofErr w:type="spellEnd"/>
            <w:r w:rsidRPr="00411FC6">
              <w:rPr>
                <w:b/>
                <w:bCs/>
              </w:rPr>
              <w:t>. subjektov v €</w:t>
            </w:r>
          </w:p>
        </w:tc>
        <w:tc>
          <w:tcPr>
            <w:tcW w:w="1107" w:type="dxa"/>
            <w:shd w:val="clear" w:color="auto" w:fill="BFBFBF"/>
            <w:vAlign w:val="center"/>
          </w:tcPr>
          <w:p w14:paraId="5E4F7EF0" w14:textId="77777777" w:rsidR="00640AD6" w:rsidRPr="00411FC6" w:rsidRDefault="00640AD6" w:rsidP="00B2053F">
            <w:pPr>
              <w:jc w:val="center"/>
              <w:rPr>
                <w:b/>
                <w:bCs/>
              </w:rPr>
            </w:pPr>
            <w:r w:rsidRPr="00411FC6">
              <w:rPr>
                <w:b/>
                <w:bCs/>
              </w:rPr>
              <w:t>Druh vplyvu</w:t>
            </w:r>
          </w:p>
          <w:p w14:paraId="2AC5983A" w14:textId="73EF1864" w:rsidR="00640AD6" w:rsidRPr="00411FC6" w:rsidRDefault="00640AD6" w:rsidP="00B2053F">
            <w:pPr>
              <w:jc w:val="center"/>
              <w:rPr>
                <w:bCs/>
              </w:rPr>
            </w:pPr>
            <w:r w:rsidRPr="00411FC6">
              <w:rPr>
                <w:bCs/>
              </w:rPr>
              <w:t>In (zvyšuje náklady) /</w:t>
            </w:r>
          </w:p>
          <w:p w14:paraId="796DB724" w14:textId="77777777" w:rsidR="00640AD6" w:rsidRPr="00B2053F" w:rsidRDefault="00640AD6" w:rsidP="00B2053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11FC6">
              <w:rPr>
                <w:bCs/>
              </w:rPr>
              <w:t>Out</w:t>
            </w:r>
            <w:proofErr w:type="spellEnd"/>
            <w:r w:rsidRPr="00411FC6">
              <w:rPr>
                <w:bCs/>
              </w:rPr>
              <w:t xml:space="preserve"> (znižuje náklady)</w:t>
            </w:r>
          </w:p>
          <w:p w14:paraId="0117EAA0" w14:textId="77777777" w:rsidR="00640AD6" w:rsidRPr="00B2053F" w:rsidRDefault="00640AD6" w:rsidP="00B205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15EB" w:rsidRPr="003715EB" w14:paraId="771D675D" w14:textId="77777777" w:rsidTr="00411FC6">
        <w:trPr>
          <w:trHeight w:val="612"/>
        </w:trPr>
        <w:tc>
          <w:tcPr>
            <w:tcW w:w="479" w:type="dxa"/>
            <w:vAlign w:val="center"/>
          </w:tcPr>
          <w:p w14:paraId="01D8C231" w14:textId="6487021B" w:rsidR="00640AD6" w:rsidRPr="003715EB" w:rsidRDefault="00640AD6" w:rsidP="00ED1A67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24C906C2" w14:textId="4202334D" w:rsidR="00640AD6" w:rsidRPr="00411FC6" w:rsidRDefault="00640AD6" w:rsidP="00411F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14:paraId="4F14F573" w14:textId="15C5029E" w:rsidR="00640AD6" w:rsidRPr="00411FC6" w:rsidRDefault="00640AD6" w:rsidP="00411F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721926B9" w14:textId="35BC5992" w:rsidR="00640AD6" w:rsidRPr="00411FC6" w:rsidRDefault="00640AD6" w:rsidP="00411F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14:paraId="49EF8144" w14:textId="1870AD7D" w:rsidR="00640AD6" w:rsidRPr="00411FC6" w:rsidRDefault="00640AD6" w:rsidP="00411F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noWrap/>
          </w:tcPr>
          <w:p w14:paraId="043EE380" w14:textId="719FBF09" w:rsidR="00640AD6" w:rsidRPr="00411FC6" w:rsidRDefault="00640AD6" w:rsidP="00411F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14:paraId="5F962B89" w14:textId="18BD4428" w:rsidR="00640AD6" w:rsidRPr="00411FC6" w:rsidRDefault="00640AD6" w:rsidP="00411F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14:paraId="1F1113CB" w14:textId="255CBBDC" w:rsidR="00640AD6" w:rsidRPr="00411FC6" w:rsidRDefault="00640AD6" w:rsidP="00411F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14:paraId="6D31113C" w14:textId="6A0D9011" w:rsidR="00640AD6" w:rsidRPr="00411FC6" w:rsidRDefault="00640AD6" w:rsidP="00411F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  <w:noWrap/>
          </w:tcPr>
          <w:p w14:paraId="0E6F175F" w14:textId="3876697A" w:rsidR="00100E8F" w:rsidRPr="00411FC6" w:rsidRDefault="00100E8F" w:rsidP="00411F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E052A1" w14:textId="5F9B7613" w:rsidR="00640AD6" w:rsidRPr="00411FC6" w:rsidRDefault="00640AD6" w:rsidP="00411F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14:paraId="76CED063" w14:textId="3A796EC6" w:rsidR="00640AD6" w:rsidRPr="00411FC6" w:rsidRDefault="00640AD6" w:rsidP="00411FC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134F4D" w14:textId="77777777" w:rsidR="00640AD6" w:rsidRPr="003715EB" w:rsidRDefault="00640AD6" w:rsidP="00640AD6">
      <w:pPr>
        <w:jc w:val="both"/>
        <w:rPr>
          <w:rFonts w:eastAsia="Calibri"/>
          <w:i/>
          <w:sz w:val="24"/>
          <w:szCs w:val="24"/>
        </w:rPr>
      </w:pPr>
    </w:p>
    <w:p w14:paraId="05D601D6" w14:textId="77777777" w:rsidR="00640AD6" w:rsidRPr="003715EB" w:rsidRDefault="00640AD6" w:rsidP="00640AD6">
      <w:pPr>
        <w:jc w:val="both"/>
        <w:rPr>
          <w:rFonts w:eastAsia="Calibri"/>
          <w:b/>
          <w:bCs/>
          <w:i/>
          <w:sz w:val="24"/>
          <w:szCs w:val="24"/>
        </w:rPr>
        <w:sectPr w:rsidR="00640AD6" w:rsidRPr="003715EB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111F71" w14:textId="77777777" w:rsidR="00640AD6" w:rsidRPr="003715EB" w:rsidRDefault="00640AD6" w:rsidP="00640AD6">
      <w:pPr>
        <w:jc w:val="both"/>
        <w:rPr>
          <w:rFonts w:eastAsia="Calibri"/>
          <w:b/>
          <w:bCs/>
          <w:i/>
          <w:sz w:val="24"/>
          <w:szCs w:val="24"/>
          <w:u w:val="single"/>
        </w:rPr>
      </w:pPr>
      <w:r w:rsidRPr="003715EB">
        <w:rPr>
          <w:rFonts w:eastAsia="Calibri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8DFED07" w14:textId="21FCE04B" w:rsidR="00B33DBC" w:rsidRPr="003715EB" w:rsidRDefault="00640AD6" w:rsidP="00640AD6">
      <w:pPr>
        <w:jc w:val="both"/>
        <w:rPr>
          <w:rFonts w:eastAsia="Calibri"/>
          <w:bCs/>
          <w:i/>
          <w:iCs/>
          <w:sz w:val="24"/>
          <w:szCs w:val="24"/>
        </w:rPr>
      </w:pPr>
      <w:r w:rsidRPr="003715EB">
        <w:rPr>
          <w:rFonts w:eastAsia="Calibri"/>
          <w:bCs/>
          <w:i/>
          <w:iCs/>
          <w:sz w:val="24"/>
          <w:szCs w:val="24"/>
        </w:rPr>
        <w:t xml:space="preserve"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</w:t>
      </w:r>
      <w:proofErr w:type="spellStart"/>
      <w:r w:rsidRPr="003715EB">
        <w:rPr>
          <w:rFonts w:eastAsia="Calibri"/>
          <w:bCs/>
          <w:i/>
          <w:iCs/>
          <w:sz w:val="24"/>
          <w:szCs w:val="24"/>
        </w:rPr>
        <w:t>link</w:t>
      </w:r>
      <w:proofErr w:type="spellEnd"/>
      <w:r w:rsidRPr="003715EB">
        <w:rPr>
          <w:rFonts w:eastAsia="Calibri"/>
          <w:bCs/>
          <w:i/>
          <w:iCs/>
          <w:sz w:val="24"/>
          <w:szCs w:val="24"/>
        </w:rPr>
        <w:t xml:space="preserve"> na konkrétne štatistiky, ak sú dostupné na internete). Jednotlivé regulácie môžu mať jeden alebo viac typov nákladov (A. Dane, odvody, clá a poplatky, ktorých cieľom je znižovať negatívne </w:t>
      </w:r>
      <w:proofErr w:type="spellStart"/>
      <w:r w:rsidRPr="003715EB">
        <w:rPr>
          <w:rFonts w:eastAsia="Calibri"/>
          <w:bCs/>
          <w:i/>
          <w:iCs/>
          <w:sz w:val="24"/>
          <w:szCs w:val="24"/>
        </w:rPr>
        <w:t>externality</w:t>
      </w:r>
      <w:proofErr w:type="spellEnd"/>
      <w:r w:rsidRPr="003715EB">
        <w:rPr>
          <w:rFonts w:eastAsia="Calibri"/>
          <w:bCs/>
          <w:i/>
          <w:iCs/>
          <w:sz w:val="24"/>
          <w:szCs w:val="24"/>
        </w:rPr>
        <w:t xml:space="preserve">, B. Iné poplatky, C. Nepriame finančné náklady, D. Administratívne náklady). Rozčleňte ich a vypočítajte v súlade s metodickým postupom. </w:t>
      </w:r>
    </w:p>
    <w:p w14:paraId="5D88828A" w14:textId="0C7AF8EC" w:rsidR="00B33DBC" w:rsidRPr="003715EB" w:rsidRDefault="00B33DBC" w:rsidP="00640AD6">
      <w:pPr>
        <w:jc w:val="both"/>
        <w:rPr>
          <w:rFonts w:eastAsia="Calibri"/>
          <w:bCs/>
          <w:iCs/>
          <w:sz w:val="24"/>
          <w:szCs w:val="24"/>
        </w:rPr>
      </w:pPr>
    </w:p>
    <w:p w14:paraId="272674F7" w14:textId="77777777" w:rsidR="00640AD6" w:rsidRPr="003715EB" w:rsidRDefault="00640AD6" w:rsidP="00640AD6">
      <w:pPr>
        <w:jc w:val="both"/>
        <w:rPr>
          <w:rFonts w:eastAsia="Calibri"/>
          <w:b/>
          <w:sz w:val="24"/>
          <w:szCs w:val="24"/>
        </w:rPr>
      </w:pPr>
      <w:r w:rsidRPr="003715EB">
        <w:rPr>
          <w:rFonts w:eastAsia="Calibri"/>
          <w:b/>
          <w:sz w:val="24"/>
          <w:szCs w:val="24"/>
        </w:rPr>
        <w:t>3.2 Vyhodnotenie konzultácií s podnikateľskými subjektmi pred predbežným pripomienkovým konaním</w:t>
      </w:r>
    </w:p>
    <w:p w14:paraId="0961EF24" w14:textId="5C05C0D2" w:rsidR="00640AD6" w:rsidRPr="003715EB" w:rsidRDefault="00640AD6" w:rsidP="00640AD6">
      <w:pPr>
        <w:jc w:val="both"/>
        <w:rPr>
          <w:rFonts w:eastAsia="Calibri"/>
          <w:sz w:val="24"/>
          <w:szCs w:val="24"/>
        </w:rPr>
      </w:pPr>
      <w:r w:rsidRPr="003715EB">
        <w:rPr>
          <w:rFonts w:eastAsia="Calibri"/>
          <w:sz w:val="24"/>
          <w:szCs w:val="24"/>
        </w:rPr>
        <w:t>Predbežná informácia bola uverejnená</w:t>
      </w:r>
      <w:r w:rsidR="00C25C60" w:rsidRPr="003715EB">
        <w:rPr>
          <w:rFonts w:eastAsia="Calibri"/>
          <w:sz w:val="24"/>
          <w:szCs w:val="24"/>
        </w:rPr>
        <w:t xml:space="preserve"> na portáli Slov-lex pod číslom </w:t>
      </w:r>
      <w:r w:rsidR="00F4273D" w:rsidRPr="00F4273D">
        <w:rPr>
          <w:rFonts w:eastAsia="Calibri"/>
          <w:sz w:val="24"/>
          <w:szCs w:val="24"/>
        </w:rPr>
        <w:t>PI/2022/71</w:t>
      </w:r>
      <w:r w:rsidR="002766B9" w:rsidRPr="003715EB">
        <w:rPr>
          <w:rFonts w:eastAsia="Calibri"/>
          <w:sz w:val="24"/>
          <w:szCs w:val="24"/>
        </w:rPr>
        <w:t xml:space="preserve">. </w:t>
      </w:r>
      <w:r w:rsidRPr="003715EB">
        <w:rPr>
          <w:rFonts w:eastAsia="Calibri"/>
          <w:sz w:val="24"/>
          <w:szCs w:val="24"/>
        </w:rPr>
        <w:t>Podklad na konzultá</w:t>
      </w:r>
      <w:r w:rsidR="002766B9" w:rsidRPr="003715EB">
        <w:rPr>
          <w:rFonts w:eastAsia="Calibri"/>
          <w:sz w:val="24"/>
          <w:szCs w:val="24"/>
        </w:rPr>
        <w:t xml:space="preserve">cie bol zároveň uverejnený dňa </w:t>
      </w:r>
      <w:r w:rsidR="001E6DC0" w:rsidRPr="003715EB">
        <w:rPr>
          <w:rFonts w:eastAsia="Calibri"/>
          <w:sz w:val="24"/>
          <w:szCs w:val="24"/>
        </w:rPr>
        <w:t>0</w:t>
      </w:r>
      <w:r w:rsidR="002766B9" w:rsidRPr="003715EB">
        <w:rPr>
          <w:rFonts w:eastAsia="Calibri"/>
          <w:sz w:val="24"/>
          <w:szCs w:val="24"/>
        </w:rPr>
        <w:t>7.</w:t>
      </w:r>
      <w:r w:rsidR="001E6DC0" w:rsidRPr="003715EB">
        <w:rPr>
          <w:rFonts w:eastAsia="Calibri"/>
          <w:sz w:val="24"/>
          <w:szCs w:val="24"/>
        </w:rPr>
        <w:t xml:space="preserve"> 0</w:t>
      </w:r>
      <w:r w:rsidR="002766B9" w:rsidRPr="003715EB">
        <w:rPr>
          <w:rFonts w:eastAsia="Calibri"/>
          <w:sz w:val="24"/>
          <w:szCs w:val="24"/>
        </w:rPr>
        <w:t>4.</w:t>
      </w:r>
      <w:r w:rsidR="001E6DC0" w:rsidRPr="003715EB">
        <w:rPr>
          <w:rFonts w:eastAsia="Calibri"/>
          <w:sz w:val="24"/>
          <w:szCs w:val="24"/>
        </w:rPr>
        <w:t xml:space="preserve"> </w:t>
      </w:r>
      <w:r w:rsidR="002766B9" w:rsidRPr="003715EB">
        <w:rPr>
          <w:rFonts w:eastAsia="Calibri"/>
          <w:sz w:val="24"/>
          <w:szCs w:val="24"/>
        </w:rPr>
        <w:t>2022</w:t>
      </w:r>
      <w:r w:rsidRPr="003715EB">
        <w:rPr>
          <w:rFonts w:eastAsia="Calibri"/>
          <w:sz w:val="24"/>
          <w:szCs w:val="24"/>
        </w:rPr>
        <w:t xml:space="preserve"> na webovom sídle predkladateľa </w:t>
      </w:r>
      <w:r w:rsidR="002766B9" w:rsidRPr="003715EB">
        <w:rPr>
          <w:rFonts w:eastAsia="Calibri"/>
          <w:sz w:val="24"/>
          <w:szCs w:val="24"/>
        </w:rPr>
        <w:t xml:space="preserve">s dobou trvania konzultácií od </w:t>
      </w:r>
      <w:r w:rsidR="001E6DC0" w:rsidRPr="003715EB">
        <w:rPr>
          <w:rFonts w:eastAsia="Calibri"/>
          <w:sz w:val="24"/>
          <w:szCs w:val="24"/>
        </w:rPr>
        <w:t>0</w:t>
      </w:r>
      <w:r w:rsidR="002766B9" w:rsidRPr="003715EB">
        <w:rPr>
          <w:rFonts w:eastAsia="Calibri"/>
          <w:sz w:val="24"/>
          <w:szCs w:val="24"/>
        </w:rPr>
        <w:t>7.</w:t>
      </w:r>
      <w:r w:rsidR="001E6DC0" w:rsidRPr="003715EB">
        <w:rPr>
          <w:rFonts w:eastAsia="Calibri"/>
          <w:sz w:val="24"/>
          <w:szCs w:val="24"/>
        </w:rPr>
        <w:t xml:space="preserve"> 0</w:t>
      </w:r>
      <w:r w:rsidR="002766B9" w:rsidRPr="003715EB">
        <w:rPr>
          <w:rFonts w:eastAsia="Calibri"/>
          <w:sz w:val="24"/>
          <w:szCs w:val="24"/>
        </w:rPr>
        <w:t>4.</w:t>
      </w:r>
      <w:r w:rsidR="001E6DC0" w:rsidRPr="003715EB">
        <w:rPr>
          <w:rFonts w:eastAsia="Calibri"/>
          <w:sz w:val="24"/>
          <w:szCs w:val="24"/>
        </w:rPr>
        <w:t xml:space="preserve"> </w:t>
      </w:r>
      <w:r w:rsidR="002766B9" w:rsidRPr="003715EB">
        <w:rPr>
          <w:rFonts w:eastAsia="Calibri"/>
          <w:sz w:val="24"/>
          <w:szCs w:val="24"/>
        </w:rPr>
        <w:t xml:space="preserve">2022 do </w:t>
      </w:r>
      <w:r w:rsidR="001E6DC0" w:rsidRPr="003715EB">
        <w:rPr>
          <w:rFonts w:eastAsia="Calibri"/>
          <w:sz w:val="24"/>
          <w:szCs w:val="24"/>
        </w:rPr>
        <w:t>0</w:t>
      </w:r>
      <w:r w:rsidR="002766B9" w:rsidRPr="003715EB">
        <w:rPr>
          <w:rFonts w:eastAsia="Calibri"/>
          <w:sz w:val="24"/>
          <w:szCs w:val="24"/>
        </w:rPr>
        <w:t>7.</w:t>
      </w:r>
      <w:r w:rsidR="001E6DC0" w:rsidRPr="003715EB">
        <w:rPr>
          <w:rFonts w:eastAsia="Calibri"/>
          <w:sz w:val="24"/>
          <w:szCs w:val="24"/>
        </w:rPr>
        <w:t xml:space="preserve"> 0</w:t>
      </w:r>
      <w:r w:rsidR="002766B9" w:rsidRPr="003715EB">
        <w:rPr>
          <w:rFonts w:eastAsia="Calibri"/>
          <w:sz w:val="24"/>
          <w:szCs w:val="24"/>
        </w:rPr>
        <w:t>5.</w:t>
      </w:r>
      <w:r w:rsidR="001E6DC0" w:rsidRPr="003715EB">
        <w:rPr>
          <w:rFonts w:eastAsia="Calibri"/>
          <w:sz w:val="24"/>
          <w:szCs w:val="24"/>
        </w:rPr>
        <w:t xml:space="preserve"> </w:t>
      </w:r>
      <w:r w:rsidR="002766B9" w:rsidRPr="003715EB">
        <w:rPr>
          <w:rFonts w:eastAsia="Calibri"/>
          <w:sz w:val="24"/>
          <w:szCs w:val="24"/>
        </w:rPr>
        <w:t>2022</w:t>
      </w:r>
      <w:r w:rsidRPr="003715EB">
        <w:rPr>
          <w:rFonts w:eastAsia="Calibri"/>
          <w:sz w:val="24"/>
          <w:szCs w:val="24"/>
        </w:rPr>
        <w:t>. O konzultáciu nepožiadali žiadne subjekty.</w:t>
      </w:r>
    </w:p>
    <w:p w14:paraId="0D1FEF87" w14:textId="77777777" w:rsidR="00640AD6" w:rsidRPr="003715EB" w:rsidRDefault="00640AD6" w:rsidP="00640AD6">
      <w:pPr>
        <w:jc w:val="both"/>
        <w:rPr>
          <w:rFonts w:eastAsia="Calibri"/>
          <w:i/>
          <w:sz w:val="24"/>
          <w:szCs w:val="24"/>
        </w:rPr>
      </w:pPr>
    </w:p>
    <w:p w14:paraId="1D34D168" w14:textId="690CB599" w:rsidR="00640AD6" w:rsidRPr="003715EB" w:rsidRDefault="00640AD6" w:rsidP="00640AD6">
      <w:pPr>
        <w:jc w:val="both"/>
        <w:rPr>
          <w:rFonts w:eastAsia="Calibri"/>
          <w:b/>
          <w:sz w:val="24"/>
          <w:szCs w:val="24"/>
        </w:rPr>
      </w:pPr>
      <w:bookmarkStart w:id="1" w:name="_Hlk47698091"/>
      <w:r w:rsidRPr="003715EB">
        <w:rPr>
          <w:rFonts w:eastAsia="Calibri"/>
          <w:b/>
          <w:sz w:val="24"/>
          <w:szCs w:val="24"/>
        </w:rPr>
        <w:t>3.3 Vplyvy na konkurencieschopnosť a </w:t>
      </w:r>
      <w:r w:rsidR="00910798">
        <w:rPr>
          <w:rFonts w:eastAsia="Calibri"/>
          <w:b/>
          <w:sz w:val="24"/>
          <w:szCs w:val="24"/>
        </w:rPr>
        <w:t>p</w:t>
      </w:r>
      <w:r w:rsidRPr="003715EB">
        <w:rPr>
          <w:rFonts w:eastAsia="Calibri"/>
          <w:b/>
          <w:sz w:val="24"/>
          <w:szCs w:val="24"/>
        </w:rPr>
        <w:t>roduktivitu</w:t>
      </w:r>
    </w:p>
    <w:bookmarkEnd w:id="1"/>
    <w:p w14:paraId="0E524193" w14:textId="77777777" w:rsidR="00640AD6" w:rsidRPr="003715EB" w:rsidRDefault="00640AD6" w:rsidP="00640AD6">
      <w:pPr>
        <w:jc w:val="both"/>
        <w:rPr>
          <w:rFonts w:eastAsia="Calibri"/>
          <w:i/>
          <w:sz w:val="24"/>
          <w:szCs w:val="24"/>
        </w:rPr>
      </w:pPr>
      <w:r w:rsidRPr="003715EB">
        <w:rPr>
          <w:rFonts w:eastAsia="Calibri"/>
          <w:i/>
          <w:sz w:val="24"/>
          <w:szCs w:val="24"/>
        </w:rPr>
        <w:t xml:space="preserve">Dochádza k vytvoreniu resp. k zmene bariér na trhu? </w:t>
      </w:r>
    </w:p>
    <w:p w14:paraId="04AA6020" w14:textId="77777777" w:rsidR="00640AD6" w:rsidRPr="003715EB" w:rsidRDefault="00640AD6" w:rsidP="00640AD6">
      <w:pPr>
        <w:jc w:val="both"/>
        <w:rPr>
          <w:rFonts w:eastAsia="Calibri"/>
          <w:i/>
          <w:sz w:val="24"/>
          <w:szCs w:val="24"/>
        </w:rPr>
      </w:pPr>
      <w:r w:rsidRPr="003715EB">
        <w:rPr>
          <w:rFonts w:eastAsia="Calibri"/>
          <w:i/>
          <w:sz w:val="24"/>
          <w:szCs w:val="24"/>
        </w:rPr>
        <w:t xml:space="preserve">Bude sa s niektorými podnikmi alebo produktmi zaobchádzať v porovnateľnej situácii rôzne (napr. špeciálne režimy pre </w:t>
      </w:r>
      <w:proofErr w:type="spellStart"/>
      <w:r w:rsidRPr="003715EB">
        <w:rPr>
          <w:rFonts w:eastAsia="Calibri"/>
          <w:i/>
          <w:sz w:val="24"/>
          <w:szCs w:val="24"/>
        </w:rPr>
        <w:t>mikro</w:t>
      </w:r>
      <w:proofErr w:type="spellEnd"/>
      <w:r w:rsidRPr="003715EB">
        <w:rPr>
          <w:rFonts w:eastAsia="Calibri"/>
          <w:i/>
          <w:sz w:val="24"/>
          <w:szCs w:val="24"/>
        </w:rPr>
        <w:t xml:space="preserve">, malé a stredné podniky tzv. MSP)? </w:t>
      </w:r>
    </w:p>
    <w:p w14:paraId="17365630" w14:textId="77777777" w:rsidR="00640AD6" w:rsidRPr="003715EB" w:rsidRDefault="00640AD6" w:rsidP="00640AD6">
      <w:pPr>
        <w:jc w:val="both"/>
        <w:rPr>
          <w:rFonts w:eastAsia="Calibri"/>
          <w:i/>
          <w:sz w:val="24"/>
          <w:szCs w:val="24"/>
        </w:rPr>
      </w:pPr>
      <w:r w:rsidRPr="003715EB">
        <w:rPr>
          <w:rFonts w:eastAsia="Calibri"/>
          <w:i/>
          <w:sz w:val="24"/>
          <w:szCs w:val="24"/>
        </w:rPr>
        <w:t xml:space="preserve">Ovplyvňuje zmena regulácie cezhraničné investície (príliv/odliv zahraničných investícií resp. uplatnenie slovenských podnikov na zahraničných trhoch)? </w:t>
      </w:r>
    </w:p>
    <w:p w14:paraId="1A952982" w14:textId="647E5FE9" w:rsidR="00640AD6" w:rsidRPr="003715EB" w:rsidRDefault="00640AD6" w:rsidP="00640AD6">
      <w:pPr>
        <w:jc w:val="both"/>
        <w:rPr>
          <w:rFonts w:eastAsia="Calibri"/>
          <w:i/>
          <w:sz w:val="24"/>
          <w:szCs w:val="24"/>
        </w:rPr>
      </w:pPr>
      <w:r w:rsidRPr="003715EB">
        <w:rPr>
          <w:rFonts w:eastAsia="Calibri"/>
          <w:i/>
          <w:sz w:val="24"/>
          <w:szCs w:val="24"/>
        </w:rPr>
        <w:t>Ovplyvní dostupnosť základných zdrojov (financie, pracovná sila, suroviny, mechanizmy, energie atď.)?</w:t>
      </w:r>
    </w:p>
    <w:p w14:paraId="6766314C" w14:textId="5B64B491" w:rsidR="00640AD6" w:rsidRPr="003715EB" w:rsidRDefault="00640AD6" w:rsidP="00640AD6">
      <w:pPr>
        <w:jc w:val="both"/>
        <w:rPr>
          <w:rFonts w:eastAsia="Calibri"/>
          <w:i/>
          <w:sz w:val="24"/>
          <w:szCs w:val="24"/>
        </w:rPr>
      </w:pPr>
      <w:r w:rsidRPr="003715EB">
        <w:rPr>
          <w:rFonts w:eastAsia="Calibri"/>
          <w:i/>
          <w:sz w:val="24"/>
          <w:szCs w:val="24"/>
        </w:rPr>
        <w:t>Ovplyvňuje zmena regulácie inovácie, vedu a</w:t>
      </w:r>
      <w:r w:rsidR="00910798">
        <w:rPr>
          <w:rFonts w:eastAsia="Calibri"/>
          <w:i/>
          <w:sz w:val="24"/>
          <w:szCs w:val="24"/>
        </w:rPr>
        <w:t xml:space="preserve"> </w:t>
      </w:r>
      <w:r w:rsidRPr="003715EB">
        <w:rPr>
          <w:rFonts w:eastAsia="Calibri"/>
          <w:i/>
          <w:sz w:val="24"/>
          <w:szCs w:val="24"/>
        </w:rPr>
        <w:t>výskum?</w:t>
      </w:r>
    </w:p>
    <w:p w14:paraId="567E1EFA" w14:textId="65A86A5C" w:rsidR="00640AD6" w:rsidRDefault="00640AD6" w:rsidP="00640AD6">
      <w:pPr>
        <w:jc w:val="both"/>
        <w:rPr>
          <w:rFonts w:eastAsia="Calibri"/>
          <w:i/>
          <w:iCs/>
          <w:sz w:val="24"/>
          <w:szCs w:val="24"/>
        </w:rPr>
      </w:pPr>
      <w:r w:rsidRPr="003715EB">
        <w:rPr>
          <w:rFonts w:eastAsia="Calibri"/>
          <w:i/>
          <w:iCs/>
          <w:sz w:val="24"/>
          <w:szCs w:val="24"/>
        </w:rPr>
        <w:t>Ako prispieva zmena regulácie k</w:t>
      </w:r>
      <w:r w:rsidR="00910798">
        <w:rPr>
          <w:rFonts w:eastAsia="Calibri"/>
          <w:i/>
          <w:iCs/>
          <w:sz w:val="24"/>
          <w:szCs w:val="24"/>
        </w:rPr>
        <w:t xml:space="preserve"> </w:t>
      </w:r>
      <w:r w:rsidRPr="003715EB">
        <w:rPr>
          <w:rFonts w:eastAsia="Calibri"/>
          <w:i/>
          <w:iCs/>
          <w:sz w:val="24"/>
          <w:szCs w:val="24"/>
        </w:rPr>
        <w:t>cieľu Slovenska mať najlepšie podnikateľské prostredie spomedzi susediacich krajín EÚ?</w:t>
      </w:r>
    </w:p>
    <w:p w14:paraId="58DFC711" w14:textId="77777777" w:rsidR="00C17757" w:rsidRDefault="00C17757" w:rsidP="00640AD6">
      <w:pPr>
        <w:jc w:val="both"/>
        <w:rPr>
          <w:rFonts w:eastAsia="Calibri"/>
          <w:i/>
          <w:iCs/>
          <w:sz w:val="24"/>
          <w:szCs w:val="24"/>
        </w:rPr>
      </w:pPr>
    </w:p>
    <w:p w14:paraId="1522215C" w14:textId="50642E1F" w:rsidR="008E4FCE" w:rsidRPr="003715EB" w:rsidRDefault="007D2F9B" w:rsidP="00640AD6">
      <w:pPr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Priam</w:t>
      </w:r>
      <w:r w:rsidR="00F718B9">
        <w:rPr>
          <w:rFonts w:eastAsia="Calibri"/>
          <w:i/>
          <w:iCs/>
          <w:sz w:val="24"/>
          <w:szCs w:val="24"/>
        </w:rPr>
        <w:t>ou</w:t>
      </w:r>
      <w:r>
        <w:rPr>
          <w:rFonts w:eastAsia="Calibri"/>
          <w:i/>
          <w:iCs/>
          <w:sz w:val="24"/>
          <w:szCs w:val="24"/>
        </w:rPr>
        <w:t xml:space="preserve"> podpor</w:t>
      </w:r>
      <w:r w:rsidR="00F718B9">
        <w:rPr>
          <w:rFonts w:eastAsia="Calibri"/>
          <w:i/>
          <w:iCs/>
          <w:sz w:val="24"/>
          <w:szCs w:val="24"/>
        </w:rPr>
        <w:t>ou sa</w:t>
      </w:r>
      <w:r>
        <w:rPr>
          <w:rFonts w:eastAsia="Calibri"/>
          <w:i/>
          <w:iCs/>
          <w:sz w:val="24"/>
          <w:szCs w:val="24"/>
        </w:rPr>
        <w:t xml:space="preserve"> </w:t>
      </w:r>
      <w:r w:rsidR="00585DF6">
        <w:rPr>
          <w:rFonts w:eastAsia="Calibri"/>
          <w:i/>
          <w:iCs/>
          <w:sz w:val="24"/>
          <w:szCs w:val="24"/>
        </w:rPr>
        <w:t>prispeje k zvýšeniu konkurencieschopnosti</w:t>
      </w:r>
      <w:r w:rsidR="00C22AB2">
        <w:rPr>
          <w:rFonts w:eastAsia="Calibri"/>
          <w:i/>
          <w:iCs/>
          <w:sz w:val="24"/>
          <w:szCs w:val="24"/>
        </w:rPr>
        <w:t xml:space="preserve"> </w:t>
      </w:r>
      <w:r w:rsidR="00221529">
        <w:rPr>
          <w:rFonts w:eastAsia="Calibri"/>
          <w:i/>
          <w:iCs/>
          <w:sz w:val="24"/>
          <w:szCs w:val="24"/>
        </w:rPr>
        <w:t>v prospech poľnohospodá</w:t>
      </w:r>
      <w:r w:rsidR="009032B4">
        <w:rPr>
          <w:rFonts w:eastAsia="Calibri"/>
          <w:i/>
          <w:iCs/>
          <w:sz w:val="24"/>
          <w:szCs w:val="24"/>
        </w:rPr>
        <w:t>rskych podnikov, kto</w:t>
      </w:r>
      <w:r w:rsidR="00CA4F70">
        <w:rPr>
          <w:rFonts w:eastAsia="Calibri"/>
          <w:i/>
          <w:iCs/>
          <w:sz w:val="24"/>
          <w:szCs w:val="24"/>
        </w:rPr>
        <w:t>r</w:t>
      </w:r>
      <w:r w:rsidR="00D97901">
        <w:rPr>
          <w:rFonts w:eastAsia="Calibri"/>
          <w:i/>
          <w:iCs/>
          <w:sz w:val="24"/>
          <w:szCs w:val="24"/>
        </w:rPr>
        <w:t>é</w:t>
      </w:r>
      <w:r w:rsidR="00CA4F70">
        <w:rPr>
          <w:rFonts w:eastAsia="Calibri"/>
          <w:i/>
          <w:iCs/>
          <w:sz w:val="24"/>
          <w:szCs w:val="24"/>
        </w:rPr>
        <w:t xml:space="preserve"> spĺňajú stanovené podmienky oprávneností</w:t>
      </w:r>
      <w:r w:rsidR="007F6A4E">
        <w:rPr>
          <w:rFonts w:eastAsia="Calibri"/>
          <w:i/>
          <w:iCs/>
          <w:sz w:val="24"/>
          <w:szCs w:val="24"/>
        </w:rPr>
        <w:t>,</w:t>
      </w:r>
      <w:r w:rsidR="00CA4F70">
        <w:rPr>
          <w:rFonts w:eastAsia="Calibri"/>
          <w:i/>
          <w:iCs/>
          <w:sz w:val="24"/>
          <w:szCs w:val="24"/>
        </w:rPr>
        <w:t xml:space="preserve"> a</w:t>
      </w:r>
      <w:r w:rsidR="00BE6E5F" w:rsidRPr="00BE6E5F">
        <w:rPr>
          <w:rFonts w:eastAsia="Calibri"/>
          <w:i/>
          <w:iCs/>
          <w:sz w:val="24"/>
          <w:szCs w:val="24"/>
        </w:rPr>
        <w:t xml:space="preserve"> ktor</w:t>
      </w:r>
      <w:r w:rsidR="007F6A4E">
        <w:rPr>
          <w:rFonts w:eastAsia="Calibri"/>
          <w:i/>
          <w:iCs/>
          <w:sz w:val="24"/>
          <w:szCs w:val="24"/>
        </w:rPr>
        <w:t>é</w:t>
      </w:r>
      <w:r w:rsidR="00BE6E5F" w:rsidRPr="00BE6E5F">
        <w:rPr>
          <w:rFonts w:eastAsia="Calibri"/>
          <w:i/>
          <w:iCs/>
          <w:sz w:val="24"/>
          <w:szCs w:val="24"/>
        </w:rPr>
        <w:t xml:space="preserve"> sa dobrovoľne zaviažu na ich plnenie, na základe výzvy Pôdohospodárskej platobnej agentúry</w:t>
      </w:r>
      <w:r w:rsidR="00C22AB2">
        <w:rPr>
          <w:rFonts w:eastAsia="Calibri"/>
          <w:i/>
          <w:iCs/>
          <w:sz w:val="24"/>
          <w:szCs w:val="24"/>
        </w:rPr>
        <w:t xml:space="preserve">. </w:t>
      </w:r>
      <w:r w:rsidR="002227DE">
        <w:rPr>
          <w:rFonts w:eastAsia="Calibri"/>
          <w:i/>
          <w:iCs/>
          <w:sz w:val="24"/>
          <w:szCs w:val="24"/>
        </w:rPr>
        <w:t>Zároveň sa negatívne ovplyvní konkurencieschopnosť p</w:t>
      </w:r>
      <w:r w:rsidR="004877A3">
        <w:rPr>
          <w:rFonts w:eastAsia="Calibri"/>
          <w:i/>
          <w:iCs/>
          <w:sz w:val="24"/>
          <w:szCs w:val="24"/>
        </w:rPr>
        <w:t>oľnohospodárskych podnikov, ktoré</w:t>
      </w:r>
      <w:r w:rsidR="00A72930">
        <w:rPr>
          <w:rFonts w:eastAsia="Calibri"/>
          <w:i/>
          <w:iCs/>
          <w:sz w:val="24"/>
          <w:szCs w:val="24"/>
        </w:rPr>
        <w:t xml:space="preserve"> nie sú prijímateľmi po</w:t>
      </w:r>
      <w:r w:rsidR="002216A4">
        <w:rPr>
          <w:rFonts w:eastAsia="Calibri"/>
          <w:i/>
          <w:iCs/>
          <w:sz w:val="24"/>
          <w:szCs w:val="24"/>
        </w:rPr>
        <w:t>dpory</w:t>
      </w:r>
      <w:r w:rsidR="004877A3">
        <w:rPr>
          <w:rFonts w:eastAsia="Calibri"/>
          <w:i/>
          <w:iCs/>
          <w:sz w:val="24"/>
          <w:szCs w:val="24"/>
        </w:rPr>
        <w:t>.</w:t>
      </w:r>
    </w:p>
    <w:p w14:paraId="3F774C04" w14:textId="77777777" w:rsidR="00640AD6" w:rsidRPr="003715EB" w:rsidRDefault="00640AD6" w:rsidP="00640AD6">
      <w:pPr>
        <w:jc w:val="both"/>
        <w:rPr>
          <w:rFonts w:eastAsia="Calibri"/>
          <w:i/>
          <w:sz w:val="24"/>
          <w:szCs w:val="24"/>
        </w:rPr>
      </w:pPr>
    </w:p>
    <w:p w14:paraId="5EABFE35" w14:textId="77777777" w:rsidR="00640AD6" w:rsidRPr="003715EB" w:rsidRDefault="00640AD6" w:rsidP="00640AD6">
      <w:pPr>
        <w:jc w:val="both"/>
        <w:rPr>
          <w:rFonts w:eastAsia="Calibri"/>
          <w:b/>
          <w:i/>
          <w:sz w:val="24"/>
          <w:szCs w:val="24"/>
        </w:rPr>
      </w:pPr>
      <w:r w:rsidRPr="003715EB">
        <w:rPr>
          <w:rFonts w:eastAsia="Calibri"/>
          <w:b/>
          <w:i/>
          <w:sz w:val="24"/>
          <w:szCs w:val="24"/>
        </w:rPr>
        <w:t>Konkurencieschopnosť:</w:t>
      </w:r>
    </w:p>
    <w:p w14:paraId="07441F68" w14:textId="77777777" w:rsidR="00640AD6" w:rsidRPr="003715EB" w:rsidRDefault="00640AD6" w:rsidP="00640AD6">
      <w:pPr>
        <w:jc w:val="both"/>
        <w:rPr>
          <w:rFonts w:eastAsia="Calibri"/>
          <w:i/>
          <w:sz w:val="24"/>
          <w:szCs w:val="24"/>
        </w:rPr>
      </w:pPr>
      <w:r w:rsidRPr="003715EB">
        <w:rPr>
          <w:rFonts w:eastAsia="Calibri"/>
          <w:i/>
          <w:sz w:val="24"/>
          <w:szCs w:val="24"/>
        </w:rPr>
        <w:t>Na základe uvedených odpovedí zaškrtnite a popíšte, či materiál konkurencieschopnosť:</w:t>
      </w:r>
    </w:p>
    <w:p w14:paraId="5B759EB0" w14:textId="1B2FC19D" w:rsidR="00640AD6" w:rsidRPr="009C2EF4" w:rsidRDefault="00312AF0" w:rsidP="00640AD6">
      <w:pPr>
        <w:jc w:val="both"/>
        <w:rPr>
          <w:rFonts w:eastAsia="Calibri"/>
          <w:i/>
          <w:sz w:val="24"/>
          <w:szCs w:val="24"/>
        </w:rPr>
      </w:pPr>
      <w:sdt>
        <w:sdtPr>
          <w:rPr>
            <w:rFonts w:eastAsia="Calibri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eastAsia="Calibri"/>
                <w:i/>
                <w:sz w:val="24"/>
                <w:szCs w:val="24"/>
              </w:rPr>
              <w:id w:val="1729873660"/>
            </w:sdtPr>
            <w:sdtEndPr/>
            <w:sdtContent>
              <w:sdt>
                <w:sdtPr>
                  <w:rPr>
                    <w:rFonts w:ascii="Segoe UI Symbol" w:eastAsia="Calibri" w:hAnsi="Segoe UI Symbol" w:cs="Segoe UI Symbol"/>
                    <w:i/>
                    <w:sz w:val="24"/>
                    <w:szCs w:val="24"/>
                  </w:rPr>
                  <w:id w:val="79510284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4432A">
                    <w:rPr>
                      <w:rFonts w:ascii="MS Gothic" w:eastAsia="MS Gothic" w:hAnsi="MS Gothic" w:cs="Segoe UI Symbol" w:hint="eastAsia"/>
                      <w:i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="00640AD6" w:rsidRPr="009C2EF4">
        <w:rPr>
          <w:rFonts w:eastAsia="Calibri"/>
          <w:i/>
          <w:sz w:val="24"/>
          <w:szCs w:val="24"/>
        </w:rPr>
        <w:t xml:space="preserve"> zvyšuje</w:t>
      </w:r>
      <w:r w:rsidR="005C4986" w:rsidRPr="009C2EF4">
        <w:rPr>
          <w:rFonts w:eastAsia="Calibri"/>
          <w:i/>
          <w:sz w:val="24"/>
          <w:szCs w:val="24"/>
        </w:rPr>
        <w:t xml:space="preserve"> </w:t>
      </w:r>
      <w:r w:rsidR="00640AD6" w:rsidRPr="009C2EF4">
        <w:rPr>
          <w:rFonts w:eastAsia="Calibri"/>
          <w:i/>
          <w:sz w:val="24"/>
          <w:szCs w:val="24"/>
        </w:rPr>
        <w:tab/>
      </w:r>
      <w:sdt>
        <w:sdtPr>
          <w:rPr>
            <w:i/>
            <w:sz w:val="24"/>
            <w:szCs w:val="24"/>
          </w:rPr>
          <w:id w:val="-3867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EF7" w:rsidRPr="009C2EF4"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 w:rsidR="00640AD6" w:rsidRPr="009C2EF4" w:rsidDel="004B47F7">
        <w:rPr>
          <w:rFonts w:eastAsia="Calibri"/>
          <w:i/>
          <w:sz w:val="24"/>
          <w:szCs w:val="24"/>
        </w:rPr>
        <w:t xml:space="preserve"> </w:t>
      </w:r>
      <w:r w:rsidR="00640AD6" w:rsidRPr="009C2EF4">
        <w:rPr>
          <w:rFonts w:eastAsia="Calibri"/>
          <w:i/>
          <w:sz w:val="24"/>
          <w:szCs w:val="24"/>
        </w:rPr>
        <w:t>nemení</w:t>
      </w:r>
      <w:r w:rsidR="00640AD6" w:rsidRPr="009C2EF4">
        <w:rPr>
          <w:rFonts w:eastAsia="Calibri"/>
          <w:i/>
          <w:sz w:val="24"/>
          <w:szCs w:val="24"/>
        </w:rPr>
        <w:tab/>
      </w:r>
      <w:sdt>
        <w:sdtPr>
          <w:rPr>
            <w:rFonts w:eastAsia="Calibri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eastAsia="Calibri"/>
                <w:i/>
                <w:sz w:val="24"/>
                <w:szCs w:val="24"/>
              </w:rPr>
              <w:id w:val="-1706551548"/>
            </w:sdtPr>
            <w:sdtEndPr/>
            <w:sdtContent>
              <w:sdt>
                <w:sdtPr>
                  <w:rPr>
                    <w:rFonts w:eastAsia="Calibri"/>
                    <w:i/>
                    <w:sz w:val="24"/>
                    <w:szCs w:val="24"/>
                  </w:rPr>
                  <w:id w:val="-109847700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4432A">
                    <w:rPr>
                      <w:rFonts w:ascii="MS Gothic" w:eastAsia="MS Gothic" w:hAnsi="MS Gothic" w:hint="eastAsia"/>
                      <w:i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="00640AD6" w:rsidRPr="009C2EF4">
        <w:rPr>
          <w:rFonts w:eastAsia="Calibri"/>
          <w:i/>
          <w:sz w:val="24"/>
          <w:szCs w:val="24"/>
        </w:rPr>
        <w:t xml:space="preserve"> znižuje</w:t>
      </w:r>
    </w:p>
    <w:p w14:paraId="4A55B1D5" w14:textId="77777777" w:rsidR="00640AD6" w:rsidRPr="003715EB" w:rsidRDefault="00640AD6" w:rsidP="00640AD6">
      <w:pPr>
        <w:jc w:val="both"/>
        <w:rPr>
          <w:rFonts w:eastAsia="Calibri"/>
          <w:i/>
          <w:sz w:val="24"/>
          <w:szCs w:val="24"/>
        </w:rPr>
      </w:pPr>
    </w:p>
    <w:p w14:paraId="549427CC" w14:textId="77777777" w:rsidR="00640AD6" w:rsidRPr="003715EB" w:rsidRDefault="00640AD6" w:rsidP="00640AD6">
      <w:pPr>
        <w:jc w:val="both"/>
        <w:rPr>
          <w:rFonts w:eastAsia="Calibri"/>
          <w:b/>
          <w:i/>
          <w:sz w:val="24"/>
          <w:szCs w:val="24"/>
        </w:rPr>
      </w:pPr>
      <w:r w:rsidRPr="003715EB">
        <w:rPr>
          <w:rFonts w:eastAsia="Calibri"/>
          <w:b/>
          <w:i/>
          <w:sz w:val="24"/>
          <w:szCs w:val="24"/>
        </w:rPr>
        <w:t>Produktivita:</w:t>
      </w:r>
    </w:p>
    <w:p w14:paraId="52C79AC5" w14:textId="6816F18B" w:rsidR="00640AD6" w:rsidRDefault="00640AD6" w:rsidP="00640AD6">
      <w:pPr>
        <w:jc w:val="both"/>
        <w:rPr>
          <w:rFonts w:eastAsia="Calibri"/>
          <w:i/>
          <w:sz w:val="24"/>
          <w:szCs w:val="24"/>
        </w:rPr>
      </w:pPr>
      <w:r w:rsidRPr="003715EB">
        <w:rPr>
          <w:rFonts w:eastAsia="Calibri"/>
          <w:i/>
          <w:sz w:val="24"/>
          <w:szCs w:val="24"/>
        </w:rPr>
        <w:t xml:space="preserve">Aký má materiál vplyv na zmenu pomeru medzi produkciou podnikov a ich nákladmi? </w:t>
      </w:r>
    </w:p>
    <w:p w14:paraId="533D4F6A" w14:textId="45B72D3E" w:rsidR="00B61DCF" w:rsidRDefault="00B61DCF" w:rsidP="00640AD6">
      <w:pPr>
        <w:jc w:val="both"/>
        <w:rPr>
          <w:rFonts w:eastAsia="Calibri"/>
          <w:i/>
          <w:sz w:val="24"/>
          <w:szCs w:val="24"/>
        </w:rPr>
      </w:pPr>
    </w:p>
    <w:p w14:paraId="1F4F7439" w14:textId="412CC06B" w:rsidR="00B61DCF" w:rsidRPr="003715EB" w:rsidRDefault="00B61DCF" w:rsidP="00640AD6">
      <w:pPr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Poskytovaním priamej podpory v poľnohospodárstve vo forme priamych platieb a neprojektových opatrení v záujme rozvoja vidieka sa zvýši produktivita poľnohospodárskych podnikov, ktoré sú prijímateľmi podpory.</w:t>
      </w:r>
    </w:p>
    <w:p w14:paraId="4E89535A" w14:textId="77777777" w:rsidR="00640AD6" w:rsidRPr="003715EB" w:rsidRDefault="00640AD6" w:rsidP="00640AD6">
      <w:pPr>
        <w:jc w:val="both"/>
        <w:rPr>
          <w:rFonts w:eastAsia="Calibri"/>
          <w:i/>
          <w:sz w:val="24"/>
          <w:szCs w:val="24"/>
        </w:rPr>
      </w:pPr>
    </w:p>
    <w:p w14:paraId="054F9118" w14:textId="77777777" w:rsidR="00640AD6" w:rsidRPr="003715EB" w:rsidRDefault="00640AD6" w:rsidP="00640AD6">
      <w:pPr>
        <w:jc w:val="both"/>
        <w:rPr>
          <w:rFonts w:eastAsia="Calibri"/>
          <w:i/>
          <w:sz w:val="24"/>
          <w:szCs w:val="24"/>
        </w:rPr>
      </w:pPr>
      <w:r w:rsidRPr="003715EB">
        <w:rPr>
          <w:rFonts w:eastAsia="Calibri"/>
          <w:i/>
          <w:sz w:val="24"/>
          <w:szCs w:val="24"/>
        </w:rPr>
        <w:t>Na základe uvedenej odpovede zaškrtnite a popíšte, či materiál produktivitu:</w:t>
      </w:r>
    </w:p>
    <w:p w14:paraId="587E00B0" w14:textId="1FF4C3EA" w:rsidR="00640AD6" w:rsidRPr="003715EB" w:rsidRDefault="00312AF0" w:rsidP="00640AD6">
      <w:pPr>
        <w:jc w:val="both"/>
        <w:rPr>
          <w:rFonts w:eastAsia="Calibri"/>
          <w:i/>
          <w:sz w:val="24"/>
          <w:szCs w:val="24"/>
        </w:rPr>
      </w:pPr>
      <w:sdt>
        <w:sdtPr>
          <w:rPr>
            <w:rFonts w:eastAsia="Calibri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eastAsia="Calibri"/>
                <w:i/>
                <w:sz w:val="24"/>
                <w:szCs w:val="24"/>
              </w:rPr>
              <w:id w:val="825715010"/>
            </w:sdtPr>
            <w:sdtEndPr/>
            <w:sdtContent>
              <w:sdt>
                <w:sdtPr>
                  <w:rPr>
                    <w:rFonts w:ascii="Segoe UI Symbol" w:eastAsia="Calibri" w:hAnsi="Segoe UI Symbol" w:cs="Segoe UI Symbol"/>
                    <w:i/>
                    <w:sz w:val="24"/>
                    <w:szCs w:val="24"/>
                  </w:rPr>
                  <w:id w:val="211848604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4432A">
                    <w:rPr>
                      <w:rFonts w:ascii="MS Gothic" w:eastAsia="MS Gothic" w:hAnsi="MS Gothic" w:cs="Segoe UI Symbol" w:hint="eastAsia"/>
                      <w:i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="00640AD6" w:rsidRPr="003715EB">
        <w:rPr>
          <w:rFonts w:eastAsia="Calibri"/>
          <w:i/>
          <w:sz w:val="24"/>
          <w:szCs w:val="24"/>
        </w:rPr>
        <w:t xml:space="preserve"> zvyšuje</w:t>
      </w:r>
      <w:r w:rsidR="005C4986" w:rsidRPr="003715EB">
        <w:rPr>
          <w:rFonts w:eastAsia="Calibri"/>
          <w:i/>
          <w:sz w:val="24"/>
          <w:szCs w:val="24"/>
        </w:rPr>
        <w:t xml:space="preserve"> </w:t>
      </w:r>
      <w:r w:rsidR="00640AD6" w:rsidRPr="003715EB">
        <w:rPr>
          <w:rFonts w:eastAsia="Calibri"/>
          <w:i/>
          <w:sz w:val="24"/>
          <w:szCs w:val="24"/>
        </w:rPr>
        <w:tab/>
      </w:r>
      <w:sdt>
        <w:sdtPr>
          <w:rPr>
            <w:i/>
            <w:sz w:val="24"/>
            <w:szCs w:val="24"/>
          </w:rPr>
          <w:id w:val="-214241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32">
            <w:rPr>
              <w:rFonts w:ascii="MS Gothic" w:eastAsia="MS Gothic" w:hAnsi="MS Gothic" w:hint="eastAsia"/>
              <w:i/>
              <w:sz w:val="24"/>
              <w:szCs w:val="24"/>
            </w:rPr>
            <w:t>☐</w:t>
          </w:r>
        </w:sdtContent>
      </w:sdt>
      <w:r w:rsidR="00640AD6" w:rsidRPr="003715EB" w:rsidDel="004B47F7">
        <w:rPr>
          <w:rFonts w:eastAsia="Calibri"/>
          <w:i/>
          <w:sz w:val="24"/>
          <w:szCs w:val="24"/>
        </w:rPr>
        <w:t xml:space="preserve"> </w:t>
      </w:r>
      <w:r w:rsidR="00640AD6" w:rsidRPr="003715EB">
        <w:rPr>
          <w:rFonts w:eastAsia="Calibri"/>
          <w:i/>
          <w:sz w:val="24"/>
          <w:szCs w:val="24"/>
        </w:rPr>
        <w:t>nemení</w:t>
      </w:r>
      <w:r w:rsidR="00640AD6" w:rsidRPr="003715EB">
        <w:rPr>
          <w:rFonts w:eastAsia="Calibri"/>
          <w:i/>
          <w:sz w:val="24"/>
          <w:szCs w:val="24"/>
        </w:rPr>
        <w:tab/>
      </w:r>
      <w:sdt>
        <w:sdtPr>
          <w:rPr>
            <w:rFonts w:eastAsia="Calibri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eastAsia="Calibri"/>
                <w:i/>
                <w:sz w:val="24"/>
                <w:szCs w:val="24"/>
              </w:rPr>
              <w:id w:val="-623767955"/>
            </w:sdtPr>
            <w:sdtEndPr/>
            <w:sdtContent>
              <w:r w:rsidR="00640AD6" w:rsidRPr="003715EB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640AD6" w:rsidRPr="003715EB">
        <w:rPr>
          <w:rFonts w:eastAsia="Calibri"/>
          <w:i/>
          <w:sz w:val="24"/>
          <w:szCs w:val="24"/>
        </w:rPr>
        <w:t xml:space="preserve"> znižuje</w:t>
      </w:r>
    </w:p>
    <w:p w14:paraId="74ED37E7" w14:textId="77777777" w:rsidR="00640AD6" w:rsidRPr="003715EB" w:rsidRDefault="00640AD6" w:rsidP="00640AD6">
      <w:pPr>
        <w:jc w:val="both"/>
        <w:rPr>
          <w:rFonts w:eastAsia="Calibri"/>
          <w:i/>
          <w:sz w:val="24"/>
          <w:szCs w:val="24"/>
        </w:rPr>
      </w:pPr>
    </w:p>
    <w:p w14:paraId="4B867C33" w14:textId="01FD5DE6" w:rsidR="00640AD6" w:rsidRPr="007A5538" w:rsidRDefault="00640AD6" w:rsidP="00640AD6">
      <w:pPr>
        <w:jc w:val="both"/>
        <w:rPr>
          <w:rFonts w:eastAsia="Calibri"/>
          <w:b/>
          <w:sz w:val="24"/>
          <w:szCs w:val="24"/>
        </w:rPr>
      </w:pPr>
      <w:r w:rsidRPr="007A5538">
        <w:rPr>
          <w:rFonts w:eastAsia="Calibri"/>
          <w:b/>
          <w:sz w:val="24"/>
          <w:szCs w:val="24"/>
        </w:rPr>
        <w:t>3.4</w:t>
      </w:r>
      <w:r w:rsidR="005C4986" w:rsidRPr="007A5538">
        <w:rPr>
          <w:rFonts w:eastAsia="Calibri"/>
          <w:b/>
          <w:sz w:val="24"/>
          <w:szCs w:val="24"/>
        </w:rPr>
        <w:t xml:space="preserve"> </w:t>
      </w:r>
      <w:r w:rsidRPr="007A5538">
        <w:rPr>
          <w:rFonts w:eastAsia="Calibri"/>
          <w:b/>
          <w:sz w:val="24"/>
          <w:szCs w:val="24"/>
        </w:rPr>
        <w:t xml:space="preserve">Iné vplyvy na podnikateľské prostredie </w:t>
      </w:r>
    </w:p>
    <w:p w14:paraId="01577DEF" w14:textId="7DCD55B2" w:rsidR="00640AD6" w:rsidRPr="007A5538" w:rsidRDefault="00640AD6" w:rsidP="00640AD6">
      <w:pPr>
        <w:jc w:val="both"/>
        <w:rPr>
          <w:rFonts w:eastAsia="Calibri"/>
          <w:i/>
          <w:sz w:val="24"/>
          <w:szCs w:val="24"/>
        </w:rPr>
      </w:pPr>
      <w:r w:rsidRPr="007A5538">
        <w:rPr>
          <w:rFonts w:eastAsia="Calibri"/>
          <w:i/>
          <w:sz w:val="24"/>
          <w:szCs w:val="24"/>
        </w:rPr>
        <w:t>Ak má materiál vplyvy na PP, ktoré nemožno zaradiť do predchádzajúcich častí, či už pozitívne alebo negatívne, tu ich uveďte.</w:t>
      </w:r>
      <w:r w:rsidR="005C4986" w:rsidRPr="007A5538">
        <w:rPr>
          <w:rFonts w:eastAsia="Calibri"/>
          <w:i/>
          <w:sz w:val="24"/>
          <w:szCs w:val="24"/>
        </w:rPr>
        <w:t xml:space="preserve"> </w:t>
      </w:r>
      <w:r w:rsidRPr="007A5538">
        <w:rPr>
          <w:rFonts w:eastAsia="Calibri"/>
          <w:i/>
          <w:sz w:val="24"/>
          <w:szCs w:val="24"/>
        </w:rPr>
        <w:t xml:space="preserve">Patria sem: </w:t>
      </w:r>
    </w:p>
    <w:p w14:paraId="1486DF4B" w14:textId="77777777" w:rsidR="00640AD6" w:rsidRPr="007A5538" w:rsidRDefault="00640AD6" w:rsidP="00640AD6">
      <w:pPr>
        <w:pStyle w:val="Odsekzoznamu"/>
        <w:numPr>
          <w:ilvl w:val="0"/>
          <w:numId w:val="17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553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sankcie alebo pokuty, ako dôsledok porušenia právne záväzných ustanovení;</w:t>
      </w:r>
    </w:p>
    <w:p w14:paraId="1530ECD5" w14:textId="6FF5CC55" w:rsidR="00640AD6" w:rsidRPr="007A5538" w:rsidRDefault="00640AD6" w:rsidP="00640AD6">
      <w:pPr>
        <w:pStyle w:val="Odsekzoznamu"/>
        <w:numPr>
          <w:ilvl w:val="0"/>
          <w:numId w:val="17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5538">
        <w:rPr>
          <w:rFonts w:ascii="Times New Roman" w:eastAsia="Calibri" w:hAnsi="Times New Roman" w:cs="Times New Roman"/>
          <w:i/>
          <w:sz w:val="24"/>
          <w:szCs w:val="24"/>
        </w:rPr>
        <w:t>vplyvy súvisiace so žiadosťami o alebo prijímaním dotácií, fondov, štátnej pomoci a čerpaním iných obdobných foriem podpory zo strany štátu, keďže sú sprievodným javom uchádzania sa či získania benefitov, na ktor</w:t>
      </w:r>
      <w:r w:rsidR="007A5538">
        <w:rPr>
          <w:rFonts w:ascii="Times New Roman" w:eastAsia="Calibri" w:hAnsi="Times New Roman" w:cs="Times New Roman"/>
          <w:i/>
          <w:sz w:val="24"/>
          <w:szCs w:val="24"/>
        </w:rPr>
        <w:t>é nie je právny nárok priamo zo </w:t>
      </w:r>
      <w:r w:rsidRPr="007A5538">
        <w:rPr>
          <w:rFonts w:ascii="Times New Roman" w:eastAsia="Calibri" w:hAnsi="Times New Roman" w:cs="Times New Roman"/>
          <w:i/>
          <w:sz w:val="24"/>
          <w:szCs w:val="24"/>
        </w:rPr>
        <w:t>zákona, ale vzniká na základe prejavu vôle dotknutého subjektu;</w:t>
      </w:r>
    </w:p>
    <w:p w14:paraId="10FA6948" w14:textId="77777777" w:rsidR="00640AD6" w:rsidRPr="007A5538" w:rsidRDefault="00640AD6" w:rsidP="00640AD6">
      <w:pPr>
        <w:pStyle w:val="Odsekzoznamu"/>
        <w:numPr>
          <w:ilvl w:val="0"/>
          <w:numId w:val="17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5538">
        <w:rPr>
          <w:rFonts w:ascii="Times New Roman" w:eastAsia="Calibri" w:hAnsi="Times New Roman" w:cs="Times New Roman"/>
          <w:i/>
          <w:sz w:val="24"/>
          <w:szCs w:val="24"/>
        </w:rPr>
        <w:t>regulované ceny podľa zákona č. 18/1996 Z. z. o cenách;</w:t>
      </w:r>
    </w:p>
    <w:p w14:paraId="71A5AC55" w14:textId="16F65CC7" w:rsidR="00640AD6" w:rsidRPr="007A5538" w:rsidRDefault="00640AD6" w:rsidP="00640AD6">
      <w:pPr>
        <w:pStyle w:val="Odsekzoznamu"/>
        <w:numPr>
          <w:ilvl w:val="0"/>
          <w:numId w:val="17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5538">
        <w:rPr>
          <w:rFonts w:ascii="Times New Roman" w:eastAsia="Calibri" w:hAnsi="Times New Roman" w:cs="Times New Roman"/>
          <w:i/>
          <w:sz w:val="24"/>
          <w:szCs w:val="24"/>
        </w:rPr>
        <w:t xml:space="preserve">iné vplyvy, ktoré predpokladá materiál, ale nemožno ich zaradiť do častí 3.1 a 3.3. </w:t>
      </w:r>
    </w:p>
    <w:p w14:paraId="0451FB5D" w14:textId="7BCCCFB3" w:rsidR="00C25682" w:rsidRDefault="00C25682" w:rsidP="0020557A">
      <w:pPr>
        <w:spacing w:line="254" w:lineRule="auto"/>
        <w:jc w:val="both"/>
        <w:rPr>
          <w:rFonts w:eastAsia="Calibri"/>
          <w:i/>
          <w:sz w:val="24"/>
          <w:szCs w:val="24"/>
          <w:highlight w:val="yellow"/>
        </w:rPr>
      </w:pPr>
    </w:p>
    <w:p w14:paraId="31E3347F" w14:textId="750DCCC5" w:rsidR="0020557A" w:rsidRPr="006922BF" w:rsidRDefault="0020557A" w:rsidP="0020557A">
      <w:pPr>
        <w:jc w:val="both"/>
        <w:rPr>
          <w:rFonts w:eastAsia="Calibri"/>
          <w:sz w:val="24"/>
          <w:szCs w:val="24"/>
        </w:rPr>
      </w:pPr>
      <w:r w:rsidRPr="003715EB">
        <w:rPr>
          <w:rFonts w:eastAsia="Calibri"/>
          <w:sz w:val="24"/>
          <w:szCs w:val="24"/>
        </w:rPr>
        <w:t>N</w:t>
      </w:r>
      <w:r>
        <w:rPr>
          <w:rFonts w:eastAsia="Calibri"/>
          <w:sz w:val="24"/>
          <w:szCs w:val="24"/>
        </w:rPr>
        <w:t>ávrhom nariadenia</w:t>
      </w:r>
      <w:r w:rsidRPr="003715EB">
        <w:rPr>
          <w:rFonts w:eastAsia="Calibri"/>
          <w:sz w:val="24"/>
          <w:szCs w:val="24"/>
        </w:rPr>
        <w:t xml:space="preserve"> </w:t>
      </w:r>
      <w:r w:rsidRPr="00C25682">
        <w:rPr>
          <w:rFonts w:eastAsia="Calibri"/>
          <w:sz w:val="24"/>
          <w:szCs w:val="24"/>
        </w:rPr>
        <w:t>sa ustanovujú pravidlá predklada</w:t>
      </w:r>
      <w:r>
        <w:rPr>
          <w:rFonts w:eastAsia="Calibri"/>
          <w:sz w:val="24"/>
          <w:szCs w:val="24"/>
        </w:rPr>
        <w:t xml:space="preserve">nia žiadostí, výkonu kontroly a prípadného </w:t>
      </w:r>
      <w:r w:rsidRPr="00C25682">
        <w:rPr>
          <w:rFonts w:eastAsia="Calibri"/>
          <w:sz w:val="24"/>
          <w:szCs w:val="24"/>
        </w:rPr>
        <w:t xml:space="preserve">znižovania priamych podpôr </w:t>
      </w:r>
      <w:r>
        <w:rPr>
          <w:rFonts w:eastAsia="Calibri"/>
          <w:sz w:val="24"/>
          <w:szCs w:val="24"/>
        </w:rPr>
        <w:t>v poľnohospodárstve vo </w:t>
      </w:r>
      <w:r w:rsidRPr="00C25682">
        <w:rPr>
          <w:rFonts w:eastAsia="Calibri"/>
          <w:sz w:val="24"/>
          <w:szCs w:val="24"/>
        </w:rPr>
        <w:t>forme priamych platieb, ako aj vybraných neprojektových opatrení</w:t>
      </w:r>
      <w:r>
        <w:rPr>
          <w:rFonts w:eastAsia="Calibri"/>
          <w:sz w:val="24"/>
          <w:szCs w:val="24"/>
        </w:rPr>
        <w:t xml:space="preserve"> </w:t>
      </w:r>
      <w:r w:rsidRPr="00C25682">
        <w:rPr>
          <w:rFonts w:eastAsia="Calibri"/>
          <w:sz w:val="24"/>
          <w:szCs w:val="24"/>
        </w:rPr>
        <w:t>v záujme rozvoja vidieka stanovených v</w:t>
      </w:r>
      <w:r w:rsidR="00031029">
        <w:rPr>
          <w:rFonts w:eastAsia="Calibri"/>
          <w:sz w:val="24"/>
          <w:szCs w:val="24"/>
        </w:rPr>
        <w:t> S</w:t>
      </w:r>
      <w:r w:rsidRPr="00C25682">
        <w:rPr>
          <w:rFonts w:eastAsia="Calibri"/>
          <w:sz w:val="24"/>
          <w:szCs w:val="24"/>
        </w:rPr>
        <w:t>trategickom pláne spoločnej poľnohospodárskej politiky</w:t>
      </w:r>
      <w:r w:rsidR="00CB0A86">
        <w:rPr>
          <w:rFonts w:eastAsia="Calibri"/>
          <w:sz w:val="24"/>
          <w:szCs w:val="24"/>
        </w:rPr>
        <w:t xml:space="preserve"> </w:t>
      </w:r>
      <w:r w:rsidR="00CB0A86" w:rsidRPr="00D42382">
        <w:rPr>
          <w:rFonts w:eastAsia="Calibri"/>
          <w:sz w:val="24"/>
          <w:szCs w:val="24"/>
        </w:rPr>
        <w:t>2023 – 2027</w:t>
      </w:r>
      <w:r w:rsidRPr="00C25682">
        <w:rPr>
          <w:rFonts w:eastAsia="Calibri"/>
          <w:sz w:val="24"/>
          <w:szCs w:val="24"/>
        </w:rPr>
        <w:t>, na ktoré sa vzťahuj</w:t>
      </w:r>
      <w:r>
        <w:rPr>
          <w:rFonts w:eastAsia="Calibri"/>
          <w:sz w:val="24"/>
          <w:szCs w:val="24"/>
        </w:rPr>
        <w:t>e integrovaný administratívny a </w:t>
      </w:r>
      <w:r w:rsidRPr="00C25682">
        <w:rPr>
          <w:rFonts w:eastAsia="Calibri"/>
          <w:sz w:val="24"/>
          <w:szCs w:val="24"/>
        </w:rPr>
        <w:t>kontrolný systém</w:t>
      </w:r>
      <w:r>
        <w:rPr>
          <w:rFonts w:eastAsia="Calibri"/>
          <w:sz w:val="24"/>
          <w:szCs w:val="24"/>
        </w:rPr>
        <w:t>.</w:t>
      </w:r>
      <w:r w:rsidRPr="00C25682">
        <w:t xml:space="preserve"> </w:t>
      </w:r>
      <w:r w:rsidRPr="00C25682">
        <w:rPr>
          <w:rFonts w:eastAsia="Calibri"/>
          <w:sz w:val="24"/>
          <w:szCs w:val="24"/>
        </w:rPr>
        <w:t>Návrhom nariadenia vlády sa predpokladajú priame pozitívne a priame a nepriame negatívne vplyvy na podnikateľské prostredie.</w:t>
      </w:r>
      <w:r w:rsidR="00D42382">
        <w:rPr>
          <w:rFonts w:eastAsia="Calibri"/>
          <w:sz w:val="24"/>
          <w:szCs w:val="24"/>
        </w:rPr>
        <w:t xml:space="preserve"> </w:t>
      </w:r>
      <w:r w:rsidRPr="00C25682">
        <w:rPr>
          <w:rFonts w:eastAsia="Calibri"/>
          <w:sz w:val="24"/>
          <w:szCs w:val="24"/>
        </w:rPr>
        <w:t>P</w:t>
      </w:r>
      <w:r>
        <w:rPr>
          <w:rFonts w:eastAsia="Calibri"/>
          <w:sz w:val="24"/>
          <w:szCs w:val="24"/>
        </w:rPr>
        <w:t>ozitívne vplyvy vyplývajú zo</w:t>
      </w:r>
      <w:r w:rsidRPr="00C25682">
        <w:rPr>
          <w:rFonts w:eastAsia="Calibri"/>
          <w:sz w:val="24"/>
          <w:szCs w:val="24"/>
        </w:rPr>
        <w:t xml:space="preserve"> zabezpečenia bezproblémového, koherentného a efektívneho fungovania podpory </w:t>
      </w:r>
      <w:r>
        <w:rPr>
          <w:rFonts w:eastAsia="Calibri"/>
          <w:sz w:val="24"/>
          <w:szCs w:val="24"/>
        </w:rPr>
        <w:t xml:space="preserve">v poľnohospodárstve </w:t>
      </w:r>
      <w:r w:rsidRPr="00C25682">
        <w:rPr>
          <w:rFonts w:eastAsia="Calibri"/>
          <w:sz w:val="24"/>
          <w:szCs w:val="24"/>
        </w:rPr>
        <w:t>vo forme priamych platieb, ako aj vybraných typov neprojektových opatrení v záujme rozvoja vidieka</w:t>
      </w:r>
      <w:r w:rsidRPr="00D3698D">
        <w:rPr>
          <w:rFonts w:eastAsia="Calibri"/>
          <w:sz w:val="24"/>
          <w:szCs w:val="24"/>
        </w:rPr>
        <w:t xml:space="preserve"> </w:t>
      </w:r>
      <w:r w:rsidRPr="00C25682">
        <w:rPr>
          <w:rFonts w:eastAsia="Calibri"/>
          <w:sz w:val="24"/>
          <w:szCs w:val="24"/>
        </w:rPr>
        <w:t xml:space="preserve">stanovených v </w:t>
      </w:r>
      <w:r w:rsidR="005C5CB4">
        <w:rPr>
          <w:rFonts w:eastAsia="Calibri"/>
          <w:sz w:val="24"/>
          <w:szCs w:val="24"/>
        </w:rPr>
        <w:t>S</w:t>
      </w:r>
      <w:r w:rsidRPr="00C25682">
        <w:rPr>
          <w:rFonts w:eastAsia="Calibri"/>
          <w:sz w:val="24"/>
          <w:szCs w:val="24"/>
        </w:rPr>
        <w:t>trategickom pláne spolo</w:t>
      </w:r>
      <w:r w:rsidR="00F239D1">
        <w:rPr>
          <w:rFonts w:eastAsia="Calibri"/>
          <w:sz w:val="24"/>
          <w:szCs w:val="24"/>
        </w:rPr>
        <w:t>čnej poľnohospodárskej politiky</w:t>
      </w:r>
      <w:r w:rsidR="000E352B">
        <w:rPr>
          <w:rFonts w:eastAsia="Calibri"/>
          <w:sz w:val="24"/>
          <w:szCs w:val="24"/>
        </w:rPr>
        <w:t xml:space="preserve"> </w:t>
      </w:r>
      <w:r w:rsidR="000E352B" w:rsidRPr="00D42382">
        <w:rPr>
          <w:rFonts w:eastAsia="Calibri"/>
          <w:sz w:val="24"/>
          <w:szCs w:val="24"/>
        </w:rPr>
        <w:t>2023 – 2027</w:t>
      </w:r>
      <w:r w:rsidR="00F239D1">
        <w:rPr>
          <w:rFonts w:eastAsia="Calibri"/>
          <w:sz w:val="24"/>
          <w:szCs w:val="24"/>
        </w:rPr>
        <w:t xml:space="preserve"> a</w:t>
      </w:r>
      <w:r w:rsidR="00D42382">
        <w:rPr>
          <w:rFonts w:eastAsia="Calibri"/>
          <w:sz w:val="24"/>
          <w:szCs w:val="24"/>
        </w:rPr>
        <w:t xml:space="preserve"> </w:t>
      </w:r>
      <w:r w:rsidR="00D42382" w:rsidRPr="00D42382">
        <w:rPr>
          <w:rFonts w:eastAsia="Calibri"/>
          <w:sz w:val="24"/>
          <w:szCs w:val="24"/>
        </w:rPr>
        <w:t>v možnosti poskytovať v záujme podpory inteligentného a odolného sektor</w:t>
      </w:r>
      <w:r w:rsidR="00D42382">
        <w:rPr>
          <w:rFonts w:eastAsia="Calibri"/>
          <w:sz w:val="24"/>
          <w:szCs w:val="24"/>
        </w:rPr>
        <w:t>a</w:t>
      </w:r>
      <w:r w:rsidR="00D42382" w:rsidRPr="00D42382">
        <w:rPr>
          <w:rFonts w:eastAsia="Calibri"/>
          <w:sz w:val="24"/>
          <w:szCs w:val="24"/>
        </w:rPr>
        <w:t xml:space="preserve"> poľnohospodárstva </w:t>
      </w:r>
      <w:r w:rsidR="00D42382">
        <w:rPr>
          <w:rFonts w:eastAsia="Calibri"/>
          <w:sz w:val="24"/>
          <w:szCs w:val="24"/>
        </w:rPr>
        <w:t xml:space="preserve">podporu, ktorá bude </w:t>
      </w:r>
      <w:r w:rsidR="00D42382" w:rsidRPr="00D42382">
        <w:rPr>
          <w:rFonts w:eastAsia="Calibri"/>
          <w:sz w:val="24"/>
          <w:szCs w:val="24"/>
        </w:rPr>
        <w:t xml:space="preserve">aj naďalej zásadným faktorom záruky spravodlivej podpory poľnohospodárov, pričom pre obdobie 2023 – 2027 je posilnená ich orientácia na dosiahnutie stanovených cieľov. Za týmto účelom sa návrhom nariadenia vlády stanovujú pravidlá vzťahujúce sa na podporu EÚ financovanú z </w:t>
      </w:r>
      <w:r w:rsidR="00F239D1" w:rsidRPr="00F239D1">
        <w:rPr>
          <w:rFonts w:eastAsia="Calibri"/>
          <w:sz w:val="24"/>
          <w:szCs w:val="24"/>
        </w:rPr>
        <w:t>Európskeho poľn</w:t>
      </w:r>
      <w:r w:rsidR="00F239D1">
        <w:rPr>
          <w:rFonts w:eastAsia="Calibri"/>
          <w:sz w:val="24"/>
          <w:szCs w:val="24"/>
        </w:rPr>
        <w:t>ohospodárskeho záručného fondu</w:t>
      </w:r>
      <w:r w:rsidR="005264B0">
        <w:rPr>
          <w:rFonts w:eastAsia="Calibri"/>
          <w:sz w:val="24"/>
          <w:szCs w:val="24"/>
        </w:rPr>
        <w:t xml:space="preserve"> a</w:t>
      </w:r>
      <w:r w:rsidR="00D42382" w:rsidRPr="00D42382">
        <w:rPr>
          <w:rFonts w:eastAsia="Calibri"/>
          <w:sz w:val="24"/>
          <w:szCs w:val="24"/>
        </w:rPr>
        <w:t xml:space="preserve"> </w:t>
      </w:r>
      <w:r w:rsidR="005264B0" w:rsidRPr="005264B0">
        <w:rPr>
          <w:rFonts w:eastAsia="Calibri"/>
          <w:sz w:val="24"/>
          <w:szCs w:val="24"/>
        </w:rPr>
        <w:t>Európskeho poľnohospodárskeho fondu pre rozvoj vidieka</w:t>
      </w:r>
      <w:r w:rsidR="00F239D1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Priame negatívne vplyvy predstavuje </w:t>
      </w:r>
      <w:r w:rsidRPr="007A5538">
        <w:rPr>
          <w:rFonts w:eastAsia="Calibri"/>
          <w:sz w:val="24"/>
          <w:szCs w:val="24"/>
        </w:rPr>
        <w:t>uplatňovanie primeraného</w:t>
      </w:r>
      <w:r w:rsidR="00D42382">
        <w:rPr>
          <w:rFonts w:eastAsia="Calibri"/>
          <w:sz w:val="24"/>
          <w:szCs w:val="24"/>
        </w:rPr>
        <w:t xml:space="preserve"> a </w:t>
      </w:r>
      <w:r>
        <w:rPr>
          <w:rFonts w:eastAsia="Calibri"/>
          <w:sz w:val="24"/>
          <w:szCs w:val="24"/>
        </w:rPr>
        <w:t>účinného zníženia platieb, v </w:t>
      </w:r>
      <w:r w:rsidRPr="007A5538">
        <w:rPr>
          <w:rFonts w:eastAsia="Calibri"/>
          <w:sz w:val="24"/>
          <w:szCs w:val="24"/>
        </w:rPr>
        <w:t xml:space="preserve">prípade ak sa kontrolou zistí neplnenie podmienok oprávnenosti alebo iných povinnosti </w:t>
      </w:r>
      <w:r w:rsidR="007A01B6">
        <w:rPr>
          <w:rFonts w:eastAsia="Calibri"/>
          <w:sz w:val="24"/>
          <w:szCs w:val="24"/>
        </w:rPr>
        <w:t>týkajúcich sa podmienok poskytnutia</w:t>
      </w:r>
      <w:r w:rsidRPr="007A5538">
        <w:rPr>
          <w:rFonts w:eastAsia="Calibri"/>
          <w:sz w:val="24"/>
          <w:szCs w:val="24"/>
        </w:rPr>
        <w:t xml:space="preserve"> podpory, pričom sa zohľadňuje závažnosť, rozsah, trvanie alebo opakovanie a úmyselnosť zisteného neplnenia podmienok</w:t>
      </w:r>
      <w:r w:rsidR="009C2EF4">
        <w:rPr>
          <w:rFonts w:eastAsia="Calibri"/>
          <w:sz w:val="24"/>
          <w:szCs w:val="24"/>
        </w:rPr>
        <w:t xml:space="preserve"> oprávnenosti</w:t>
      </w:r>
      <w:r w:rsidRPr="007A5538">
        <w:rPr>
          <w:rFonts w:eastAsia="Calibri"/>
          <w:sz w:val="24"/>
          <w:szCs w:val="24"/>
        </w:rPr>
        <w:t>.</w:t>
      </w:r>
      <w:r w:rsidR="00E77742">
        <w:rPr>
          <w:rFonts w:eastAsia="Calibri"/>
          <w:sz w:val="24"/>
          <w:szCs w:val="24"/>
        </w:rPr>
        <w:t xml:space="preserve"> </w:t>
      </w:r>
      <w:r w:rsidRPr="006922BF">
        <w:rPr>
          <w:rFonts w:eastAsia="Calibri"/>
          <w:sz w:val="24"/>
          <w:szCs w:val="24"/>
        </w:rPr>
        <w:t>Nepriame negatívne vplyvy predstavuje administratívna náročnosť vyplývajúca z novo zavedených pravidiel</w:t>
      </w:r>
      <w:r w:rsidR="00C64713">
        <w:rPr>
          <w:rFonts w:eastAsia="Calibri"/>
          <w:sz w:val="24"/>
          <w:szCs w:val="24"/>
        </w:rPr>
        <w:t xml:space="preserve">. V nadväznosti na </w:t>
      </w:r>
      <w:r w:rsidR="00363843">
        <w:rPr>
          <w:rFonts w:eastAsia="Calibri"/>
          <w:sz w:val="24"/>
          <w:szCs w:val="24"/>
        </w:rPr>
        <w:t xml:space="preserve">administratívnu náročnosť týkajúcu sa </w:t>
      </w:r>
      <w:r w:rsidR="00C64713">
        <w:rPr>
          <w:rFonts w:eastAsia="Calibri"/>
          <w:sz w:val="24"/>
          <w:szCs w:val="24"/>
        </w:rPr>
        <w:t>predloženi</w:t>
      </w:r>
      <w:r w:rsidR="00363843">
        <w:rPr>
          <w:rFonts w:eastAsia="Calibri"/>
          <w:sz w:val="24"/>
          <w:szCs w:val="24"/>
        </w:rPr>
        <w:t>a</w:t>
      </w:r>
      <w:r w:rsidR="00C64713">
        <w:rPr>
          <w:rFonts w:eastAsia="Calibri"/>
          <w:sz w:val="24"/>
          <w:szCs w:val="24"/>
        </w:rPr>
        <w:t xml:space="preserve"> žiadosti o</w:t>
      </w:r>
      <w:r w:rsidR="00CB74B4">
        <w:rPr>
          <w:rFonts w:eastAsia="Calibri"/>
          <w:sz w:val="24"/>
          <w:szCs w:val="24"/>
        </w:rPr>
        <w:t> </w:t>
      </w:r>
      <w:r w:rsidR="00C64713">
        <w:rPr>
          <w:rFonts w:eastAsia="Calibri"/>
          <w:sz w:val="24"/>
          <w:szCs w:val="24"/>
        </w:rPr>
        <w:t xml:space="preserve">podporu možno predpokladať časovú náročnosť </w:t>
      </w:r>
      <w:r w:rsidR="003956BA">
        <w:rPr>
          <w:rFonts w:eastAsia="Calibri"/>
          <w:sz w:val="24"/>
          <w:szCs w:val="24"/>
        </w:rPr>
        <w:t>v</w:t>
      </w:r>
      <w:r w:rsidR="00CB74B4">
        <w:rPr>
          <w:rFonts w:eastAsia="Calibri"/>
          <w:sz w:val="24"/>
          <w:szCs w:val="24"/>
        </w:rPr>
        <w:t> </w:t>
      </w:r>
      <w:r w:rsidR="003956BA">
        <w:rPr>
          <w:rFonts w:eastAsia="Calibri"/>
          <w:sz w:val="24"/>
          <w:szCs w:val="24"/>
        </w:rPr>
        <w:t>rozsahu 200 minút</w:t>
      </w:r>
      <w:r w:rsidR="00363843">
        <w:rPr>
          <w:rFonts w:eastAsia="Calibri"/>
          <w:sz w:val="24"/>
          <w:szCs w:val="24"/>
        </w:rPr>
        <w:t xml:space="preserve">. </w:t>
      </w:r>
      <w:r w:rsidRPr="006922BF">
        <w:rPr>
          <w:rFonts w:eastAsia="Calibri"/>
          <w:sz w:val="24"/>
          <w:szCs w:val="24"/>
        </w:rPr>
        <w:t>V</w:t>
      </w:r>
      <w:r w:rsidR="00CB74B4">
        <w:rPr>
          <w:rFonts w:eastAsia="Calibri"/>
          <w:sz w:val="24"/>
          <w:szCs w:val="24"/>
        </w:rPr>
        <w:t> </w:t>
      </w:r>
      <w:r w:rsidRPr="006922BF">
        <w:rPr>
          <w:rFonts w:eastAsia="Calibri"/>
          <w:sz w:val="24"/>
          <w:szCs w:val="24"/>
        </w:rPr>
        <w:t>tejto súvislosti je však nut</w:t>
      </w:r>
      <w:r w:rsidR="00D42382">
        <w:rPr>
          <w:rFonts w:eastAsia="Calibri"/>
          <w:sz w:val="24"/>
          <w:szCs w:val="24"/>
        </w:rPr>
        <w:t>né konštatovať, že nedochádza k</w:t>
      </w:r>
      <w:r w:rsidR="00CB74B4">
        <w:rPr>
          <w:rFonts w:eastAsia="Calibri"/>
          <w:sz w:val="24"/>
          <w:szCs w:val="24"/>
        </w:rPr>
        <w:t> </w:t>
      </w:r>
      <w:r w:rsidRPr="006922BF">
        <w:rPr>
          <w:rFonts w:eastAsia="Calibri"/>
          <w:sz w:val="24"/>
          <w:szCs w:val="24"/>
        </w:rPr>
        <w:t>výraznejšej zmene administratívnej náročnosti</w:t>
      </w:r>
      <w:r w:rsidR="00CB74B4">
        <w:rPr>
          <w:rFonts w:eastAsia="Calibri"/>
          <w:sz w:val="24"/>
          <w:szCs w:val="24"/>
        </w:rPr>
        <w:t xml:space="preserve"> v porovnaní s programovým obdobím 2015 – 2022</w:t>
      </w:r>
      <w:r w:rsidRPr="006922BF">
        <w:rPr>
          <w:rFonts w:eastAsia="Calibri"/>
          <w:sz w:val="24"/>
          <w:szCs w:val="24"/>
        </w:rPr>
        <w:t>, naopak, niektoré prvky o</w:t>
      </w:r>
      <w:r>
        <w:rPr>
          <w:rFonts w:eastAsia="Calibri"/>
          <w:sz w:val="24"/>
          <w:szCs w:val="24"/>
        </w:rPr>
        <w:t>proti súčasnému obdobiu budú vo </w:t>
      </w:r>
      <w:r w:rsidRPr="006922BF">
        <w:rPr>
          <w:rFonts w:eastAsia="Calibri"/>
          <w:sz w:val="24"/>
          <w:szCs w:val="24"/>
        </w:rPr>
        <w:t>vý</w:t>
      </w:r>
      <w:r>
        <w:rPr>
          <w:rFonts w:eastAsia="Calibri"/>
          <w:sz w:val="24"/>
          <w:szCs w:val="24"/>
        </w:rPr>
        <w:t xml:space="preserve">raznej miere eliminované (napr. </w:t>
      </w:r>
      <w:r w:rsidRPr="006922BF">
        <w:rPr>
          <w:rFonts w:eastAsia="Calibri"/>
          <w:sz w:val="24"/>
          <w:szCs w:val="24"/>
        </w:rPr>
        <w:t>zavedenie automatického systému žiadostí</w:t>
      </w:r>
      <w:r>
        <w:rPr>
          <w:rFonts w:eastAsia="Calibri"/>
          <w:sz w:val="24"/>
          <w:szCs w:val="24"/>
        </w:rPr>
        <w:t xml:space="preserve"> </w:t>
      </w:r>
      <w:r w:rsidRPr="008B01B3">
        <w:rPr>
          <w:rFonts w:eastAsia="Calibri"/>
          <w:sz w:val="24"/>
          <w:szCs w:val="24"/>
        </w:rPr>
        <w:t>v súvislosti s podporou na zvieratá</w:t>
      </w:r>
      <w:r w:rsidRPr="006922BF">
        <w:rPr>
          <w:rFonts w:eastAsia="Calibri"/>
          <w:sz w:val="24"/>
          <w:szCs w:val="24"/>
        </w:rPr>
        <w:t xml:space="preserve">). </w:t>
      </w:r>
      <w:r w:rsidR="006F3FB4">
        <w:rPr>
          <w:rFonts w:eastAsia="Calibri"/>
          <w:sz w:val="24"/>
          <w:szCs w:val="24"/>
        </w:rPr>
        <w:t>V pre</w:t>
      </w:r>
      <w:r w:rsidR="007A01B6">
        <w:rPr>
          <w:rFonts w:eastAsia="Calibri"/>
          <w:sz w:val="24"/>
          <w:szCs w:val="24"/>
        </w:rPr>
        <w:t>dkladanom materiáli dochádza ku </w:t>
      </w:r>
      <w:proofErr w:type="spellStart"/>
      <w:r w:rsidR="006F3FB4">
        <w:rPr>
          <w:rFonts w:eastAsia="Calibri"/>
          <w:sz w:val="24"/>
          <w:szCs w:val="24"/>
        </w:rPr>
        <w:t>goldplatingu</w:t>
      </w:r>
      <w:proofErr w:type="spellEnd"/>
      <w:r w:rsidR="006F3FB4">
        <w:rPr>
          <w:rFonts w:eastAsia="Calibri"/>
          <w:sz w:val="24"/>
          <w:szCs w:val="24"/>
        </w:rPr>
        <w:t xml:space="preserve"> vzhľadom na</w:t>
      </w:r>
      <w:r w:rsidR="00BA23F6">
        <w:rPr>
          <w:rFonts w:eastAsia="Calibri"/>
          <w:sz w:val="24"/>
          <w:szCs w:val="24"/>
        </w:rPr>
        <w:t> </w:t>
      </w:r>
      <w:r w:rsidR="006F3FB4">
        <w:rPr>
          <w:rFonts w:eastAsia="Calibri"/>
          <w:sz w:val="24"/>
          <w:szCs w:val="24"/>
        </w:rPr>
        <w:t>nevyužitie možnosti, ktorú</w:t>
      </w:r>
      <w:r w:rsidR="006F3FB4" w:rsidRPr="005C0D1A">
        <w:t xml:space="preserve"> </w:t>
      </w:r>
      <w:r w:rsidR="006F3FB4" w:rsidRPr="005C0D1A">
        <w:rPr>
          <w:rFonts w:eastAsia="Calibri"/>
          <w:sz w:val="24"/>
          <w:szCs w:val="24"/>
        </w:rPr>
        <w:t xml:space="preserve">umožňuje </w:t>
      </w:r>
      <w:r w:rsidR="006F3FB4">
        <w:rPr>
          <w:rFonts w:eastAsia="Calibri"/>
          <w:sz w:val="24"/>
          <w:szCs w:val="24"/>
        </w:rPr>
        <w:t>č</w:t>
      </w:r>
      <w:r w:rsidR="006F3FB4" w:rsidRPr="005C0D1A">
        <w:rPr>
          <w:rFonts w:eastAsia="Calibri"/>
          <w:sz w:val="24"/>
          <w:szCs w:val="24"/>
        </w:rPr>
        <w:t xml:space="preserve">l. 3 ods. </w:t>
      </w:r>
      <w:r w:rsidR="006F3FB4">
        <w:rPr>
          <w:rFonts w:eastAsia="Calibri"/>
          <w:sz w:val="24"/>
          <w:szCs w:val="24"/>
        </w:rPr>
        <w:t>4</w:t>
      </w:r>
      <w:r w:rsidR="006F3FB4" w:rsidRPr="005C0D1A">
        <w:rPr>
          <w:rFonts w:eastAsia="Calibri"/>
          <w:sz w:val="24"/>
          <w:szCs w:val="24"/>
        </w:rPr>
        <w:t xml:space="preserve"> vykonávacieho nariadenia (EÚ) 2022/1173,</w:t>
      </w:r>
      <w:r w:rsidR="006F3FB4">
        <w:rPr>
          <w:rFonts w:eastAsia="Calibri"/>
          <w:sz w:val="24"/>
          <w:szCs w:val="24"/>
        </w:rPr>
        <w:t xml:space="preserve"> konkrétne aby</w:t>
      </w:r>
      <w:r w:rsidR="006F3FB4" w:rsidRPr="00440AD8">
        <w:rPr>
          <w:rFonts w:eastAsia="Calibri"/>
          <w:sz w:val="24"/>
          <w:szCs w:val="24"/>
        </w:rPr>
        <w:t xml:space="preserve"> skupina prijímateľov</w:t>
      </w:r>
      <w:r w:rsidR="006F3FB4">
        <w:rPr>
          <w:rFonts w:eastAsia="Calibri"/>
          <w:sz w:val="24"/>
          <w:szCs w:val="24"/>
        </w:rPr>
        <w:t xml:space="preserve"> </w:t>
      </w:r>
      <w:r w:rsidR="006F3FB4" w:rsidRPr="00440AD8">
        <w:rPr>
          <w:rFonts w:eastAsia="Calibri"/>
          <w:sz w:val="24"/>
          <w:szCs w:val="24"/>
        </w:rPr>
        <w:t>predlož</w:t>
      </w:r>
      <w:r w:rsidR="006F3FB4">
        <w:rPr>
          <w:rFonts w:eastAsia="Calibri"/>
          <w:sz w:val="24"/>
          <w:szCs w:val="24"/>
        </w:rPr>
        <w:t>ila</w:t>
      </w:r>
      <w:r w:rsidR="006F3FB4" w:rsidRPr="00440AD8">
        <w:rPr>
          <w:rFonts w:eastAsia="Calibri"/>
          <w:sz w:val="24"/>
          <w:szCs w:val="24"/>
        </w:rPr>
        <w:t xml:space="preserve"> žiadosť o p</w:t>
      </w:r>
      <w:r w:rsidR="006F3FB4">
        <w:rPr>
          <w:rFonts w:eastAsia="Calibri"/>
          <w:sz w:val="24"/>
          <w:szCs w:val="24"/>
        </w:rPr>
        <w:t>odporu</w:t>
      </w:r>
      <w:r w:rsidR="006F3FB4" w:rsidRPr="00440AD8">
        <w:rPr>
          <w:rFonts w:eastAsia="Calibri"/>
          <w:sz w:val="24"/>
          <w:szCs w:val="24"/>
        </w:rPr>
        <w:t xml:space="preserve"> spoločne</w:t>
      </w:r>
      <w:r w:rsidR="007A01B6">
        <w:rPr>
          <w:rFonts w:eastAsia="Calibri"/>
          <w:sz w:val="24"/>
          <w:szCs w:val="24"/>
        </w:rPr>
        <w:t xml:space="preserve">, </w:t>
      </w:r>
      <w:r w:rsidR="007A01B6" w:rsidRPr="007A01B6">
        <w:rPr>
          <w:rFonts w:eastAsia="Calibri"/>
          <w:sz w:val="24"/>
          <w:szCs w:val="24"/>
        </w:rPr>
        <w:t xml:space="preserve">ak sa zaistí rovnaký </w:t>
      </w:r>
      <w:r w:rsidR="007A01B6">
        <w:rPr>
          <w:rFonts w:eastAsia="Calibri"/>
          <w:sz w:val="24"/>
          <w:szCs w:val="24"/>
        </w:rPr>
        <w:t>prístup ku všetkým prijímateľom</w:t>
      </w:r>
      <w:r w:rsidR="009E1001">
        <w:rPr>
          <w:rFonts w:eastAsia="Calibri"/>
          <w:sz w:val="24"/>
          <w:szCs w:val="24"/>
        </w:rPr>
        <w:t xml:space="preserve">. </w:t>
      </w:r>
      <w:r w:rsidR="0052690A">
        <w:rPr>
          <w:rFonts w:eastAsia="Calibri"/>
          <w:sz w:val="24"/>
          <w:szCs w:val="24"/>
        </w:rPr>
        <w:t xml:space="preserve">Vzhľadom na to, že v procese prípravy návrhu nariadenia ministerstvo neevidovalo </w:t>
      </w:r>
      <w:r w:rsidR="00BB4049">
        <w:rPr>
          <w:rFonts w:eastAsia="Calibri"/>
          <w:sz w:val="24"/>
          <w:szCs w:val="24"/>
        </w:rPr>
        <w:t xml:space="preserve">záujem </w:t>
      </w:r>
      <w:r w:rsidR="0052690A">
        <w:rPr>
          <w:rFonts w:eastAsia="Calibri"/>
          <w:sz w:val="24"/>
          <w:szCs w:val="24"/>
        </w:rPr>
        <w:t>zo str</w:t>
      </w:r>
      <w:r w:rsidR="007255EA">
        <w:rPr>
          <w:rFonts w:eastAsia="Calibri"/>
          <w:sz w:val="24"/>
          <w:szCs w:val="24"/>
        </w:rPr>
        <w:t>any dotknutých subjektov o </w:t>
      </w:r>
      <w:r w:rsidR="00BB4049">
        <w:rPr>
          <w:rFonts w:eastAsia="Calibri"/>
          <w:sz w:val="24"/>
          <w:szCs w:val="24"/>
        </w:rPr>
        <w:t xml:space="preserve">využitie predmetnej možnosti a s ohľadom </w:t>
      </w:r>
      <w:r w:rsidR="00BB4049" w:rsidRPr="00BB4049">
        <w:rPr>
          <w:rFonts w:eastAsia="Calibri"/>
          <w:sz w:val="24"/>
          <w:szCs w:val="24"/>
        </w:rPr>
        <w:t>na predpokladanú administratívnu</w:t>
      </w:r>
      <w:r w:rsidR="00372576" w:rsidRPr="00BB4049">
        <w:rPr>
          <w:rFonts w:eastAsia="Calibri"/>
          <w:sz w:val="24"/>
          <w:szCs w:val="24"/>
        </w:rPr>
        <w:t xml:space="preserve"> náročnosť</w:t>
      </w:r>
      <w:r w:rsidR="006F3FB4" w:rsidRPr="00BB4049">
        <w:rPr>
          <w:rFonts w:eastAsia="Calibri"/>
          <w:sz w:val="24"/>
          <w:szCs w:val="24"/>
        </w:rPr>
        <w:t>, ktorá</w:t>
      </w:r>
      <w:r w:rsidR="007255EA">
        <w:rPr>
          <w:rFonts w:eastAsia="Calibri"/>
          <w:sz w:val="24"/>
          <w:szCs w:val="24"/>
        </w:rPr>
        <w:t> </w:t>
      </w:r>
      <w:r w:rsidR="00BB4049" w:rsidRPr="00BB4049">
        <w:rPr>
          <w:rFonts w:eastAsia="Calibri"/>
          <w:sz w:val="24"/>
          <w:szCs w:val="24"/>
        </w:rPr>
        <w:t>by prevýšila</w:t>
      </w:r>
      <w:r w:rsidR="006F3FB4" w:rsidRPr="00BB4049">
        <w:rPr>
          <w:rFonts w:eastAsia="Calibri"/>
          <w:sz w:val="24"/>
          <w:szCs w:val="24"/>
        </w:rPr>
        <w:t xml:space="preserve"> efekt poskytnutej podpory</w:t>
      </w:r>
      <w:r w:rsidR="00BB4049" w:rsidRPr="00BB4049">
        <w:rPr>
          <w:rFonts w:eastAsia="Calibri"/>
          <w:sz w:val="24"/>
          <w:szCs w:val="24"/>
        </w:rPr>
        <w:t xml:space="preserve">, </w:t>
      </w:r>
      <w:r w:rsidR="00B963D3">
        <w:rPr>
          <w:rFonts w:eastAsia="Calibri"/>
          <w:sz w:val="24"/>
          <w:szCs w:val="24"/>
        </w:rPr>
        <w:t>s</w:t>
      </w:r>
      <w:r w:rsidR="00BB4049" w:rsidRPr="00BB4049">
        <w:rPr>
          <w:rFonts w:eastAsia="Calibri"/>
          <w:sz w:val="24"/>
          <w:szCs w:val="24"/>
        </w:rPr>
        <w:t>a ministerstvo rozhodlo predmetnú možnosť nevyužiť</w:t>
      </w:r>
      <w:r w:rsidR="00B963D3">
        <w:rPr>
          <w:rFonts w:eastAsia="Calibri"/>
          <w:sz w:val="24"/>
          <w:szCs w:val="24"/>
        </w:rPr>
        <w:t xml:space="preserve"> a zachovať</w:t>
      </w:r>
      <w:r w:rsidR="00B963D3" w:rsidRPr="00BB4049">
        <w:rPr>
          <w:rFonts w:eastAsia="Calibri"/>
          <w:sz w:val="24"/>
          <w:szCs w:val="24"/>
        </w:rPr>
        <w:t xml:space="preserve"> status </w:t>
      </w:r>
      <w:proofErr w:type="spellStart"/>
      <w:r w:rsidR="00B963D3" w:rsidRPr="00BB4049">
        <w:rPr>
          <w:rFonts w:eastAsia="Calibri"/>
          <w:sz w:val="24"/>
          <w:szCs w:val="24"/>
        </w:rPr>
        <w:t>quo</w:t>
      </w:r>
      <w:proofErr w:type="spellEnd"/>
      <w:r w:rsidR="00BB4049" w:rsidRPr="00BB4049">
        <w:rPr>
          <w:rFonts w:eastAsia="Calibri"/>
          <w:sz w:val="24"/>
          <w:szCs w:val="24"/>
        </w:rPr>
        <w:t>.</w:t>
      </w:r>
      <w:r w:rsidR="00661927" w:rsidRPr="00BB404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Zároveň sa </w:t>
      </w:r>
      <w:r w:rsidRPr="006922BF">
        <w:rPr>
          <w:rFonts w:eastAsia="Calibri"/>
          <w:sz w:val="24"/>
          <w:szCs w:val="24"/>
        </w:rPr>
        <w:t>uvádza, že povinnost</w:t>
      </w:r>
      <w:r w:rsidR="00372955">
        <w:rPr>
          <w:rFonts w:eastAsia="Calibri"/>
          <w:sz w:val="24"/>
          <w:szCs w:val="24"/>
        </w:rPr>
        <w:t>í</w:t>
      </w:r>
      <w:r w:rsidRPr="006922BF">
        <w:rPr>
          <w:rFonts w:eastAsia="Calibri"/>
          <w:sz w:val="24"/>
          <w:szCs w:val="24"/>
        </w:rPr>
        <w:t xml:space="preserve"> ustanovené v návrhu nariadenia vlády sa vzťahujú len na žiadateľov</w:t>
      </w:r>
      <w:r w:rsidR="002121A7">
        <w:rPr>
          <w:rFonts w:eastAsia="Calibri"/>
          <w:sz w:val="24"/>
          <w:szCs w:val="24"/>
        </w:rPr>
        <w:t xml:space="preserve"> </w:t>
      </w:r>
      <w:r w:rsidRPr="006922BF">
        <w:rPr>
          <w:rFonts w:eastAsia="Calibri"/>
          <w:sz w:val="24"/>
          <w:szCs w:val="24"/>
        </w:rPr>
        <w:t>podpor</w:t>
      </w:r>
      <w:r w:rsidR="00150EF0">
        <w:rPr>
          <w:rFonts w:eastAsia="Calibri"/>
          <w:sz w:val="24"/>
          <w:szCs w:val="24"/>
        </w:rPr>
        <w:t>y</w:t>
      </w:r>
      <w:r w:rsidRPr="006922BF">
        <w:rPr>
          <w:rFonts w:eastAsia="Calibri"/>
          <w:sz w:val="24"/>
          <w:szCs w:val="24"/>
        </w:rPr>
        <w:t xml:space="preserve"> formou priamych platieb a žiadateľov </w:t>
      </w:r>
      <w:r w:rsidR="00896D10">
        <w:rPr>
          <w:rFonts w:eastAsia="Calibri"/>
          <w:sz w:val="24"/>
          <w:szCs w:val="24"/>
        </w:rPr>
        <w:t xml:space="preserve">podpory na </w:t>
      </w:r>
      <w:r w:rsidRPr="006922BF">
        <w:rPr>
          <w:rFonts w:eastAsia="Calibri"/>
          <w:sz w:val="24"/>
          <w:szCs w:val="24"/>
        </w:rPr>
        <w:t xml:space="preserve">neprojektové opatrenia v záujme rozvoja vidieka stanovených v </w:t>
      </w:r>
      <w:r w:rsidR="00BE6E5F">
        <w:rPr>
          <w:rFonts w:eastAsia="Calibri"/>
          <w:sz w:val="24"/>
          <w:szCs w:val="24"/>
        </w:rPr>
        <w:t>S</w:t>
      </w:r>
      <w:r w:rsidRPr="006922BF">
        <w:rPr>
          <w:rFonts w:eastAsia="Calibri"/>
          <w:sz w:val="24"/>
          <w:szCs w:val="24"/>
        </w:rPr>
        <w:t>trategickom pláne spoločnej poľnohospodárskej politiky</w:t>
      </w:r>
      <w:bookmarkStart w:id="2" w:name="_Hlk126878771"/>
      <w:r w:rsidR="00896D10">
        <w:rPr>
          <w:rFonts w:eastAsia="Calibri"/>
          <w:sz w:val="24"/>
          <w:szCs w:val="24"/>
        </w:rPr>
        <w:t xml:space="preserve"> 2023 – 2027</w:t>
      </w:r>
      <w:r w:rsidRPr="006922BF">
        <w:rPr>
          <w:rFonts w:eastAsia="Calibri"/>
          <w:sz w:val="24"/>
          <w:szCs w:val="24"/>
        </w:rPr>
        <w:t xml:space="preserve">, ktorí sa </w:t>
      </w:r>
      <w:r w:rsidRPr="0020557A">
        <w:rPr>
          <w:rFonts w:eastAsia="Calibri"/>
          <w:sz w:val="24"/>
          <w:szCs w:val="24"/>
        </w:rPr>
        <w:t>dobrovoľne zaviažu na ich</w:t>
      </w:r>
      <w:r>
        <w:rPr>
          <w:rFonts w:eastAsia="Calibri"/>
          <w:sz w:val="24"/>
          <w:szCs w:val="24"/>
        </w:rPr>
        <w:t xml:space="preserve"> plnenie, na základe výzvy</w:t>
      </w:r>
      <w:r w:rsidRPr="0020557A">
        <w:rPr>
          <w:rFonts w:eastAsia="Calibri"/>
          <w:sz w:val="24"/>
          <w:szCs w:val="24"/>
        </w:rPr>
        <w:t xml:space="preserve"> Pôdohospodárskej platobnej agentúr</w:t>
      </w:r>
      <w:r>
        <w:rPr>
          <w:rFonts w:eastAsia="Calibri"/>
          <w:sz w:val="24"/>
          <w:szCs w:val="24"/>
        </w:rPr>
        <w:t>y</w:t>
      </w:r>
      <w:bookmarkEnd w:id="2"/>
      <w:r w:rsidRPr="0020557A">
        <w:rPr>
          <w:rFonts w:eastAsia="Calibri"/>
          <w:sz w:val="24"/>
          <w:szCs w:val="24"/>
        </w:rPr>
        <w:t>.</w:t>
      </w:r>
    </w:p>
    <w:p w14:paraId="249BBA0C" w14:textId="44D3067D" w:rsidR="009E1001" w:rsidRPr="009E1001" w:rsidRDefault="009E1001" w:rsidP="00640AD6">
      <w:pPr>
        <w:jc w:val="both"/>
        <w:rPr>
          <w:rFonts w:eastAsia="Calibri"/>
          <w:sz w:val="24"/>
          <w:szCs w:val="24"/>
        </w:rPr>
      </w:pPr>
    </w:p>
    <w:sectPr w:rsidR="009E1001" w:rsidRPr="009E100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853D6" w14:textId="77777777" w:rsidR="00B37C10" w:rsidRDefault="00B37C10" w:rsidP="00867233">
      <w:r>
        <w:separator/>
      </w:r>
    </w:p>
  </w:endnote>
  <w:endnote w:type="continuationSeparator" w:id="0">
    <w:p w14:paraId="7895E28D" w14:textId="77777777" w:rsidR="00B37C10" w:rsidRDefault="00B37C10" w:rsidP="0086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1569638813"/>
      <w:docPartObj>
        <w:docPartGallery w:val="Page Numbers (Bottom of Page)"/>
        <w:docPartUnique/>
      </w:docPartObj>
    </w:sdtPr>
    <w:sdtEndPr/>
    <w:sdtContent>
      <w:p w14:paraId="71ACAA20" w14:textId="718BA671" w:rsidR="00640AD6" w:rsidRPr="000D47DF" w:rsidRDefault="00640AD6" w:rsidP="000D47DF">
        <w:pPr>
          <w:pStyle w:val="Pta"/>
          <w:jc w:val="center"/>
          <w:rPr>
            <w:sz w:val="24"/>
          </w:rPr>
        </w:pPr>
        <w:r w:rsidRPr="000D47DF">
          <w:rPr>
            <w:sz w:val="24"/>
          </w:rPr>
          <w:fldChar w:fldCharType="begin"/>
        </w:r>
        <w:r w:rsidRPr="000D47DF">
          <w:rPr>
            <w:sz w:val="24"/>
          </w:rPr>
          <w:instrText>PAGE   \* MERGEFORMAT</w:instrText>
        </w:r>
        <w:r w:rsidRPr="000D47DF">
          <w:rPr>
            <w:sz w:val="24"/>
          </w:rPr>
          <w:fldChar w:fldCharType="separate"/>
        </w:r>
        <w:r w:rsidR="00312AF0">
          <w:rPr>
            <w:noProof/>
            <w:sz w:val="24"/>
          </w:rPr>
          <w:t>10</w:t>
        </w:r>
        <w:r w:rsidRPr="000D47DF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018418"/>
      <w:docPartObj>
        <w:docPartGallery w:val="Page Numbers (Bottom of Page)"/>
        <w:docPartUnique/>
      </w:docPartObj>
    </w:sdtPr>
    <w:sdtEndPr/>
    <w:sdtContent>
      <w:p w14:paraId="57B19DFF" w14:textId="33FADA16" w:rsidR="00160E29" w:rsidRDefault="00160E29">
        <w:pPr>
          <w:pStyle w:val="Pta"/>
          <w:jc w:val="center"/>
        </w:pPr>
        <w:r w:rsidRPr="00BB4049">
          <w:rPr>
            <w:sz w:val="24"/>
            <w:szCs w:val="24"/>
          </w:rPr>
          <w:fldChar w:fldCharType="begin"/>
        </w:r>
        <w:r w:rsidRPr="00BB4049">
          <w:rPr>
            <w:sz w:val="24"/>
            <w:szCs w:val="24"/>
          </w:rPr>
          <w:instrText>PAGE   \* MERGEFORMAT</w:instrText>
        </w:r>
        <w:r w:rsidRPr="00BB4049">
          <w:rPr>
            <w:sz w:val="24"/>
            <w:szCs w:val="24"/>
          </w:rPr>
          <w:fldChar w:fldCharType="separate"/>
        </w:r>
        <w:r w:rsidR="00312AF0">
          <w:rPr>
            <w:noProof/>
            <w:sz w:val="24"/>
            <w:szCs w:val="24"/>
          </w:rPr>
          <w:t>12</w:t>
        </w:r>
        <w:r w:rsidRPr="00BB4049">
          <w:rPr>
            <w:sz w:val="24"/>
            <w:szCs w:val="24"/>
          </w:rPr>
          <w:fldChar w:fldCharType="end"/>
        </w:r>
      </w:p>
    </w:sdtContent>
  </w:sdt>
  <w:p w14:paraId="2648053C" w14:textId="77777777" w:rsidR="00374EDB" w:rsidRDefault="00312A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43028" w14:textId="77777777" w:rsidR="00B37C10" w:rsidRDefault="00B37C10" w:rsidP="00867233">
      <w:r>
        <w:separator/>
      </w:r>
    </w:p>
  </w:footnote>
  <w:footnote w:type="continuationSeparator" w:id="0">
    <w:p w14:paraId="7CA967F4" w14:textId="77777777" w:rsidR="00B37C10" w:rsidRDefault="00B37C10" w:rsidP="0086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F11C" w14:textId="39BEBEB0" w:rsidR="00673DCE" w:rsidRPr="00673DCE" w:rsidRDefault="00673DCE" w:rsidP="00673DCE">
    <w:pPr>
      <w:pStyle w:val="Hlavika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DE2"/>
    <w:multiLevelType w:val="hybridMultilevel"/>
    <w:tmpl w:val="AD485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0C57"/>
    <w:multiLevelType w:val="hybridMultilevel"/>
    <w:tmpl w:val="3F5E763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6958F5"/>
    <w:multiLevelType w:val="hybridMultilevel"/>
    <w:tmpl w:val="972CE18E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4FA7"/>
    <w:multiLevelType w:val="hybridMultilevel"/>
    <w:tmpl w:val="EF064060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9138D"/>
    <w:multiLevelType w:val="hybridMultilevel"/>
    <w:tmpl w:val="C054E1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33ADAC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485B"/>
    <w:multiLevelType w:val="hybridMultilevel"/>
    <w:tmpl w:val="FBEC2DEE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E7706"/>
    <w:multiLevelType w:val="hybridMultilevel"/>
    <w:tmpl w:val="D6A877F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B4E89DE2">
      <w:start w:val="8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8839A6"/>
    <w:multiLevelType w:val="hybridMultilevel"/>
    <w:tmpl w:val="8708B5F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C4ADA"/>
    <w:multiLevelType w:val="hybridMultilevel"/>
    <w:tmpl w:val="972047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1D64"/>
    <w:multiLevelType w:val="hybridMultilevel"/>
    <w:tmpl w:val="C3FAD070"/>
    <w:lvl w:ilvl="0" w:tplc="041B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91EEEA8">
      <w:start w:val="1"/>
      <w:numFmt w:val="decimal"/>
      <w:lvlText w:val="(%2)"/>
      <w:lvlJc w:val="left"/>
      <w:pPr>
        <w:ind w:left="653" w:hanging="3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6EA8"/>
    <w:multiLevelType w:val="hybridMultilevel"/>
    <w:tmpl w:val="8FEAA158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8BCD8F8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55A2963A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877AA"/>
    <w:multiLevelType w:val="hybridMultilevel"/>
    <w:tmpl w:val="EF58B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81BAF"/>
    <w:multiLevelType w:val="hybridMultilevel"/>
    <w:tmpl w:val="7B980894"/>
    <w:lvl w:ilvl="0" w:tplc="59CC64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8C03F2"/>
    <w:multiLevelType w:val="hybridMultilevel"/>
    <w:tmpl w:val="F04426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D3EC3"/>
    <w:multiLevelType w:val="hybridMultilevel"/>
    <w:tmpl w:val="1BA27BF2"/>
    <w:lvl w:ilvl="0" w:tplc="59C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5751B"/>
    <w:multiLevelType w:val="hybridMultilevel"/>
    <w:tmpl w:val="A8C65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76AA0"/>
    <w:multiLevelType w:val="hybridMultilevel"/>
    <w:tmpl w:val="E7ECE08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6E7E69"/>
    <w:multiLevelType w:val="hybridMultilevel"/>
    <w:tmpl w:val="208CEC90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02C"/>
    <w:multiLevelType w:val="hybridMultilevel"/>
    <w:tmpl w:val="7C6A89EC"/>
    <w:lvl w:ilvl="0" w:tplc="EF36A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C6C10"/>
    <w:multiLevelType w:val="hybridMultilevel"/>
    <w:tmpl w:val="D07CCBE2"/>
    <w:lvl w:ilvl="0" w:tplc="EF36A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35624"/>
    <w:multiLevelType w:val="hybridMultilevel"/>
    <w:tmpl w:val="E500C6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47BE8"/>
    <w:multiLevelType w:val="hybridMultilevel"/>
    <w:tmpl w:val="673614C2"/>
    <w:lvl w:ilvl="0" w:tplc="8B06D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 w:tplc="EB940C9A">
      <w:start w:val="1"/>
      <w:numFmt w:val="decimal"/>
      <w:lvlText w:val="%3."/>
      <w:lvlJc w:val="left"/>
      <w:pPr>
        <w:ind w:left="1494" w:hanging="360"/>
      </w:pPr>
      <w:rPr>
        <w:rFonts w:hint="default"/>
      </w:rPr>
    </w:lvl>
    <w:lvl w:ilvl="3" w:tplc="86C6D234">
      <w:start w:val="1"/>
      <w:numFmt w:val="lowerRoman"/>
      <w:lvlText w:val="%4."/>
      <w:lvlJc w:val="left"/>
      <w:pPr>
        <w:ind w:left="2279" w:hanging="720"/>
      </w:pPr>
      <w:rPr>
        <w:rFonts w:hint="default"/>
      </w:rPr>
    </w:lvl>
    <w:lvl w:ilvl="4" w:tplc="B4E89DE2">
      <w:start w:val="8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5" w:tplc="80DAA938">
      <w:start w:val="1"/>
      <w:numFmt w:val="lowerRoman"/>
      <w:lvlText w:val="%6."/>
      <w:lvlJc w:val="left"/>
      <w:pPr>
        <w:ind w:left="2421" w:hanging="720"/>
      </w:pPr>
      <w:rPr>
        <w:rFonts w:ascii="Times New Roman" w:eastAsiaTheme="minorHAnsi" w:hAnsi="Times New Roman"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22"/>
  </w:num>
  <w:num w:numId="5">
    <w:abstractNumId w:val="9"/>
  </w:num>
  <w:num w:numId="6">
    <w:abstractNumId w:val="7"/>
  </w:num>
  <w:num w:numId="7">
    <w:abstractNumId w:val="15"/>
  </w:num>
  <w:num w:numId="8">
    <w:abstractNumId w:val="17"/>
  </w:num>
  <w:num w:numId="9">
    <w:abstractNumId w:val="5"/>
  </w:num>
  <w:num w:numId="10">
    <w:abstractNumId w:val="10"/>
  </w:num>
  <w:num w:numId="11">
    <w:abstractNumId w:val="8"/>
  </w:num>
  <w:num w:numId="12">
    <w:abstractNumId w:val="16"/>
  </w:num>
  <w:num w:numId="13">
    <w:abstractNumId w:val="21"/>
  </w:num>
  <w:num w:numId="14">
    <w:abstractNumId w:val="2"/>
  </w:num>
  <w:num w:numId="15">
    <w:abstractNumId w:val="1"/>
  </w:num>
  <w:num w:numId="16">
    <w:abstractNumId w:val="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</w:num>
  <w:num w:numId="20">
    <w:abstractNumId w:val="0"/>
  </w:num>
  <w:num w:numId="21">
    <w:abstractNumId w:val="14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4D"/>
    <w:rsid w:val="00000366"/>
    <w:rsid w:val="00001D29"/>
    <w:rsid w:val="000074DF"/>
    <w:rsid w:val="00015785"/>
    <w:rsid w:val="00020418"/>
    <w:rsid w:val="00031029"/>
    <w:rsid w:val="00032E84"/>
    <w:rsid w:val="000356C2"/>
    <w:rsid w:val="000549B2"/>
    <w:rsid w:val="000562A0"/>
    <w:rsid w:val="00060FD0"/>
    <w:rsid w:val="000612D5"/>
    <w:rsid w:val="00074690"/>
    <w:rsid w:val="00074FB8"/>
    <w:rsid w:val="00083CDA"/>
    <w:rsid w:val="00085DE6"/>
    <w:rsid w:val="000929A2"/>
    <w:rsid w:val="000A46DA"/>
    <w:rsid w:val="000B2CBD"/>
    <w:rsid w:val="000C6C56"/>
    <w:rsid w:val="000D7813"/>
    <w:rsid w:val="000E352B"/>
    <w:rsid w:val="000E4151"/>
    <w:rsid w:val="000E5593"/>
    <w:rsid w:val="00100E8F"/>
    <w:rsid w:val="00103707"/>
    <w:rsid w:val="00104054"/>
    <w:rsid w:val="00104170"/>
    <w:rsid w:val="001049CD"/>
    <w:rsid w:val="00106198"/>
    <w:rsid w:val="00111EF4"/>
    <w:rsid w:val="00131776"/>
    <w:rsid w:val="00134141"/>
    <w:rsid w:val="00135BA1"/>
    <w:rsid w:val="00143D25"/>
    <w:rsid w:val="00150EF0"/>
    <w:rsid w:val="00160E29"/>
    <w:rsid w:val="00175921"/>
    <w:rsid w:val="001801D1"/>
    <w:rsid w:val="0018067F"/>
    <w:rsid w:val="00184AB0"/>
    <w:rsid w:val="00191EBA"/>
    <w:rsid w:val="00193C03"/>
    <w:rsid w:val="001A0BC7"/>
    <w:rsid w:val="001A3A9A"/>
    <w:rsid w:val="001A4516"/>
    <w:rsid w:val="001A7E23"/>
    <w:rsid w:val="001B3755"/>
    <w:rsid w:val="001C2FFF"/>
    <w:rsid w:val="001C3DA6"/>
    <w:rsid w:val="001C5E85"/>
    <w:rsid w:val="001E328D"/>
    <w:rsid w:val="001E6DC0"/>
    <w:rsid w:val="00201AF4"/>
    <w:rsid w:val="0020557A"/>
    <w:rsid w:val="00211C10"/>
    <w:rsid w:val="002121A7"/>
    <w:rsid w:val="00215133"/>
    <w:rsid w:val="0021544D"/>
    <w:rsid w:val="00221529"/>
    <w:rsid w:val="002216A4"/>
    <w:rsid w:val="002227DE"/>
    <w:rsid w:val="00222BF3"/>
    <w:rsid w:val="00253350"/>
    <w:rsid w:val="00255CBF"/>
    <w:rsid w:val="00255F5F"/>
    <w:rsid w:val="002575A6"/>
    <w:rsid w:val="00264770"/>
    <w:rsid w:val="00266700"/>
    <w:rsid w:val="00267B4C"/>
    <w:rsid w:val="0027489D"/>
    <w:rsid w:val="002766B9"/>
    <w:rsid w:val="00287F01"/>
    <w:rsid w:val="002B0886"/>
    <w:rsid w:val="002B2EEB"/>
    <w:rsid w:val="002C4CAC"/>
    <w:rsid w:val="002C6E1F"/>
    <w:rsid w:val="0031069F"/>
    <w:rsid w:val="00312AF0"/>
    <w:rsid w:val="00313BAF"/>
    <w:rsid w:val="00314F94"/>
    <w:rsid w:val="00320CBC"/>
    <w:rsid w:val="00323596"/>
    <w:rsid w:val="0032522D"/>
    <w:rsid w:val="0034432A"/>
    <w:rsid w:val="00344790"/>
    <w:rsid w:val="003629E5"/>
    <w:rsid w:val="00363843"/>
    <w:rsid w:val="003715EB"/>
    <w:rsid w:val="00372576"/>
    <w:rsid w:val="00372955"/>
    <w:rsid w:val="00374458"/>
    <w:rsid w:val="00383AE2"/>
    <w:rsid w:val="00383D2D"/>
    <w:rsid w:val="00384893"/>
    <w:rsid w:val="00391D48"/>
    <w:rsid w:val="003956BA"/>
    <w:rsid w:val="003A30C9"/>
    <w:rsid w:val="003B208D"/>
    <w:rsid w:val="003B52F3"/>
    <w:rsid w:val="003B6481"/>
    <w:rsid w:val="003C5AE5"/>
    <w:rsid w:val="003C6F91"/>
    <w:rsid w:val="003D1CBA"/>
    <w:rsid w:val="003D2750"/>
    <w:rsid w:val="003E04B8"/>
    <w:rsid w:val="003F04A5"/>
    <w:rsid w:val="003F128E"/>
    <w:rsid w:val="00401A76"/>
    <w:rsid w:val="00402830"/>
    <w:rsid w:val="00405C64"/>
    <w:rsid w:val="004105B4"/>
    <w:rsid w:val="00411FC6"/>
    <w:rsid w:val="00416304"/>
    <w:rsid w:val="0042445C"/>
    <w:rsid w:val="004257C5"/>
    <w:rsid w:val="0043385C"/>
    <w:rsid w:val="00440AD8"/>
    <w:rsid w:val="00442E87"/>
    <w:rsid w:val="004508D3"/>
    <w:rsid w:val="00455C9D"/>
    <w:rsid w:val="00456AF9"/>
    <w:rsid w:val="00456C50"/>
    <w:rsid w:val="00475E32"/>
    <w:rsid w:val="00483D45"/>
    <w:rsid w:val="004877A3"/>
    <w:rsid w:val="00497F15"/>
    <w:rsid w:val="004A4648"/>
    <w:rsid w:val="004A6250"/>
    <w:rsid w:val="004B5CA2"/>
    <w:rsid w:val="004C1AAE"/>
    <w:rsid w:val="004E7D44"/>
    <w:rsid w:val="004F734E"/>
    <w:rsid w:val="00504BC1"/>
    <w:rsid w:val="005153BF"/>
    <w:rsid w:val="00516442"/>
    <w:rsid w:val="0052097D"/>
    <w:rsid w:val="005264B0"/>
    <w:rsid w:val="0052690A"/>
    <w:rsid w:val="005324E0"/>
    <w:rsid w:val="00546705"/>
    <w:rsid w:val="00547C76"/>
    <w:rsid w:val="00552B3D"/>
    <w:rsid w:val="005742F0"/>
    <w:rsid w:val="00585DF6"/>
    <w:rsid w:val="005913F9"/>
    <w:rsid w:val="005B1779"/>
    <w:rsid w:val="005B2CA6"/>
    <w:rsid w:val="005B33C9"/>
    <w:rsid w:val="005C0D1A"/>
    <w:rsid w:val="005C4986"/>
    <w:rsid w:val="005C5CB4"/>
    <w:rsid w:val="005D7F4F"/>
    <w:rsid w:val="005E6152"/>
    <w:rsid w:val="005F1730"/>
    <w:rsid w:val="005F414A"/>
    <w:rsid w:val="005F4B25"/>
    <w:rsid w:val="005F6F06"/>
    <w:rsid w:val="006008F6"/>
    <w:rsid w:val="006010B6"/>
    <w:rsid w:val="00602113"/>
    <w:rsid w:val="006028D7"/>
    <w:rsid w:val="00604690"/>
    <w:rsid w:val="00611CB0"/>
    <w:rsid w:val="0061685D"/>
    <w:rsid w:val="00622F6F"/>
    <w:rsid w:val="00623709"/>
    <w:rsid w:val="006250CA"/>
    <w:rsid w:val="00634C2C"/>
    <w:rsid w:val="00640AD6"/>
    <w:rsid w:val="00641EDA"/>
    <w:rsid w:val="00646499"/>
    <w:rsid w:val="00661927"/>
    <w:rsid w:val="0066314C"/>
    <w:rsid w:val="006721C3"/>
    <w:rsid w:val="00673DCE"/>
    <w:rsid w:val="006922BF"/>
    <w:rsid w:val="006954A0"/>
    <w:rsid w:val="00695E63"/>
    <w:rsid w:val="006A22E9"/>
    <w:rsid w:val="006A3B1E"/>
    <w:rsid w:val="006A3D5C"/>
    <w:rsid w:val="006B0314"/>
    <w:rsid w:val="006B591E"/>
    <w:rsid w:val="006B754F"/>
    <w:rsid w:val="006C1673"/>
    <w:rsid w:val="006C64F7"/>
    <w:rsid w:val="006E08EA"/>
    <w:rsid w:val="006E3B96"/>
    <w:rsid w:val="006F31E5"/>
    <w:rsid w:val="006F3FB4"/>
    <w:rsid w:val="006F6DC3"/>
    <w:rsid w:val="006F71D3"/>
    <w:rsid w:val="00704B4F"/>
    <w:rsid w:val="007223A8"/>
    <w:rsid w:val="00723A56"/>
    <w:rsid w:val="00723D8F"/>
    <w:rsid w:val="007254DC"/>
    <w:rsid w:val="007255EA"/>
    <w:rsid w:val="007308A5"/>
    <w:rsid w:val="0076544B"/>
    <w:rsid w:val="00771FC6"/>
    <w:rsid w:val="00773312"/>
    <w:rsid w:val="007738C4"/>
    <w:rsid w:val="00774261"/>
    <w:rsid w:val="0078144B"/>
    <w:rsid w:val="00783137"/>
    <w:rsid w:val="00784102"/>
    <w:rsid w:val="007A01B6"/>
    <w:rsid w:val="007A5538"/>
    <w:rsid w:val="007B1832"/>
    <w:rsid w:val="007B78B8"/>
    <w:rsid w:val="007D0EBC"/>
    <w:rsid w:val="007D2F9B"/>
    <w:rsid w:val="007E76E8"/>
    <w:rsid w:val="007F6A4E"/>
    <w:rsid w:val="008012D3"/>
    <w:rsid w:val="0082141D"/>
    <w:rsid w:val="00822EC4"/>
    <w:rsid w:val="008339B9"/>
    <w:rsid w:val="00836BEB"/>
    <w:rsid w:val="00843006"/>
    <w:rsid w:val="00845B8C"/>
    <w:rsid w:val="008462D7"/>
    <w:rsid w:val="00850EF5"/>
    <w:rsid w:val="00852ED9"/>
    <w:rsid w:val="00853312"/>
    <w:rsid w:val="00857844"/>
    <w:rsid w:val="008616EA"/>
    <w:rsid w:val="00867233"/>
    <w:rsid w:val="00870C74"/>
    <w:rsid w:val="00877D40"/>
    <w:rsid w:val="00883AC2"/>
    <w:rsid w:val="00891017"/>
    <w:rsid w:val="00896D10"/>
    <w:rsid w:val="008A18E3"/>
    <w:rsid w:val="008A30A0"/>
    <w:rsid w:val="008A4770"/>
    <w:rsid w:val="008B3957"/>
    <w:rsid w:val="008B4FD2"/>
    <w:rsid w:val="008B6480"/>
    <w:rsid w:val="008D6A1D"/>
    <w:rsid w:val="008D7FEB"/>
    <w:rsid w:val="008E14F9"/>
    <w:rsid w:val="008E4FCE"/>
    <w:rsid w:val="008F5373"/>
    <w:rsid w:val="00902A30"/>
    <w:rsid w:val="009032B4"/>
    <w:rsid w:val="00903A16"/>
    <w:rsid w:val="0090436B"/>
    <w:rsid w:val="00910366"/>
    <w:rsid w:val="00910798"/>
    <w:rsid w:val="00923C0D"/>
    <w:rsid w:val="00925C35"/>
    <w:rsid w:val="00933287"/>
    <w:rsid w:val="00942104"/>
    <w:rsid w:val="009450B3"/>
    <w:rsid w:val="00947967"/>
    <w:rsid w:val="00950913"/>
    <w:rsid w:val="0095779F"/>
    <w:rsid w:val="00964904"/>
    <w:rsid w:val="00974DB0"/>
    <w:rsid w:val="00977478"/>
    <w:rsid w:val="00984748"/>
    <w:rsid w:val="00994265"/>
    <w:rsid w:val="00995B74"/>
    <w:rsid w:val="009A0160"/>
    <w:rsid w:val="009A39BC"/>
    <w:rsid w:val="009B24F1"/>
    <w:rsid w:val="009B468B"/>
    <w:rsid w:val="009C2EF4"/>
    <w:rsid w:val="009C7BDA"/>
    <w:rsid w:val="009D071A"/>
    <w:rsid w:val="009D3E6D"/>
    <w:rsid w:val="009D48AD"/>
    <w:rsid w:val="009E1001"/>
    <w:rsid w:val="009F7060"/>
    <w:rsid w:val="00A03B4B"/>
    <w:rsid w:val="00A03F3E"/>
    <w:rsid w:val="00A1015C"/>
    <w:rsid w:val="00A10EBE"/>
    <w:rsid w:val="00A174DC"/>
    <w:rsid w:val="00A17854"/>
    <w:rsid w:val="00A31B02"/>
    <w:rsid w:val="00A342E2"/>
    <w:rsid w:val="00A44421"/>
    <w:rsid w:val="00A444DB"/>
    <w:rsid w:val="00A46096"/>
    <w:rsid w:val="00A54EF7"/>
    <w:rsid w:val="00A559B5"/>
    <w:rsid w:val="00A72923"/>
    <w:rsid w:val="00A72930"/>
    <w:rsid w:val="00A906ED"/>
    <w:rsid w:val="00A96475"/>
    <w:rsid w:val="00AA2BB1"/>
    <w:rsid w:val="00AA6B2C"/>
    <w:rsid w:val="00AC6125"/>
    <w:rsid w:val="00AD1532"/>
    <w:rsid w:val="00AD2D51"/>
    <w:rsid w:val="00AE73D8"/>
    <w:rsid w:val="00AF14D2"/>
    <w:rsid w:val="00AF3AA5"/>
    <w:rsid w:val="00B00026"/>
    <w:rsid w:val="00B1089E"/>
    <w:rsid w:val="00B17E72"/>
    <w:rsid w:val="00B2053F"/>
    <w:rsid w:val="00B33DBC"/>
    <w:rsid w:val="00B37C10"/>
    <w:rsid w:val="00B431E2"/>
    <w:rsid w:val="00B43FB8"/>
    <w:rsid w:val="00B570E6"/>
    <w:rsid w:val="00B61DCF"/>
    <w:rsid w:val="00B7655D"/>
    <w:rsid w:val="00B86DD0"/>
    <w:rsid w:val="00B879C2"/>
    <w:rsid w:val="00B963D3"/>
    <w:rsid w:val="00BA19BC"/>
    <w:rsid w:val="00BA23F6"/>
    <w:rsid w:val="00BA3107"/>
    <w:rsid w:val="00BA3C57"/>
    <w:rsid w:val="00BB4049"/>
    <w:rsid w:val="00BB6AAF"/>
    <w:rsid w:val="00BD1AD1"/>
    <w:rsid w:val="00BD7B62"/>
    <w:rsid w:val="00BD7F8E"/>
    <w:rsid w:val="00BE670A"/>
    <w:rsid w:val="00BE6E5F"/>
    <w:rsid w:val="00BF637A"/>
    <w:rsid w:val="00C007E0"/>
    <w:rsid w:val="00C007E3"/>
    <w:rsid w:val="00C14B48"/>
    <w:rsid w:val="00C17757"/>
    <w:rsid w:val="00C22AB2"/>
    <w:rsid w:val="00C25682"/>
    <w:rsid w:val="00C25C60"/>
    <w:rsid w:val="00C27A4D"/>
    <w:rsid w:val="00C30603"/>
    <w:rsid w:val="00C313AA"/>
    <w:rsid w:val="00C52BEC"/>
    <w:rsid w:val="00C5584C"/>
    <w:rsid w:val="00C56DEF"/>
    <w:rsid w:val="00C62970"/>
    <w:rsid w:val="00C62C26"/>
    <w:rsid w:val="00C64713"/>
    <w:rsid w:val="00C7354A"/>
    <w:rsid w:val="00C73A4C"/>
    <w:rsid w:val="00C8544E"/>
    <w:rsid w:val="00C91B41"/>
    <w:rsid w:val="00C9603C"/>
    <w:rsid w:val="00C962F8"/>
    <w:rsid w:val="00CA4F70"/>
    <w:rsid w:val="00CA71AD"/>
    <w:rsid w:val="00CB0A86"/>
    <w:rsid w:val="00CB16BB"/>
    <w:rsid w:val="00CB4660"/>
    <w:rsid w:val="00CB74B4"/>
    <w:rsid w:val="00CC19A5"/>
    <w:rsid w:val="00CD189F"/>
    <w:rsid w:val="00CF3142"/>
    <w:rsid w:val="00D038A0"/>
    <w:rsid w:val="00D0503D"/>
    <w:rsid w:val="00D05532"/>
    <w:rsid w:val="00D05952"/>
    <w:rsid w:val="00D07214"/>
    <w:rsid w:val="00D1172A"/>
    <w:rsid w:val="00D16A2D"/>
    <w:rsid w:val="00D17C04"/>
    <w:rsid w:val="00D32325"/>
    <w:rsid w:val="00D35B4C"/>
    <w:rsid w:val="00D3698D"/>
    <w:rsid w:val="00D42382"/>
    <w:rsid w:val="00D45D3A"/>
    <w:rsid w:val="00D50BAA"/>
    <w:rsid w:val="00D54E49"/>
    <w:rsid w:val="00D63B3F"/>
    <w:rsid w:val="00D67FD4"/>
    <w:rsid w:val="00D74EB4"/>
    <w:rsid w:val="00D97901"/>
    <w:rsid w:val="00DA1DC6"/>
    <w:rsid w:val="00DC4ADF"/>
    <w:rsid w:val="00DE3EC4"/>
    <w:rsid w:val="00DE410B"/>
    <w:rsid w:val="00DE7C07"/>
    <w:rsid w:val="00E00F74"/>
    <w:rsid w:val="00E06BA7"/>
    <w:rsid w:val="00E101D6"/>
    <w:rsid w:val="00E135E3"/>
    <w:rsid w:val="00E304E4"/>
    <w:rsid w:val="00E3450B"/>
    <w:rsid w:val="00E34A93"/>
    <w:rsid w:val="00E5175C"/>
    <w:rsid w:val="00E6177E"/>
    <w:rsid w:val="00E6393A"/>
    <w:rsid w:val="00E65100"/>
    <w:rsid w:val="00E72DF2"/>
    <w:rsid w:val="00E77742"/>
    <w:rsid w:val="00E837FF"/>
    <w:rsid w:val="00EA0700"/>
    <w:rsid w:val="00EA105D"/>
    <w:rsid w:val="00EB140E"/>
    <w:rsid w:val="00EB2006"/>
    <w:rsid w:val="00EC25D1"/>
    <w:rsid w:val="00EF270E"/>
    <w:rsid w:val="00EF3406"/>
    <w:rsid w:val="00EF6955"/>
    <w:rsid w:val="00F1748B"/>
    <w:rsid w:val="00F220F1"/>
    <w:rsid w:val="00F239D1"/>
    <w:rsid w:val="00F25000"/>
    <w:rsid w:val="00F31E01"/>
    <w:rsid w:val="00F4273D"/>
    <w:rsid w:val="00F63492"/>
    <w:rsid w:val="00F648F9"/>
    <w:rsid w:val="00F70F0B"/>
    <w:rsid w:val="00F718B9"/>
    <w:rsid w:val="00FA1C4E"/>
    <w:rsid w:val="00FB02AB"/>
    <w:rsid w:val="00FB48BB"/>
    <w:rsid w:val="00FB793B"/>
    <w:rsid w:val="00FC3B49"/>
    <w:rsid w:val="00FC6465"/>
    <w:rsid w:val="00FD2FC5"/>
    <w:rsid w:val="00FF5D3E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627C"/>
  <w15:docId w15:val="{CEF7A1D5-7B35-46EF-947B-8B5681D5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30C9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06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7233"/>
    <w:rPr>
      <w:rFonts w:asciiTheme="minorHAnsi" w:eastAsiaTheme="minorHAnsi" w:hAnsiTheme="minorHAnsi" w:cstheme="minorBidi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723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723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3A30C9"/>
    <w:rPr>
      <w:rFonts w:ascii="Times New Roman" w:eastAsiaTheme="majorEastAsia" w:hAnsi="Times New Roman" w:cstheme="majorBidi"/>
      <w:b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F220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0F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0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0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0F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0F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0F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53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537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53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537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ql-align-justify">
    <w:name w:val="ql-align-justify"/>
    <w:basedOn w:val="Normlny"/>
    <w:rsid w:val="008F5373"/>
    <w:rPr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8F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6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6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33DBC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C1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344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sr.sk/podnikatelske-prostredie/lepsia-regulacia/regulacne-zatazenie/kalkulacka-nakladov-regulac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50F5-E23C-4372-8EC7-E9ECFB9C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Benová Tímea</cp:lastModifiedBy>
  <cp:revision>112</cp:revision>
  <cp:lastPrinted>2023-03-22T11:03:00Z</cp:lastPrinted>
  <dcterms:created xsi:type="dcterms:W3CDTF">2022-10-06T07:52:00Z</dcterms:created>
  <dcterms:modified xsi:type="dcterms:W3CDTF">2023-03-22T11:03:00Z</dcterms:modified>
</cp:coreProperties>
</file>