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0B76" w14:textId="77777777" w:rsidR="00C972D8" w:rsidRDefault="001E249D" w:rsidP="002C4250">
      <w:pPr>
        <w:rPr>
          <w:rFonts w:eastAsia="Times New Roman" w:cs="Calibri"/>
          <w:b/>
          <w:caps/>
          <w:color w:val="000000"/>
          <w:szCs w:val="24"/>
          <w:lang w:eastAsia="cs-CZ"/>
        </w:rPr>
      </w:pPr>
      <w:r>
        <w:rPr>
          <w:rFonts w:eastAsia="Times New Roman" w:cs="Calibri"/>
          <w:b/>
          <w:caps/>
          <w:color w:val="000000"/>
          <w:szCs w:val="24"/>
          <w:lang w:eastAsia="cs-CZ"/>
        </w:rPr>
        <w:t xml:space="preserve">SPRÁVA ŠTÁTNYCH HMOTNÝCH </w:t>
      </w:r>
    </w:p>
    <w:p w14:paraId="5F8A8C20" w14:textId="77777777" w:rsidR="002C4250" w:rsidRPr="009D17AD" w:rsidRDefault="001E249D" w:rsidP="002C4250">
      <w:pPr>
        <w:rPr>
          <w:rFonts w:eastAsia="Times New Roman" w:cs="Calibri"/>
          <w:b/>
          <w:caps/>
          <w:color w:val="000000"/>
          <w:szCs w:val="24"/>
          <w:u w:val="single"/>
          <w:lang w:eastAsia="cs-CZ"/>
        </w:rPr>
      </w:pPr>
      <w:r w:rsidRPr="009D17AD">
        <w:rPr>
          <w:rFonts w:eastAsia="Times New Roman" w:cs="Calibri"/>
          <w:b/>
          <w:caps/>
          <w:color w:val="000000"/>
          <w:szCs w:val="24"/>
          <w:u w:val="single"/>
          <w:lang w:eastAsia="cs-CZ"/>
        </w:rPr>
        <w:t xml:space="preserve">REZERV </w:t>
      </w:r>
      <w:r w:rsidR="00C972D8" w:rsidRPr="009D17AD">
        <w:rPr>
          <w:rFonts w:eastAsia="Times New Roman" w:cs="Calibri"/>
          <w:b/>
          <w:caps/>
          <w:color w:val="000000"/>
          <w:szCs w:val="24"/>
          <w:u w:val="single"/>
          <w:lang w:eastAsia="cs-CZ"/>
        </w:rPr>
        <w:t>SLO</w:t>
      </w:r>
      <w:bookmarkStart w:id="0" w:name="_GoBack"/>
      <w:bookmarkEnd w:id="0"/>
      <w:r w:rsidR="00C972D8" w:rsidRPr="009D17AD">
        <w:rPr>
          <w:rFonts w:eastAsia="Times New Roman" w:cs="Calibri"/>
          <w:b/>
          <w:caps/>
          <w:color w:val="000000"/>
          <w:szCs w:val="24"/>
          <w:u w:val="single"/>
          <w:lang w:eastAsia="cs-CZ"/>
        </w:rPr>
        <w:t>VEN</w:t>
      </w:r>
      <w:r w:rsidR="002E31CC">
        <w:rPr>
          <w:rFonts w:eastAsia="Times New Roman" w:cs="Calibri"/>
          <w:b/>
          <w:caps/>
          <w:color w:val="000000"/>
          <w:szCs w:val="24"/>
          <w:u w:val="single"/>
          <w:lang w:eastAsia="cs-CZ"/>
        </w:rPr>
        <w:t>sk</w:t>
      </w:r>
      <w:r w:rsidR="00C972D8" w:rsidRPr="009D17AD">
        <w:rPr>
          <w:rFonts w:eastAsia="Times New Roman" w:cs="Calibri"/>
          <w:b/>
          <w:caps/>
          <w:color w:val="000000"/>
          <w:szCs w:val="24"/>
          <w:u w:val="single"/>
          <w:lang w:eastAsia="cs-CZ"/>
        </w:rPr>
        <w:t>EJ REPUBLIKY</w:t>
      </w:r>
    </w:p>
    <w:p w14:paraId="12AB7991" w14:textId="6997E81B" w:rsidR="00323729" w:rsidRDefault="00C972D8" w:rsidP="00323729">
      <w:pPr>
        <w:rPr>
          <w:color w:val="000000"/>
        </w:rPr>
      </w:pPr>
      <w:r>
        <w:rPr>
          <w:rFonts w:eastAsia="Times New Roman" w:cs="Times New Roman"/>
          <w:szCs w:val="24"/>
          <w:lang w:eastAsia="cs-CZ"/>
        </w:rPr>
        <w:t>Rezortné číslo</w:t>
      </w:r>
      <w:r w:rsidR="00E94787">
        <w:rPr>
          <w:rFonts w:cs="Times New Roman"/>
          <w:szCs w:val="24"/>
        </w:rPr>
        <w:t xml:space="preserve">: </w:t>
      </w:r>
      <w:r w:rsidR="00A242C4" w:rsidRPr="00A242C4">
        <w:rPr>
          <w:color w:val="000000"/>
        </w:rPr>
        <w:t>S</w:t>
      </w:r>
      <w:r w:rsidR="00A242C4">
        <w:rPr>
          <w:color w:val="000000"/>
        </w:rPr>
        <w:t>ŠHR-2023/0326-PRED-1</w:t>
      </w:r>
    </w:p>
    <w:p w14:paraId="530F2289" w14:textId="57637B34" w:rsidR="00C972D8" w:rsidRPr="002C4250" w:rsidRDefault="00C972D8" w:rsidP="002C4250">
      <w:pPr>
        <w:rPr>
          <w:rFonts w:eastAsia="Times New Roman" w:cs="Times New Roman"/>
          <w:szCs w:val="24"/>
          <w:lang w:eastAsia="cs-CZ"/>
        </w:rPr>
      </w:pPr>
    </w:p>
    <w:tbl>
      <w:tblPr>
        <w:tblW w:w="9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700"/>
      </w:tblGrid>
      <w:tr w:rsidR="002C4250" w:rsidRPr="002C4250" w14:paraId="6DDBEF0C" w14:textId="77777777" w:rsidTr="003F14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6ACC61A" w14:textId="77777777" w:rsidR="002C4250" w:rsidRPr="002C4250" w:rsidRDefault="002C4250" w:rsidP="00F869B8">
            <w:pPr>
              <w:rPr>
                <w:rFonts w:eastAsia="Times New Roman" w:cs="Times New Roman"/>
                <w:szCs w:val="24"/>
                <w:highlight w:val="lightGray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388F3D" w14:textId="77777777"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lightGray"/>
                <w:lang w:eastAsia="cs-CZ"/>
              </w:rPr>
            </w:pPr>
          </w:p>
        </w:tc>
      </w:tr>
      <w:tr w:rsidR="002C4250" w:rsidRPr="002C4250" w14:paraId="1D00CB55" w14:textId="77777777" w:rsidTr="003F1474">
        <w:trPr>
          <w:trHeight w:hRule="exact" w:val="5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96EA209" w14:textId="77777777"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4B04B8" w14:textId="77777777"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</w:tr>
      <w:tr w:rsidR="002C4250" w:rsidRPr="002C4250" w14:paraId="4F020D3B" w14:textId="77777777" w:rsidTr="003F14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FF1DDAB" w14:textId="77777777" w:rsidR="00247943" w:rsidRDefault="000F7237" w:rsidP="000F7237">
            <w:pPr>
              <w:pStyle w:val="Zkladntext2"/>
              <w:jc w:val="both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Materiál na </w:t>
            </w:r>
            <w:r>
              <w:rPr>
                <w:sz w:val="25"/>
                <w:szCs w:val="25"/>
              </w:rPr>
              <w:t xml:space="preserve">rokovanie </w:t>
            </w:r>
          </w:p>
          <w:p w14:paraId="6322D2CA" w14:textId="02DF3A2E" w:rsidR="000F7237" w:rsidRDefault="00F33A5B" w:rsidP="000F7237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Legislatívnej</w:t>
            </w:r>
            <w:r w:rsidR="000F7237">
              <w:rPr>
                <w:sz w:val="25"/>
                <w:szCs w:val="25"/>
              </w:rPr>
              <w:t xml:space="preserve"> rady</w:t>
            </w:r>
            <w:r>
              <w:rPr>
                <w:sz w:val="25"/>
                <w:szCs w:val="25"/>
              </w:rPr>
              <w:t xml:space="preserve"> vlády</w:t>
            </w:r>
          </w:p>
          <w:p w14:paraId="4285301B" w14:textId="49FD8C37" w:rsidR="002C4250" w:rsidRPr="002C4250" w:rsidRDefault="000F7237" w:rsidP="000F7237">
            <w:pPr>
              <w:jc w:val="both"/>
              <w:rPr>
                <w:rFonts w:eastAsia="Times New Roman" w:cs="Times New Roman"/>
                <w:sz w:val="25"/>
                <w:szCs w:val="25"/>
                <w:lang w:eastAsia="cs-CZ"/>
              </w:rPr>
            </w:pPr>
            <w:r>
              <w:rPr>
                <w:sz w:val="25"/>
                <w:szCs w:val="25"/>
              </w:rPr>
              <w:t>Slovenskej republiky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560FA4" w14:textId="4D756A91" w:rsid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  <w:p w14:paraId="0A934671" w14:textId="4519F197" w:rsidR="000F7237" w:rsidRPr="002C4250" w:rsidRDefault="000F7237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</w:tr>
      <w:tr w:rsidR="002C4250" w:rsidRPr="002C4250" w14:paraId="60483D50" w14:textId="77777777" w:rsidTr="003F1474">
        <w:trPr>
          <w:trHeight w:hRule="exact" w:val="79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CC26268" w14:textId="77777777"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45FEAE" w14:textId="77777777"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</w:tr>
      <w:tr w:rsidR="002C4250" w:rsidRPr="002C4250" w14:paraId="1796E61B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519AD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14:paraId="740378DC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64EA3" w14:textId="77777777" w:rsidR="002C4250" w:rsidRPr="002C4250" w:rsidRDefault="002C4250" w:rsidP="002674FF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14:paraId="7C3669BF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09239" w14:textId="77777777" w:rsidR="002C4250" w:rsidRPr="009D17AD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9D17AD">
              <w:rPr>
                <w:rFonts w:eastAsia="Times New Roman" w:cs="Calibri"/>
                <w:color w:val="000000"/>
                <w:szCs w:val="24"/>
                <w:lang w:eastAsia="cs-CZ"/>
              </w:rPr>
              <w:t>Návrh</w:t>
            </w:r>
          </w:p>
        </w:tc>
      </w:tr>
      <w:tr w:rsidR="002C4250" w:rsidRPr="002C4250" w14:paraId="31083BF2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3CACF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F869B8" w:rsidRPr="002C4250" w14:paraId="5B15DF29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0771A" w14:textId="77777777" w:rsidR="00F869B8" w:rsidRPr="002C4250" w:rsidRDefault="00F869B8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cs-CZ"/>
              </w:rPr>
              <w:t>Z</w:t>
            </w:r>
            <w:r w:rsidR="00C972D8">
              <w:rPr>
                <w:rFonts w:eastAsia="Times New Roman" w:cs="Calibri"/>
                <w:b/>
                <w:color w:val="000000"/>
                <w:szCs w:val="24"/>
                <w:lang w:eastAsia="cs-CZ"/>
              </w:rPr>
              <w:t>ÁKON</w:t>
            </w:r>
          </w:p>
        </w:tc>
      </w:tr>
      <w:tr w:rsidR="00F869B8" w:rsidRPr="002C4250" w14:paraId="4DC338C5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0301" w14:textId="77777777" w:rsidR="00F869B8" w:rsidRPr="002C4250" w:rsidRDefault="00F869B8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F869B8" w:rsidRPr="002C4250" w14:paraId="3B2B5797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5BDB3" w14:textId="48E4721B" w:rsidR="00F869B8" w:rsidRPr="009D17AD" w:rsidRDefault="00F869B8">
            <w:pPr>
              <w:jc w:val="center"/>
              <w:rPr>
                <w:bCs/>
                <w:szCs w:val="24"/>
              </w:rPr>
            </w:pPr>
            <w:r w:rsidRPr="009D17AD">
              <w:rPr>
                <w:bCs/>
                <w:szCs w:val="24"/>
              </w:rPr>
              <w:t xml:space="preserve">z </w:t>
            </w:r>
            <w:r w:rsidR="00C972D8">
              <w:rPr>
                <w:bCs/>
                <w:szCs w:val="24"/>
              </w:rPr>
              <w:t>...</w:t>
            </w:r>
            <w:r w:rsidR="008F0F94">
              <w:rPr>
                <w:bCs/>
                <w:szCs w:val="24"/>
              </w:rPr>
              <w:t xml:space="preserve"> 2023</w:t>
            </w:r>
          </w:p>
        </w:tc>
      </w:tr>
      <w:tr w:rsidR="00F869B8" w:rsidRPr="002C4250" w14:paraId="183561AB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C1459" w14:textId="77777777" w:rsidR="00F869B8" w:rsidRPr="002C4250" w:rsidRDefault="00F869B8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14:paraId="339D7E61" w14:textId="77777777" w:rsidTr="003F1474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08D99" w14:textId="77777777" w:rsidR="002C4250" w:rsidRDefault="001E249D" w:rsidP="00F869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 štátnych hmotných rezervách</w:t>
            </w:r>
          </w:p>
          <w:p w14:paraId="7175146D" w14:textId="77777777" w:rsidR="00C972D8" w:rsidRPr="002C4250" w:rsidRDefault="00C972D8" w:rsidP="00F869B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</w:pPr>
          </w:p>
        </w:tc>
      </w:tr>
      <w:tr w:rsidR="002C4250" w:rsidRPr="002C4250" w14:paraId="4F6923B8" w14:textId="77777777" w:rsidTr="003F1474">
        <w:trPr>
          <w:trHeight w:hRule="exact" w:val="794"/>
        </w:trPr>
        <w:tc>
          <w:tcPr>
            <w:tcW w:w="9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60E8E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</w:tr>
      <w:tr w:rsidR="002C4250" w:rsidRPr="002C4250" w14:paraId="7DF91366" w14:textId="77777777" w:rsidTr="003F14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8C2449" w14:textId="77777777" w:rsidR="002C4250" w:rsidRPr="009D17AD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u w:val="single"/>
                <w:lang w:eastAsia="cs-CZ"/>
              </w:rPr>
            </w:pPr>
            <w:r w:rsidRPr="009D17AD">
              <w:rPr>
                <w:rFonts w:eastAsia="Times New Roman" w:cs="Calibri"/>
                <w:color w:val="000000"/>
                <w:szCs w:val="24"/>
                <w:u w:val="single"/>
                <w:lang w:eastAsia="cs-CZ"/>
              </w:rPr>
              <w:t>Podnet: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58C137" w14:textId="77777777" w:rsidR="002C4250" w:rsidRPr="009D17AD" w:rsidRDefault="002C4250" w:rsidP="002C4250">
            <w:pPr>
              <w:tabs>
                <w:tab w:val="center" w:pos="4703"/>
                <w:tab w:val="left" w:pos="6510"/>
              </w:tabs>
              <w:ind w:left="256"/>
              <w:rPr>
                <w:rFonts w:eastAsia="Times New Roman" w:cs="Calibri"/>
                <w:color w:val="000000"/>
                <w:szCs w:val="24"/>
                <w:u w:val="single"/>
                <w:lang w:eastAsia="cs-CZ"/>
              </w:rPr>
            </w:pPr>
            <w:r w:rsidRPr="009D17AD">
              <w:rPr>
                <w:rFonts w:eastAsia="Times New Roman" w:cs="Calibri"/>
                <w:color w:val="000000"/>
                <w:szCs w:val="24"/>
                <w:u w:val="single"/>
                <w:lang w:eastAsia="cs-CZ"/>
              </w:rPr>
              <w:t>Obsah materiálu:</w:t>
            </w:r>
          </w:p>
        </w:tc>
      </w:tr>
      <w:tr w:rsidR="002C4250" w:rsidRPr="002C4250" w14:paraId="1F719945" w14:textId="77777777" w:rsidTr="003F14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76A27A4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7F9486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14:paraId="3ECEE3A8" w14:textId="77777777" w:rsidTr="003F14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11B592" w14:textId="7CA96E73" w:rsidR="002C4250" w:rsidRPr="00030084" w:rsidRDefault="00757B0F" w:rsidP="009D17AD">
            <w:pPr>
              <w:tabs>
                <w:tab w:val="left" w:pos="3544"/>
              </w:tabs>
              <w:ind w:right="956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030084">
              <w:rPr>
                <w:rFonts w:ascii="Times" w:hAnsi="Times" w:cs="Times"/>
                <w:szCs w:val="24"/>
              </w:rPr>
              <w:t>Plán legislatívnych úloh</w:t>
            </w:r>
            <w:r w:rsidR="00AD4084">
              <w:rPr>
                <w:rFonts w:ascii="Times" w:hAnsi="Times" w:cs="Times"/>
                <w:szCs w:val="24"/>
              </w:rPr>
              <w:t xml:space="preserve"> </w:t>
            </w:r>
            <w:r w:rsidRPr="00030084">
              <w:rPr>
                <w:rFonts w:ascii="Times" w:hAnsi="Times" w:cs="Times"/>
                <w:szCs w:val="24"/>
              </w:rPr>
              <w:t>vlády SR na rok 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6F8326" w14:textId="5CD1C056" w:rsidR="00F869B8" w:rsidRPr="00F700D9" w:rsidRDefault="00C972D8" w:rsidP="006738CF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n</w:t>
            </w:r>
            <w:r w:rsidR="00F869B8" w:rsidRPr="00F700D9">
              <w:rPr>
                <w:szCs w:val="24"/>
                <w:lang w:eastAsia="sk-SK"/>
              </w:rPr>
              <w:t>ávrh uznesenia vlády SR</w:t>
            </w:r>
          </w:p>
          <w:p w14:paraId="4F070BDD" w14:textId="77777777" w:rsidR="00F869B8" w:rsidRPr="00F700D9" w:rsidRDefault="00C972D8" w:rsidP="00247943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p</w:t>
            </w:r>
            <w:r w:rsidR="00F869B8" w:rsidRPr="00F700D9">
              <w:rPr>
                <w:szCs w:val="24"/>
                <w:lang w:eastAsia="sk-SK"/>
              </w:rPr>
              <w:t xml:space="preserve">redkladacia správa </w:t>
            </w:r>
          </w:p>
          <w:p w14:paraId="5C5F0CED" w14:textId="77777777" w:rsidR="00F869B8" w:rsidRPr="00F700D9" w:rsidRDefault="00C972D8" w:rsidP="00247943">
            <w:pPr>
              <w:widowControl w:val="0"/>
              <w:numPr>
                <w:ilvl w:val="0"/>
                <w:numId w:val="1"/>
              </w:numPr>
              <w:adjustRightInd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v</w:t>
            </w:r>
            <w:r w:rsidR="00F869B8" w:rsidRPr="00F700D9">
              <w:rPr>
                <w:szCs w:val="24"/>
                <w:lang w:eastAsia="sk-SK"/>
              </w:rPr>
              <w:t>lastný materiál</w:t>
            </w:r>
          </w:p>
          <w:p w14:paraId="457FD2AA" w14:textId="77777777" w:rsidR="00F869B8" w:rsidRDefault="00C972D8" w:rsidP="00247943">
            <w:pPr>
              <w:widowControl w:val="0"/>
              <w:numPr>
                <w:ilvl w:val="0"/>
                <w:numId w:val="1"/>
              </w:numPr>
              <w:adjustRightInd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d</w:t>
            </w:r>
            <w:r w:rsidR="00F869B8" w:rsidRPr="00F700D9">
              <w:rPr>
                <w:szCs w:val="24"/>
                <w:lang w:eastAsia="sk-SK"/>
              </w:rPr>
              <w:t>ôvodová správa</w:t>
            </w:r>
            <w:r>
              <w:rPr>
                <w:szCs w:val="24"/>
                <w:lang w:eastAsia="sk-SK"/>
              </w:rPr>
              <w:t xml:space="preserve"> - všeobecná časť</w:t>
            </w:r>
          </w:p>
          <w:p w14:paraId="53C1932E" w14:textId="77777777" w:rsidR="00C972D8" w:rsidRPr="00F700D9" w:rsidRDefault="00C972D8" w:rsidP="00247943">
            <w:pPr>
              <w:widowControl w:val="0"/>
              <w:numPr>
                <w:ilvl w:val="0"/>
                <w:numId w:val="1"/>
              </w:numPr>
              <w:adjustRightInd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dôvodová správa - osobitná časť</w:t>
            </w:r>
          </w:p>
          <w:p w14:paraId="44383A3B" w14:textId="77777777" w:rsidR="00F869B8" w:rsidRPr="00F700D9" w:rsidRDefault="00C972D8" w:rsidP="00247943">
            <w:pPr>
              <w:widowControl w:val="0"/>
              <w:numPr>
                <w:ilvl w:val="0"/>
                <w:numId w:val="1"/>
              </w:numPr>
              <w:adjustRightInd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d</w:t>
            </w:r>
            <w:r w:rsidR="00F869B8" w:rsidRPr="00F700D9">
              <w:rPr>
                <w:szCs w:val="24"/>
                <w:lang w:eastAsia="sk-SK"/>
              </w:rPr>
              <w:t>oložka vybraných vplyvov</w:t>
            </w:r>
          </w:p>
          <w:p w14:paraId="3C1EC033" w14:textId="77777777" w:rsidR="00F869B8" w:rsidRDefault="00C972D8" w:rsidP="00247943">
            <w:pPr>
              <w:widowControl w:val="0"/>
              <w:numPr>
                <w:ilvl w:val="0"/>
                <w:numId w:val="1"/>
              </w:numPr>
              <w:adjustRightInd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d</w:t>
            </w:r>
            <w:r w:rsidR="00F869B8" w:rsidRPr="00F700D9">
              <w:rPr>
                <w:szCs w:val="24"/>
                <w:lang w:eastAsia="sk-SK"/>
              </w:rPr>
              <w:t>oložka zlučiteľnosti</w:t>
            </w:r>
          </w:p>
          <w:p w14:paraId="02C04B68" w14:textId="77777777" w:rsidR="00C972D8" w:rsidRDefault="00C972D8" w:rsidP="00247943">
            <w:pPr>
              <w:widowControl w:val="0"/>
              <w:numPr>
                <w:ilvl w:val="0"/>
                <w:numId w:val="1"/>
              </w:numPr>
              <w:adjustRightInd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správa o účasti verejnosti</w:t>
            </w:r>
          </w:p>
          <w:p w14:paraId="501822D6" w14:textId="3A62B445" w:rsidR="00D2472F" w:rsidRDefault="00D2472F" w:rsidP="00247943">
            <w:pPr>
              <w:widowControl w:val="0"/>
              <w:numPr>
                <w:ilvl w:val="0"/>
                <w:numId w:val="1"/>
              </w:numPr>
              <w:adjustRightInd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vyhodnotenie MPK</w:t>
            </w:r>
          </w:p>
          <w:p w14:paraId="77AAA0AB" w14:textId="67E2A5A6" w:rsidR="00D2472F" w:rsidRPr="00F700D9" w:rsidRDefault="00D2472F" w:rsidP="00247943">
            <w:pPr>
              <w:widowControl w:val="0"/>
              <w:numPr>
                <w:ilvl w:val="0"/>
                <w:numId w:val="1"/>
              </w:numPr>
              <w:adjustRightInd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vyhlásenie predkladateľa</w:t>
            </w:r>
          </w:p>
          <w:p w14:paraId="26199752" w14:textId="77777777" w:rsidR="0095086F" w:rsidRPr="0095086F" w:rsidRDefault="0095086F" w:rsidP="001E249D">
            <w:pPr>
              <w:widowControl w:val="0"/>
              <w:adjustRightInd w:val="0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C4250" w:rsidRPr="002C4250" w14:paraId="5005BAA4" w14:textId="77777777" w:rsidTr="003F14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0CA1F9" w14:textId="77777777" w:rsidR="000F7237" w:rsidRDefault="000F7237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</w:p>
          <w:p w14:paraId="499F45F9" w14:textId="77777777" w:rsidR="000F7237" w:rsidRDefault="000F7237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</w:p>
          <w:p w14:paraId="4F043ECE" w14:textId="77777777" w:rsidR="000F7237" w:rsidRDefault="000F7237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</w:p>
          <w:p w14:paraId="0EBA488E" w14:textId="7E4C451C"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Predkladá: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7E1C05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14:paraId="4D5B4A13" w14:textId="77777777" w:rsidTr="003F14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6D602B8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32F7DA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14:paraId="3281DECD" w14:textId="77777777" w:rsidTr="003F14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235999D" w14:textId="77777777" w:rsidR="002C4250" w:rsidRPr="002C4250" w:rsidRDefault="001E249D" w:rsidP="002C4250">
            <w:pPr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>Ján Rudolf</w:t>
            </w:r>
          </w:p>
          <w:p w14:paraId="1D52E64B" w14:textId="77777777" w:rsidR="002C4250" w:rsidRPr="002C4250" w:rsidRDefault="001E249D" w:rsidP="002C4250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predseda Správy štátnych hmotných rezerv </w:t>
            </w:r>
          </w:p>
          <w:p w14:paraId="10597EF3" w14:textId="77777777" w:rsidR="002C4250" w:rsidRPr="002C4250" w:rsidRDefault="002C4250" w:rsidP="002C4250">
            <w:pPr>
              <w:tabs>
                <w:tab w:val="left" w:pos="2680"/>
              </w:tabs>
              <w:jc w:val="both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>Slovenskej republiky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467F07D" w14:textId="77777777"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</w:tbl>
    <w:p w14:paraId="3B4D2DD3" w14:textId="77777777" w:rsidR="008337C8" w:rsidRDefault="008337C8" w:rsidP="002C4250"/>
    <w:sectPr w:rsidR="008337C8" w:rsidSect="005B4BC6">
      <w:footerReference w:type="default" r:id="rId9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CCDE3" w14:textId="77777777" w:rsidR="007D4239" w:rsidRDefault="007D4239">
      <w:r>
        <w:separator/>
      </w:r>
    </w:p>
  </w:endnote>
  <w:endnote w:type="continuationSeparator" w:id="0">
    <w:p w14:paraId="133D257A" w14:textId="77777777" w:rsidR="007D4239" w:rsidRDefault="007D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F6FE" w14:textId="2E1890D6" w:rsidR="005B4BC6" w:rsidRPr="005B4BC6" w:rsidRDefault="002C4250" w:rsidP="005C1902">
    <w:pPr>
      <w:jc w:val="center"/>
      <w:rPr>
        <w:szCs w:val="24"/>
        <w:lang w:eastAsia="cs-CZ"/>
      </w:rPr>
    </w:pPr>
    <w:r w:rsidRPr="005B554A">
      <w:rPr>
        <w:szCs w:val="24"/>
        <w:lang w:eastAsia="cs-CZ"/>
      </w:rPr>
      <w:t>Bratislava</w:t>
    </w:r>
    <w:r>
      <w:rPr>
        <w:szCs w:val="24"/>
        <w:lang w:eastAsia="cs-CZ"/>
      </w:rPr>
      <w:t xml:space="preserve"> </w:t>
    </w:r>
    <w:r w:rsidR="002674FF">
      <w:rPr>
        <w:szCs w:val="24"/>
        <w:lang w:eastAsia="cs-CZ"/>
      </w:rPr>
      <w:t>marec</w:t>
    </w:r>
    <w:r w:rsidR="006C260A">
      <w:rPr>
        <w:szCs w:val="24"/>
        <w:lang w:eastAsia="cs-CZ"/>
      </w:rPr>
      <w:t xml:space="preserve"> 202</w:t>
    </w:r>
    <w:r w:rsidR="002674FF">
      <w:rPr>
        <w:szCs w:val="24"/>
        <w:lang w:eastAsia="cs-CZ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5828E" w14:textId="77777777" w:rsidR="007D4239" w:rsidRDefault="007D4239">
      <w:r>
        <w:separator/>
      </w:r>
    </w:p>
  </w:footnote>
  <w:footnote w:type="continuationSeparator" w:id="0">
    <w:p w14:paraId="1DDE3425" w14:textId="77777777" w:rsidR="007D4239" w:rsidRDefault="007D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59B4DAD0"/>
    <w:lvl w:ilvl="0">
      <w:start w:val="1"/>
      <w:numFmt w:val="decimal"/>
      <w:pStyle w:val="Odsekzoznam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A7927"/>
    <w:multiLevelType w:val="hybridMultilevel"/>
    <w:tmpl w:val="26282A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0"/>
    <w:rsid w:val="00012298"/>
    <w:rsid w:val="00024C26"/>
    <w:rsid w:val="00030084"/>
    <w:rsid w:val="000E2049"/>
    <w:rsid w:val="000F7237"/>
    <w:rsid w:val="00107B89"/>
    <w:rsid w:val="00130B07"/>
    <w:rsid w:val="0017072A"/>
    <w:rsid w:val="001862C6"/>
    <w:rsid w:val="0019499F"/>
    <w:rsid w:val="001B7EE9"/>
    <w:rsid w:val="001E249D"/>
    <w:rsid w:val="00247943"/>
    <w:rsid w:val="002674FF"/>
    <w:rsid w:val="00280C9F"/>
    <w:rsid w:val="002A6270"/>
    <w:rsid w:val="002C4250"/>
    <w:rsid w:val="002E31CC"/>
    <w:rsid w:val="002F56DB"/>
    <w:rsid w:val="00323729"/>
    <w:rsid w:val="003C22F5"/>
    <w:rsid w:val="003F1474"/>
    <w:rsid w:val="00404375"/>
    <w:rsid w:val="00445C6E"/>
    <w:rsid w:val="00447484"/>
    <w:rsid w:val="004A50F4"/>
    <w:rsid w:val="005717E0"/>
    <w:rsid w:val="00595CB8"/>
    <w:rsid w:val="005A54BE"/>
    <w:rsid w:val="005A64D5"/>
    <w:rsid w:val="005B0AEA"/>
    <w:rsid w:val="005B48B0"/>
    <w:rsid w:val="005C1902"/>
    <w:rsid w:val="005D5200"/>
    <w:rsid w:val="005F40B1"/>
    <w:rsid w:val="005F4E2E"/>
    <w:rsid w:val="00612502"/>
    <w:rsid w:val="00614D1D"/>
    <w:rsid w:val="00614EEB"/>
    <w:rsid w:val="00615A19"/>
    <w:rsid w:val="00640449"/>
    <w:rsid w:val="00650F49"/>
    <w:rsid w:val="00655436"/>
    <w:rsid w:val="006738CF"/>
    <w:rsid w:val="00687C16"/>
    <w:rsid w:val="006B22DD"/>
    <w:rsid w:val="006C260A"/>
    <w:rsid w:val="006C6876"/>
    <w:rsid w:val="00747F05"/>
    <w:rsid w:val="00757B0F"/>
    <w:rsid w:val="00781E4E"/>
    <w:rsid w:val="007D4239"/>
    <w:rsid w:val="00803F9A"/>
    <w:rsid w:val="00810283"/>
    <w:rsid w:val="00811CF2"/>
    <w:rsid w:val="008337C8"/>
    <w:rsid w:val="00853612"/>
    <w:rsid w:val="00894A52"/>
    <w:rsid w:val="008B5024"/>
    <w:rsid w:val="008F0F94"/>
    <w:rsid w:val="0092550A"/>
    <w:rsid w:val="0095086F"/>
    <w:rsid w:val="00950B7D"/>
    <w:rsid w:val="00990FE0"/>
    <w:rsid w:val="009D17AD"/>
    <w:rsid w:val="009E30AB"/>
    <w:rsid w:val="009F5DDB"/>
    <w:rsid w:val="00A1490F"/>
    <w:rsid w:val="00A15274"/>
    <w:rsid w:val="00A2259B"/>
    <w:rsid w:val="00A242C4"/>
    <w:rsid w:val="00AC09A4"/>
    <w:rsid w:val="00AD4084"/>
    <w:rsid w:val="00AD67AE"/>
    <w:rsid w:val="00B11463"/>
    <w:rsid w:val="00BC3234"/>
    <w:rsid w:val="00BE095E"/>
    <w:rsid w:val="00C00E65"/>
    <w:rsid w:val="00C17604"/>
    <w:rsid w:val="00C31092"/>
    <w:rsid w:val="00C33FA3"/>
    <w:rsid w:val="00C4477D"/>
    <w:rsid w:val="00C45C6E"/>
    <w:rsid w:val="00C972D8"/>
    <w:rsid w:val="00CB3F60"/>
    <w:rsid w:val="00CD177C"/>
    <w:rsid w:val="00CE6AD6"/>
    <w:rsid w:val="00D16EBA"/>
    <w:rsid w:val="00D2472F"/>
    <w:rsid w:val="00D250CA"/>
    <w:rsid w:val="00D40943"/>
    <w:rsid w:val="00D60863"/>
    <w:rsid w:val="00D6311E"/>
    <w:rsid w:val="00D6697C"/>
    <w:rsid w:val="00D77F8F"/>
    <w:rsid w:val="00D81833"/>
    <w:rsid w:val="00DA7552"/>
    <w:rsid w:val="00DB2AEC"/>
    <w:rsid w:val="00DE12BA"/>
    <w:rsid w:val="00E37CF2"/>
    <w:rsid w:val="00E5445E"/>
    <w:rsid w:val="00E90205"/>
    <w:rsid w:val="00E94787"/>
    <w:rsid w:val="00EA615E"/>
    <w:rsid w:val="00EB2207"/>
    <w:rsid w:val="00ED5CCE"/>
    <w:rsid w:val="00ED6FF4"/>
    <w:rsid w:val="00F1772C"/>
    <w:rsid w:val="00F33A5B"/>
    <w:rsid w:val="00F36E63"/>
    <w:rsid w:val="00F76417"/>
    <w:rsid w:val="00F869B8"/>
    <w:rsid w:val="00FC28F3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4E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247943"/>
    <w:pPr>
      <w:numPr>
        <w:numId w:val="1"/>
      </w:numPr>
      <w:autoSpaceDE w:val="0"/>
      <w:autoSpaceDN w:val="0"/>
      <w:spacing w:line="276" w:lineRule="auto"/>
      <w:contextualSpacing/>
    </w:pPr>
    <w:rPr>
      <w:rFonts w:eastAsia="Calibri"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C4250"/>
    <w:pPr>
      <w:tabs>
        <w:tab w:val="center" w:pos="4536"/>
        <w:tab w:val="right" w:pos="9072"/>
      </w:tabs>
    </w:pPr>
    <w:rPr>
      <w:rFonts w:asciiTheme="minorHAnsi" w:eastAsia="Times New Roman" w:hAnsiTheme="minorHAnsi" w:cs="Times New Roman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2C4250"/>
    <w:rPr>
      <w:rFonts w:asciiTheme="minorHAnsi" w:eastAsia="Times New Roman" w:hAnsiTheme="minorHAns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2C4250"/>
    <w:pPr>
      <w:tabs>
        <w:tab w:val="center" w:pos="4536"/>
        <w:tab w:val="right" w:pos="9072"/>
      </w:tabs>
    </w:pPr>
    <w:rPr>
      <w:rFonts w:asciiTheme="minorHAnsi" w:eastAsia="Times New Roman" w:hAnsiTheme="minorHAnsi" w:cs="Times New Roman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2C4250"/>
    <w:rPr>
      <w:rFonts w:asciiTheme="minorHAnsi" w:eastAsia="Times New Roman" w:hAnsiTheme="minorHAns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9508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08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086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08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086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86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99F"/>
  </w:style>
  <w:style w:type="paragraph" w:styleId="Zkladntext2">
    <w:name w:val="Body Text 2"/>
    <w:basedOn w:val="Normlny"/>
    <w:link w:val="Zkladntext2Char"/>
    <w:uiPriority w:val="99"/>
    <w:rsid w:val="000F7237"/>
    <w:pPr>
      <w:autoSpaceDE w:val="0"/>
      <w:autoSpaceDN w:val="0"/>
      <w:jc w:val="center"/>
    </w:pPr>
    <w:rPr>
      <w:rFonts w:eastAsiaTheme="minorEastAsia" w:cs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F7237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37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99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7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48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1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27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97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609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11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59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5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700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338">
          <w:marLeft w:val="-1729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73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03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3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35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44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5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663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58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20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47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254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22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94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84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90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02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87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878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078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0_obal_MPK"/>
    <f:field ref="objsubject" par="" edit="true" text=""/>
    <f:field ref="objcreatedby" par="" text="Tančiboková, Pavla, Mgr."/>
    <f:field ref="objcreatedat" par="" text="4.11.2022 13:27:04"/>
    <f:field ref="objchangedby" par="" text="Administrator, System"/>
    <f:field ref="objmodifiedat" par="" text="4.11.2022 13:27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2374FE-1469-4ACE-B5A2-A2D4A4A5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2023-02-06T08:30:00Z</dcterms:created>
  <dcterms:modified xsi:type="dcterms:W3CDTF">2023-03-15T09:38:00Z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štátnych hmotných rezervách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 vlády SR na rok 2022</vt:lpwstr>
  </property>
  <property fmtid="{D5CDD505-2E9C-101B-9397-08002B2CF9AE}" pid="23" name="FSC#SKEDITIONSLOVLEX@103.510:plnynazovpredpis">
    <vt:lpwstr> Zákon o štátnych hmotných rezervách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SŠHR-2022/0595-PRED-1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LP/2022/703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style="text-align: justify;"&gt;Návrh zákona o&amp;nbsp;štátnych hmotných rezervách (ďalej len „návrh zákona“) prekladá predseda Správy štátnych hmotných rezerv Slovenskej republiky (ďalej len „Správa rezerv“) na základe Plá</vt:lpwstr>
  </property>
  <property fmtid="{D5CDD505-2E9C-101B-9397-08002B2CF9AE}" pid="150" name="FSC#SKEDITIONSLOVLEX@103.510:vytvorenedna">
    <vt:lpwstr>4. 11. 2022</vt:lpwstr>
  </property>
  <property fmtid="{D5CDD505-2E9C-101B-9397-08002B2CF9AE}" pid="151" name="FSC#COOSYSTEM@1.1:Container">
    <vt:lpwstr>COO.2145.1000.3.5296576</vt:lpwstr>
  </property>
  <property fmtid="{D5CDD505-2E9C-101B-9397-08002B2CF9AE}" pid="152" name="FSC#FSCFOLIO@1.1001:docpropproject">
    <vt:lpwstr/>
  </property>
</Properties>
</file>