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010" w:rsidRPr="00B95134" w:rsidRDefault="00186010" w:rsidP="007F22E3">
      <w:pPr>
        <w:jc w:val="center"/>
        <w:rPr>
          <w:b/>
        </w:rPr>
      </w:pPr>
      <w:r w:rsidRPr="00B95134">
        <w:rPr>
          <w:b/>
        </w:rPr>
        <w:t>Predkladacia správa</w:t>
      </w:r>
    </w:p>
    <w:p w:rsidR="00186010" w:rsidRPr="00B95134" w:rsidRDefault="00186010" w:rsidP="007F22E3">
      <w:pPr>
        <w:jc w:val="center"/>
      </w:pPr>
    </w:p>
    <w:p w:rsidR="00186010" w:rsidRPr="00B95134" w:rsidRDefault="00186010" w:rsidP="007F22E3">
      <w:pPr>
        <w:jc w:val="both"/>
      </w:pPr>
    </w:p>
    <w:p w:rsidR="007F22E3" w:rsidRDefault="00186010" w:rsidP="007F22E3">
      <w:pPr>
        <w:pStyle w:val="Normlnywebov"/>
        <w:spacing w:before="0" w:beforeAutospacing="0" w:after="0" w:afterAutospacing="0"/>
        <w:jc w:val="both"/>
      </w:pPr>
      <w:r w:rsidRPr="00B95134">
        <w:tab/>
      </w:r>
      <w:r w:rsidR="00924470">
        <w:t>Na základe § 70 ods. 2 zákona Národnej rady Slovenskej republiky č. 350/1996 Z. z. o rokovacom poriadku Národnej rady Slovenskej republiky v znení zákona č. 399/2015 Z. z.</w:t>
      </w:r>
      <w:r w:rsidR="00924470">
        <w:br/>
      </w:r>
      <w:r w:rsidR="00924470" w:rsidRPr="004039DE">
        <w:t xml:space="preserve">a podľa čl. 31 Legislatívnych pravidiel vlády Slovenskej republiky Ministerstvo financií Slovenskej republiky predkladá na rokovanie </w:t>
      </w:r>
      <w:r w:rsidR="00924470">
        <w:t xml:space="preserve">Legislatívnej rady </w:t>
      </w:r>
      <w:r w:rsidR="00924470" w:rsidRPr="004039DE">
        <w:t xml:space="preserve">vlády Slovenskej republiky </w:t>
      </w:r>
      <w:r w:rsidR="007F22E3">
        <w:t xml:space="preserve">návrh </w:t>
      </w:r>
      <w:r w:rsidR="007E616D">
        <w:t xml:space="preserve">poslancov </w:t>
      </w:r>
      <w:r w:rsidR="007F22E3">
        <w:t xml:space="preserve">Národnej rady Slovenskej republiky </w:t>
      </w:r>
      <w:r w:rsidR="003A4A56">
        <w:t xml:space="preserve">Miloša </w:t>
      </w:r>
      <w:proofErr w:type="spellStart"/>
      <w:r w:rsidR="003A4A56">
        <w:t>Svrčeka</w:t>
      </w:r>
      <w:proofErr w:type="spellEnd"/>
      <w:r w:rsidR="003A4A56">
        <w:t xml:space="preserve"> a Jozefa Hlinku </w:t>
      </w:r>
      <w:r w:rsidR="007F22E3">
        <w:t xml:space="preserve">na vydanie zákona, </w:t>
      </w:r>
      <w:r w:rsidR="0036120B">
        <w:t xml:space="preserve">ktorým sa dopĺňa zákon č. </w:t>
      </w:r>
      <w:r w:rsidR="003A4A56">
        <w:t>31</w:t>
      </w:r>
      <w:r w:rsidR="0036120B">
        <w:t>0/</w:t>
      </w:r>
      <w:r w:rsidR="003A4A56">
        <w:t xml:space="preserve">1992 </w:t>
      </w:r>
      <w:r w:rsidR="0036120B">
        <w:t>Z</w:t>
      </w:r>
      <w:r w:rsidR="003A4A56">
        <w:t>b</w:t>
      </w:r>
      <w:r w:rsidR="0036120B">
        <w:t>. o</w:t>
      </w:r>
      <w:r w:rsidR="003A4A56">
        <w:t xml:space="preserve"> stavebnom sporení </w:t>
      </w:r>
      <w:r w:rsidR="0036120B">
        <w:t xml:space="preserve">v znení </w:t>
      </w:r>
      <w:r w:rsidR="003A4A56">
        <w:t>neskorších predpisov</w:t>
      </w:r>
      <w:r w:rsidR="007F22E3">
        <w:t xml:space="preserve"> (tlač 1</w:t>
      </w:r>
      <w:r w:rsidR="003A4A56">
        <w:t>401</w:t>
      </w:r>
      <w:r w:rsidR="007F22E3">
        <w:t>).</w:t>
      </w:r>
    </w:p>
    <w:p w:rsidR="007E616D" w:rsidRDefault="007E616D" w:rsidP="007F22E3">
      <w:pPr>
        <w:pStyle w:val="Zkladntext2"/>
      </w:pPr>
    </w:p>
    <w:p w:rsidR="003A4A56" w:rsidRDefault="002754DF" w:rsidP="007E616D">
      <w:pPr>
        <w:pStyle w:val="Zkladntext2"/>
        <w:ind w:firstLine="708"/>
      </w:pPr>
      <w:r>
        <w:t xml:space="preserve">Predmetom návrhu zákona je umožniť </w:t>
      </w:r>
      <w:r w:rsidR="003A4A56">
        <w:t>subjektu, ktorým je stavebná sporiteľňa, zrušenie bez likvidácie alebo prevod podniku alebo jeho časti tak, aby jeho právnym nástupcom mohla byť výlučne iná stavebná sporiteľňa alebo iná banka ako stavebná sporiteľňa.</w:t>
      </w:r>
    </w:p>
    <w:p w:rsidR="003A4A56" w:rsidRDefault="003A4A56" w:rsidP="007E616D">
      <w:pPr>
        <w:pStyle w:val="Zkladntext2"/>
        <w:ind w:firstLine="708"/>
      </w:pPr>
    </w:p>
    <w:p w:rsidR="00B20168" w:rsidRDefault="002754DF" w:rsidP="00EF5B58">
      <w:pPr>
        <w:pStyle w:val="Zkladntext2"/>
        <w:ind w:firstLine="708"/>
      </w:pPr>
      <w:r>
        <w:t xml:space="preserve">Súčasná právna úprava </w:t>
      </w:r>
      <w:r w:rsidR="006C2411">
        <w:t>zákona o stavebnom sporení neumožňuje stavebnej sporiteľni zlúčenie stavebnej sporiteľne s inou stavebnou sporiteľňou alebo s inou bankou ako stavebnou sporiteľňou</w:t>
      </w:r>
      <w:r w:rsidR="002F1890">
        <w:t>, resp. predaj podniku stavebne</w:t>
      </w:r>
      <w:r w:rsidR="00A77A96">
        <w:t xml:space="preserve">j sporiteľne alebo jeho časti inej stavebnej sporiteľni alebo inej banke ako stavebnej sporiteľni. </w:t>
      </w:r>
      <w:r w:rsidR="00BE1BB4">
        <w:t xml:space="preserve">Obdobná právna úprava už je obsiahnutá v zákone o bankách a týka sa </w:t>
      </w:r>
      <w:r w:rsidR="00120A76">
        <w:t xml:space="preserve">(i) </w:t>
      </w:r>
      <w:r w:rsidR="00BE1BB4">
        <w:t>zlúčenia, splynutia alebo rozdelenia banky (t. j. zrušenia banky bez likvidácie) vrátane zlúčenia alebo splynutia inej právnickej osoby s</w:t>
      </w:r>
      <w:r w:rsidR="00120A76">
        <w:t> </w:t>
      </w:r>
      <w:r w:rsidR="00BE1BB4">
        <w:t>bankou</w:t>
      </w:r>
      <w:r w:rsidR="00120A76">
        <w:t xml:space="preserve"> a (ii) </w:t>
      </w:r>
      <w:r w:rsidR="00BE1BB4">
        <w:t xml:space="preserve">predaja podniku banky, pobočky zahraničnej banky alebo ich časti. </w:t>
      </w:r>
      <w:r w:rsidR="00120A76">
        <w:t xml:space="preserve">Aj keď stavebná sporiteľňa je tiež bankou podľa zákona o bankách, v zákone o stavebnom sporení však absentuje </w:t>
      </w:r>
      <w:r w:rsidR="00405D7B">
        <w:t xml:space="preserve">osobitná </w:t>
      </w:r>
      <w:r w:rsidR="00120A76">
        <w:t xml:space="preserve">právna úprava dokončenia vykonávania bankových činností </w:t>
      </w:r>
      <w:r w:rsidR="00405D7B">
        <w:t xml:space="preserve">podľa § 2 ods. 2 zákona o stavebnom sporení, ak by sa právnym nástupcom stavebnej sporiteľne alebo kupujúcim podniku stavebnej sporiteľne alebo jeho časti stala iná banka ako stavebná sporiteľa, pričom tieto </w:t>
      </w:r>
      <w:r w:rsidR="00120A76">
        <w:t>špecifické bankové činnosti môže vykonávať len stavebná sporiteľňa.</w:t>
      </w:r>
    </w:p>
    <w:p w:rsidR="00B20168" w:rsidRDefault="00B20168" w:rsidP="00EF5B58">
      <w:pPr>
        <w:pStyle w:val="Zkladntext2"/>
        <w:ind w:firstLine="708"/>
      </w:pPr>
    </w:p>
    <w:p w:rsidR="000378A6" w:rsidRPr="007F22E3" w:rsidRDefault="00B20168" w:rsidP="00B20168">
      <w:pPr>
        <w:pStyle w:val="Zkladntext2"/>
        <w:ind w:firstLine="708"/>
      </w:pPr>
      <w:r w:rsidRPr="00551518">
        <w:t>Navrhovan</w:t>
      </w:r>
      <w:r>
        <w:t>á právna úprava rieši postup pri zrušení stavebnej sporiteľne bez likvidácie a postup pri predaji podniku stavebnej sporiteľne alebo jeho časti. Ak bude právnym nástupcom stavebnej sporiteľne alebo kupujúcim podniku stavebnej sporiteľne iná banka ako stavebná sporiteľňa, bude môcť vykonávať bankové činnosti podľa § 2 ods. 2 zákona o stavebnom sporení (prijímanie vkladov od stavebných sporiteľov alebo v prospech stavebných sporiteľov a poskytovanie stavebných úverov) len vo vzťahu k zmluvám o stavebnom sporení, ktoré naňho prešli alebo boli prevedené niektorým z vyššie uvedených postupov, to znamená len vo vzťahu k</w:t>
      </w:r>
      <w:r w:rsidRPr="00B6781D">
        <w:t xml:space="preserve"> </w:t>
      </w:r>
      <w:r>
        <w:t>zmluvám o stavebnom sporení platným ku dňu prechodu alebo prevodu. Takýto právny nástupca, resp. kupujúci nebude môcť uzatvárať žiadne nové zmluvy o stavebnom sporení, a to ani s klientmi – stavebnými sporiteľmi, ktorých získal prechodom, resp. prevodom zmluvných vzťahov</w:t>
      </w:r>
      <w:r w:rsidR="009A71DF">
        <w:t>, a to z dôvodu, že nemá udelenú osobitnú bankovú licenciu stavebnej sporiteľne</w:t>
      </w:r>
      <w:r>
        <w:t>. Bude ale môcť uzatvárať nové zmluvy o stavebnom úvere, avšak len s tými klientmi – stavebným</w:t>
      </w:r>
      <w:r w:rsidR="00B30E5E">
        <w:t>i</w:t>
      </w:r>
      <w:r>
        <w:t xml:space="preserve"> sporiteľmi, ktorých nadobudol prechodom, resp. prevodom právnych vzťahov vyplývajúcich z platných zmlúv o stavebnom sporení, pretože to bude vyplývať z</w:t>
      </w:r>
      <w:r w:rsidR="009A71DF">
        <w:t xml:space="preserve">o zákonného </w:t>
      </w:r>
      <w:r>
        <w:t xml:space="preserve">oprávnenia </w:t>
      </w:r>
      <w:r w:rsidR="00492C3B">
        <w:rPr>
          <w:i/>
        </w:rPr>
        <w:t xml:space="preserve">(ex </w:t>
      </w:r>
      <w:proofErr w:type="spellStart"/>
      <w:r w:rsidR="00492C3B">
        <w:rPr>
          <w:i/>
        </w:rPr>
        <w:t>lege</w:t>
      </w:r>
      <w:proofErr w:type="spellEnd"/>
      <w:r w:rsidR="00492C3B">
        <w:rPr>
          <w:i/>
        </w:rPr>
        <w:t xml:space="preserve">) </w:t>
      </w:r>
      <w:r>
        <w:t>vykonávať osobitnú bankovú činnosť podľa § 2 ods. 2 písm. b) zákona o stavebnom sporení (poskytovanie stavebných úverov)</w:t>
      </w:r>
      <w:r w:rsidR="00492C3B">
        <w:t xml:space="preserve"> vo vzťahu týmto klientom</w:t>
      </w:r>
      <w:r>
        <w:t>. Takéto oprávnenie mu musí byť dané, pretože zákon o stavebnom sporení ustanovuje, že stave</w:t>
      </w:r>
      <w:r w:rsidR="00C45CC2">
        <w:t>b</w:t>
      </w:r>
      <w:r>
        <w:t xml:space="preserve">ný sporiteľ (t. j. osoba, ktorá už má uzavretú zmluvu o stavebnom sporení), má po splnení zmluvne dohodnutých podmienok nárok na pridelenie stavebného úveru. Takýto právny nástupca, resp. kupujúci sa na všetky vyššie uvedené oprávnené účely, ako aj na účely uplatňovania nároku na štátnu prémiu, </w:t>
      </w:r>
      <w:r w:rsidRPr="007B3DA9">
        <w:t>poskytovania a pripisovania štátnej prémie</w:t>
      </w:r>
      <w:r>
        <w:t xml:space="preserve">, bude považovať za stavebnú sporiteľňu, a to </w:t>
      </w:r>
      <w:r w:rsidR="00492C3B">
        <w:t xml:space="preserve">aj </w:t>
      </w:r>
      <w:r>
        <w:t>z</w:t>
      </w:r>
      <w:r w:rsidR="00492C3B">
        <w:t xml:space="preserve"> toho </w:t>
      </w:r>
      <w:r>
        <w:t>dôvod</w:t>
      </w:r>
      <w:bookmarkStart w:id="0" w:name="_GoBack"/>
      <w:bookmarkEnd w:id="0"/>
      <w:r>
        <w:t xml:space="preserve">u, aby stavebným sporiteľom, ktorí už nebudú klientmi stavebnej </w:t>
      </w:r>
      <w:r>
        <w:lastRenderedPageBreak/>
        <w:t>sporiteľne, ale štandardnej komerčnej banky, mohla byť naďalej poskytovaná štátna prémia. Ak bude právnym nástupcom stavebnej sporiteľne alebo kupujúcim podniku stavebnej sporiteľne iná stavebná sporiteľňa, nebudú sa na ňu vzťahovať žiadne obmedzenia týkajúce sa uzatvárania nových zmlúv o stavebnom sporení. Na vyššie uvedené postupy sa budú vzťahovať príslušné predchádzajúce súhlasy Národnej banky Slovenska podľa zákona o bankách (§ 28 ods. 1 písm. b), ak pôjde o zlúčenie, splynutie alebo rozdelenie stavebnej sporiteľne alebo § 28 ods. 1 písm. d), ak pôjde o predaj podniku stavebnej sporiteľne alebo jeho časti).</w:t>
      </w:r>
      <w:r w:rsidR="00120A76">
        <w:t xml:space="preserve"> </w:t>
      </w:r>
    </w:p>
    <w:p w:rsidR="000378A6" w:rsidRDefault="000378A6" w:rsidP="00D726A9">
      <w:pPr>
        <w:pStyle w:val="Zkladntext2"/>
      </w:pPr>
    </w:p>
    <w:p w:rsidR="00D726A9" w:rsidRDefault="00D726A9" w:rsidP="00D726A9">
      <w:pPr>
        <w:pStyle w:val="Zkladntext2"/>
      </w:pPr>
    </w:p>
    <w:p w:rsidR="00551518" w:rsidRDefault="00551518" w:rsidP="00551518">
      <w:pPr>
        <w:pStyle w:val="Zkladntext2"/>
        <w:rPr>
          <w:b/>
        </w:rPr>
      </w:pPr>
      <w:r>
        <w:rPr>
          <w:b/>
        </w:rPr>
        <w:t>Stanovisko:</w:t>
      </w:r>
    </w:p>
    <w:p w:rsidR="00551518" w:rsidRPr="00551518" w:rsidRDefault="00551518" w:rsidP="00551518">
      <w:pPr>
        <w:pStyle w:val="Zkladntext2"/>
        <w:rPr>
          <w:b/>
        </w:rPr>
      </w:pPr>
    </w:p>
    <w:p w:rsidR="000378A6" w:rsidRDefault="000378A6" w:rsidP="00EF5B58">
      <w:pPr>
        <w:pStyle w:val="Normlnywebov"/>
        <w:spacing w:before="0" w:beforeAutospacing="0" w:after="0" w:afterAutospacing="0"/>
        <w:ind w:firstLine="708"/>
        <w:jc w:val="both"/>
      </w:pPr>
      <w:r w:rsidRPr="007F22E3">
        <w:t>Ministerstvo financií S</w:t>
      </w:r>
      <w:r w:rsidR="00EF5B58">
        <w:t xml:space="preserve">lovenskej republiky </w:t>
      </w:r>
      <w:r w:rsidR="00551518">
        <w:t>zaujíma k predloženému poslaneckému  návrhu zákona toto stanovisko:</w:t>
      </w:r>
    </w:p>
    <w:p w:rsidR="000378A6" w:rsidRDefault="000378A6" w:rsidP="00EF5B58">
      <w:pPr>
        <w:pStyle w:val="Zkladntext2"/>
        <w:ind w:firstLine="708"/>
      </w:pPr>
    </w:p>
    <w:p w:rsidR="00707678" w:rsidRDefault="00B20168" w:rsidP="00FD0076">
      <w:pPr>
        <w:jc w:val="both"/>
      </w:pPr>
      <w:r>
        <w:t>1</w:t>
      </w:r>
      <w:r w:rsidR="00707678">
        <w:t xml:space="preserve">. Navrhovaná právna úprava zabezpečuje, </w:t>
      </w:r>
      <w:r w:rsidR="0020529C">
        <w:t>že práva a právom chránené záujmy klientov –stave</w:t>
      </w:r>
      <w:r w:rsidR="00C45CC2">
        <w:t>b</w:t>
      </w:r>
      <w:r w:rsidR="0020529C">
        <w:t xml:space="preserve">ných sporiteľov zostanú plne zachované aj v prípade, </w:t>
      </w:r>
      <w:r w:rsidR="000112D4">
        <w:t>ak právnym nástupcom stavebnej sporiteľne alebo kupujúcim podniku stavebnej sporiteľne</w:t>
      </w:r>
      <w:r w:rsidR="0020529C">
        <w:t xml:space="preserve"> </w:t>
      </w:r>
      <w:r w:rsidR="000112D4">
        <w:t xml:space="preserve">bude iná banka ako stavebná sporiteľňa (štandardná komerčná banka), pretože </w:t>
      </w:r>
      <w:r w:rsidR="000112D4" w:rsidRPr="00621A85">
        <w:rPr>
          <w:color w:val="000000" w:themeColor="text1"/>
        </w:rPr>
        <w:t xml:space="preserve">všetky právne vzťahy vzniknuté na základe zmlúv uzavretých so stavebnou sporiteľňou </w:t>
      </w:r>
      <w:r w:rsidR="000112D4">
        <w:rPr>
          <w:color w:val="000000" w:themeColor="text1"/>
        </w:rPr>
        <w:t xml:space="preserve">pred jej zlúčením alebo predajom (a to tak zmlúv o stavebnom sporení ako aj zmlúv o stavebnom úvere) </w:t>
      </w:r>
      <w:r w:rsidR="000112D4" w:rsidRPr="00621A85">
        <w:rPr>
          <w:color w:val="000000" w:themeColor="text1"/>
        </w:rPr>
        <w:t xml:space="preserve">sa </w:t>
      </w:r>
      <w:r w:rsidR="000112D4">
        <w:rPr>
          <w:color w:val="000000" w:themeColor="text1"/>
        </w:rPr>
        <w:t xml:space="preserve">postupne vysporiadajú </w:t>
      </w:r>
      <w:r w:rsidR="000112D4" w:rsidRPr="00621A85">
        <w:rPr>
          <w:color w:val="000000" w:themeColor="text1"/>
        </w:rPr>
        <w:t xml:space="preserve">podľa právneho rámca ustanoveného zákonom o stavebnom sporení. </w:t>
      </w:r>
      <w:r w:rsidR="000112D4">
        <w:t xml:space="preserve">  </w:t>
      </w:r>
      <w:r w:rsidR="0020529C">
        <w:t xml:space="preserve"> </w:t>
      </w:r>
    </w:p>
    <w:p w:rsidR="00707678" w:rsidRDefault="00707678" w:rsidP="00FD0076">
      <w:pPr>
        <w:jc w:val="both"/>
      </w:pPr>
    </w:p>
    <w:p w:rsidR="00707678" w:rsidRDefault="00B20168" w:rsidP="00FD0076">
      <w:pPr>
        <w:jc w:val="both"/>
      </w:pPr>
      <w:r>
        <w:t>2</w:t>
      </w:r>
      <w:r w:rsidR="00707678">
        <w:t xml:space="preserve">. </w:t>
      </w:r>
      <w:r w:rsidR="000112D4">
        <w:t xml:space="preserve">Navrhovaná právna úprava taktiež zabezpečuje, že Ministerstvo financií SR bude môcť </w:t>
      </w:r>
      <w:r w:rsidR="00DC60A2">
        <w:t xml:space="preserve">vykonať štátny dozor </w:t>
      </w:r>
      <w:r w:rsidR="00DC60A2">
        <w:rPr>
          <w:color w:val="000000" w:themeColor="text1"/>
        </w:rPr>
        <w:t>nad dodržiavaním podmienok poskytovania š</w:t>
      </w:r>
      <w:r w:rsidR="00DC60A2" w:rsidRPr="00621A85">
        <w:rPr>
          <w:color w:val="000000" w:themeColor="text1"/>
        </w:rPr>
        <w:t xml:space="preserve">tátnej prémie </w:t>
      </w:r>
      <w:r w:rsidR="00DC60A2">
        <w:rPr>
          <w:color w:val="000000" w:themeColor="text1"/>
        </w:rPr>
        <w:t xml:space="preserve">aj u právneho nástupcu </w:t>
      </w:r>
      <w:r w:rsidR="00DC60A2">
        <w:t>stavebnej sporiteľne alebo kupujúceho podniku stavebnej sporiteľne, ktorý nie je stavebnou sporiteľnou.</w:t>
      </w:r>
      <w:r w:rsidR="000112D4">
        <w:t xml:space="preserve">    </w:t>
      </w:r>
    </w:p>
    <w:p w:rsidR="00FE24A0" w:rsidRDefault="00FE24A0" w:rsidP="00FD0076">
      <w:pPr>
        <w:jc w:val="both"/>
      </w:pPr>
    </w:p>
    <w:p w:rsidR="00B42CD4" w:rsidRPr="00903F27" w:rsidRDefault="00B20168" w:rsidP="00FD0076">
      <w:pPr>
        <w:jc w:val="both"/>
      </w:pPr>
      <w:r>
        <w:t>3</w:t>
      </w:r>
      <w:r w:rsidR="00EB30A9" w:rsidRPr="00903F27">
        <w:t>.</w:t>
      </w:r>
      <w:r w:rsidR="00903F27">
        <w:t xml:space="preserve"> </w:t>
      </w:r>
      <w:r w:rsidR="0020529C">
        <w:t xml:space="preserve">Návrh zákona musí byť ešte predmetom </w:t>
      </w:r>
      <w:proofErr w:type="spellStart"/>
      <w:r w:rsidR="0020529C" w:rsidRPr="00903F27">
        <w:t>vnútrokomunitárne</w:t>
      </w:r>
      <w:r w:rsidR="0020529C">
        <w:t>ho</w:t>
      </w:r>
      <w:proofErr w:type="spellEnd"/>
      <w:r w:rsidR="0020529C" w:rsidRPr="00903F27">
        <w:t xml:space="preserve"> pripomienkové</w:t>
      </w:r>
      <w:r w:rsidR="0020529C">
        <w:t>ho</w:t>
      </w:r>
      <w:r w:rsidR="0020529C" w:rsidRPr="00903F27">
        <w:t xml:space="preserve"> konani</w:t>
      </w:r>
      <w:r w:rsidR="0020529C">
        <w:t>a tak, ako je to uvedené aj vo všeobecnej časti dôvodovej správy. K navrhovanej právnej úprave je potrebné zabezpečiť stanovisko Európskej centrálnej banky.</w:t>
      </w:r>
    </w:p>
    <w:p w:rsidR="001B74D1" w:rsidRDefault="001B74D1" w:rsidP="00FD0076">
      <w:pPr>
        <w:pStyle w:val="Zkladntext2"/>
      </w:pPr>
    </w:p>
    <w:p w:rsidR="00D726A9" w:rsidRDefault="00D726A9" w:rsidP="00FD0076">
      <w:pPr>
        <w:pStyle w:val="Zkladntext2"/>
      </w:pPr>
    </w:p>
    <w:p w:rsidR="0079791C" w:rsidRDefault="0079791C" w:rsidP="0079791C">
      <w:pPr>
        <w:pStyle w:val="Zkladntext2"/>
        <w:rPr>
          <w:b/>
        </w:rPr>
      </w:pPr>
      <w:r>
        <w:rPr>
          <w:b/>
        </w:rPr>
        <w:t>Výsledok pripomienkového konania:</w:t>
      </w:r>
    </w:p>
    <w:p w:rsidR="0079791C" w:rsidRDefault="0079791C" w:rsidP="0079791C">
      <w:pPr>
        <w:pStyle w:val="Zkladntext2"/>
      </w:pPr>
    </w:p>
    <w:p w:rsidR="0079791C" w:rsidRDefault="0079791C" w:rsidP="0079791C">
      <w:pPr>
        <w:pStyle w:val="Zkladntext2"/>
        <w:ind w:firstLine="708"/>
      </w:pPr>
      <w:r>
        <w:t>Povinne pripomienkujúce subjekty nepredložili k materiálu žiadnu pripomienku.</w:t>
      </w:r>
    </w:p>
    <w:p w:rsidR="0079791C" w:rsidRDefault="0079791C" w:rsidP="00FD0076">
      <w:pPr>
        <w:pStyle w:val="Zkladntext2"/>
      </w:pPr>
    </w:p>
    <w:p w:rsidR="00D726A9" w:rsidRDefault="00D726A9" w:rsidP="00FD0076">
      <w:pPr>
        <w:pStyle w:val="Zkladntext2"/>
      </w:pPr>
    </w:p>
    <w:p w:rsidR="00642A23" w:rsidRDefault="00642A23" w:rsidP="00FD0076">
      <w:pPr>
        <w:pStyle w:val="Zkladntext2"/>
        <w:rPr>
          <w:b/>
        </w:rPr>
      </w:pPr>
      <w:r>
        <w:rPr>
          <w:b/>
        </w:rPr>
        <w:t>Záver:</w:t>
      </w:r>
    </w:p>
    <w:p w:rsidR="00642A23" w:rsidRDefault="00642A23" w:rsidP="00FD0076">
      <w:pPr>
        <w:pStyle w:val="Zkladntext2"/>
        <w:rPr>
          <w:b/>
        </w:rPr>
      </w:pPr>
    </w:p>
    <w:p w:rsidR="00CC6422" w:rsidRPr="00903F27" w:rsidRDefault="00642A23" w:rsidP="00EA485F">
      <w:pPr>
        <w:pStyle w:val="Normlnywebov"/>
        <w:spacing w:before="0" w:beforeAutospacing="0" w:after="0" w:afterAutospacing="0"/>
        <w:ind w:firstLine="708"/>
        <w:jc w:val="both"/>
      </w:pPr>
      <w:r>
        <w:t xml:space="preserve">Na základe vyššie uvedených skutočností </w:t>
      </w:r>
      <w:r w:rsidRPr="007F22E3">
        <w:t>Ministerstvo financií S</w:t>
      </w:r>
      <w:r>
        <w:t xml:space="preserve">lovenskej republiky odporúča vláde Slovenskej republiky vysloviť </w:t>
      </w:r>
      <w:r w:rsidR="00EA485F">
        <w:t xml:space="preserve">súhlas </w:t>
      </w:r>
      <w:r>
        <w:t>s</w:t>
      </w:r>
      <w:r w:rsidR="00EA485F">
        <w:t xml:space="preserve"> predloženým poslaneckým </w:t>
      </w:r>
      <w:r>
        <w:t xml:space="preserve">návrhom </w:t>
      </w:r>
      <w:r w:rsidR="00EA485F">
        <w:t>zákona.</w:t>
      </w:r>
    </w:p>
    <w:sectPr w:rsidR="00CC6422" w:rsidRPr="00903F2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B1B" w:rsidRDefault="000F1B1B" w:rsidP="002A7F9A">
      <w:r>
        <w:separator/>
      </w:r>
    </w:p>
  </w:endnote>
  <w:endnote w:type="continuationSeparator" w:id="0">
    <w:p w:rsidR="000F1B1B" w:rsidRDefault="000F1B1B" w:rsidP="002A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432160"/>
      <w:docPartObj>
        <w:docPartGallery w:val="Page Numbers (Bottom of Page)"/>
        <w:docPartUnique/>
      </w:docPartObj>
    </w:sdtPr>
    <w:sdtEndPr/>
    <w:sdtContent>
      <w:p w:rsidR="002A7F9A" w:rsidRDefault="002A7F9A">
        <w:pPr>
          <w:pStyle w:val="Pta"/>
          <w:jc w:val="center"/>
        </w:pPr>
        <w:r>
          <w:fldChar w:fldCharType="begin"/>
        </w:r>
        <w:r>
          <w:instrText>PAGE   \* MERGEFORMAT</w:instrText>
        </w:r>
        <w:r>
          <w:fldChar w:fldCharType="separate"/>
        </w:r>
        <w:r w:rsidR="00492C3B">
          <w:rPr>
            <w:noProof/>
          </w:rPr>
          <w:t>1</w:t>
        </w:r>
        <w:r>
          <w:fldChar w:fldCharType="end"/>
        </w:r>
      </w:p>
    </w:sdtContent>
  </w:sdt>
  <w:p w:rsidR="002A7F9A" w:rsidRDefault="002A7F9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B1B" w:rsidRDefault="000F1B1B" w:rsidP="002A7F9A">
      <w:r>
        <w:separator/>
      </w:r>
    </w:p>
  </w:footnote>
  <w:footnote w:type="continuationSeparator" w:id="0">
    <w:p w:rsidR="000F1B1B" w:rsidRDefault="000F1B1B" w:rsidP="002A7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9A" w:rsidRDefault="002A7F9A">
    <w:pPr>
      <w:pStyle w:val="Hlavika"/>
      <w:jc w:val="center"/>
    </w:pPr>
  </w:p>
  <w:p w:rsidR="002A7F9A" w:rsidRDefault="002A7F9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C616A"/>
    <w:multiLevelType w:val="hybridMultilevel"/>
    <w:tmpl w:val="7C94C18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6D01199B"/>
    <w:multiLevelType w:val="hybridMultilevel"/>
    <w:tmpl w:val="CBD40A0E"/>
    <w:lvl w:ilvl="0" w:tplc="E4A8C2C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2C0041E"/>
    <w:multiLevelType w:val="hybridMultilevel"/>
    <w:tmpl w:val="3E800C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22"/>
    <w:rsid w:val="000112D4"/>
    <w:rsid w:val="000216B8"/>
    <w:rsid w:val="00033A86"/>
    <w:rsid w:val="000378A6"/>
    <w:rsid w:val="000A0983"/>
    <w:rsid w:val="000D72DF"/>
    <w:rsid w:val="000E3A15"/>
    <w:rsid w:val="000F1B1B"/>
    <w:rsid w:val="00120A76"/>
    <w:rsid w:val="001553F2"/>
    <w:rsid w:val="00184514"/>
    <w:rsid w:val="00186010"/>
    <w:rsid w:val="001A6A37"/>
    <w:rsid w:val="001B74D1"/>
    <w:rsid w:val="001F7B23"/>
    <w:rsid w:val="0020529C"/>
    <w:rsid w:val="002372C3"/>
    <w:rsid w:val="00243897"/>
    <w:rsid w:val="002754DF"/>
    <w:rsid w:val="002A7F9A"/>
    <w:rsid w:val="002B6A77"/>
    <w:rsid w:val="002C24D8"/>
    <w:rsid w:val="002F1890"/>
    <w:rsid w:val="0030550D"/>
    <w:rsid w:val="003471D7"/>
    <w:rsid w:val="0036120B"/>
    <w:rsid w:val="003818A7"/>
    <w:rsid w:val="003A4A56"/>
    <w:rsid w:val="003C5D8B"/>
    <w:rsid w:val="003F67BE"/>
    <w:rsid w:val="00405D7B"/>
    <w:rsid w:val="00406C64"/>
    <w:rsid w:val="00430278"/>
    <w:rsid w:val="00437FE0"/>
    <w:rsid w:val="00457164"/>
    <w:rsid w:val="004802D9"/>
    <w:rsid w:val="00491A5C"/>
    <w:rsid w:val="0049212E"/>
    <w:rsid w:val="004928AC"/>
    <w:rsid w:val="00492C3B"/>
    <w:rsid w:val="004B4915"/>
    <w:rsid w:val="004E20B6"/>
    <w:rsid w:val="004F3E25"/>
    <w:rsid w:val="0053046B"/>
    <w:rsid w:val="00551518"/>
    <w:rsid w:val="00552FDB"/>
    <w:rsid w:val="00591E9B"/>
    <w:rsid w:val="0059522D"/>
    <w:rsid w:val="005A5C05"/>
    <w:rsid w:val="005C0B42"/>
    <w:rsid w:val="005E3043"/>
    <w:rsid w:val="00604865"/>
    <w:rsid w:val="00642A23"/>
    <w:rsid w:val="00646BF0"/>
    <w:rsid w:val="0068514F"/>
    <w:rsid w:val="006C2411"/>
    <w:rsid w:val="006E0501"/>
    <w:rsid w:val="00707678"/>
    <w:rsid w:val="00714CA2"/>
    <w:rsid w:val="00730C72"/>
    <w:rsid w:val="0074263B"/>
    <w:rsid w:val="007931F7"/>
    <w:rsid w:val="00796B28"/>
    <w:rsid w:val="0079791C"/>
    <w:rsid w:val="007B02D8"/>
    <w:rsid w:val="007E2B98"/>
    <w:rsid w:val="007E616D"/>
    <w:rsid w:val="007F22E3"/>
    <w:rsid w:val="007F6EA6"/>
    <w:rsid w:val="008223C0"/>
    <w:rsid w:val="0087373F"/>
    <w:rsid w:val="008842E8"/>
    <w:rsid w:val="008B416E"/>
    <w:rsid w:val="008C5F6A"/>
    <w:rsid w:val="00903F27"/>
    <w:rsid w:val="00924470"/>
    <w:rsid w:val="00966772"/>
    <w:rsid w:val="00983A04"/>
    <w:rsid w:val="009A71DF"/>
    <w:rsid w:val="009E68A4"/>
    <w:rsid w:val="00A77A96"/>
    <w:rsid w:val="00A86CEC"/>
    <w:rsid w:val="00AA28E7"/>
    <w:rsid w:val="00AB2C32"/>
    <w:rsid w:val="00AB7582"/>
    <w:rsid w:val="00AC3529"/>
    <w:rsid w:val="00AE7442"/>
    <w:rsid w:val="00B20168"/>
    <w:rsid w:val="00B2341C"/>
    <w:rsid w:val="00B30E5E"/>
    <w:rsid w:val="00B42CD4"/>
    <w:rsid w:val="00B6781D"/>
    <w:rsid w:val="00B71B1B"/>
    <w:rsid w:val="00B72505"/>
    <w:rsid w:val="00B7462F"/>
    <w:rsid w:val="00B80103"/>
    <w:rsid w:val="00B95134"/>
    <w:rsid w:val="00BE1BB4"/>
    <w:rsid w:val="00BE1E87"/>
    <w:rsid w:val="00BF682B"/>
    <w:rsid w:val="00C03FF4"/>
    <w:rsid w:val="00C427D8"/>
    <w:rsid w:val="00C45CC2"/>
    <w:rsid w:val="00C50D9C"/>
    <w:rsid w:val="00C849DC"/>
    <w:rsid w:val="00CC6422"/>
    <w:rsid w:val="00D02C53"/>
    <w:rsid w:val="00D32403"/>
    <w:rsid w:val="00D726A9"/>
    <w:rsid w:val="00DC60A2"/>
    <w:rsid w:val="00DD12A9"/>
    <w:rsid w:val="00DD6103"/>
    <w:rsid w:val="00DF0D85"/>
    <w:rsid w:val="00E41E8B"/>
    <w:rsid w:val="00E653DF"/>
    <w:rsid w:val="00E67177"/>
    <w:rsid w:val="00E90417"/>
    <w:rsid w:val="00EA485F"/>
    <w:rsid w:val="00EB30A9"/>
    <w:rsid w:val="00EE09FD"/>
    <w:rsid w:val="00EF5B58"/>
    <w:rsid w:val="00F164EF"/>
    <w:rsid w:val="00F27095"/>
    <w:rsid w:val="00F40BF9"/>
    <w:rsid w:val="00F800CE"/>
    <w:rsid w:val="00F81B50"/>
    <w:rsid w:val="00F90AF4"/>
    <w:rsid w:val="00FA309B"/>
    <w:rsid w:val="00FC2512"/>
    <w:rsid w:val="00FD0076"/>
    <w:rsid w:val="00FE24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019F6"/>
  <w14:defaultImageDpi w14:val="0"/>
  <w15:docId w15:val="{98A4AF74-3D3A-4820-83D5-E445C73C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6010"/>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0E3A15"/>
    <w:pPr>
      <w:jc w:val="both"/>
    </w:pPr>
  </w:style>
  <w:style w:type="character" w:customStyle="1" w:styleId="Zkladntext2Char">
    <w:name w:val="Základný text 2 Char"/>
    <w:basedOn w:val="Predvolenpsmoodseku"/>
    <w:link w:val="Zkladntext2"/>
    <w:uiPriority w:val="99"/>
    <w:locked/>
    <w:rsid w:val="000E3A15"/>
    <w:rPr>
      <w:rFonts w:cs="Times New Roman"/>
      <w:sz w:val="24"/>
    </w:rPr>
  </w:style>
  <w:style w:type="paragraph" w:styleId="Zarkazkladnhotextu">
    <w:name w:val="Body Text Indent"/>
    <w:basedOn w:val="Normlny"/>
    <w:link w:val="ZarkazkladnhotextuChar"/>
    <w:uiPriority w:val="99"/>
    <w:rsid w:val="0059522D"/>
    <w:pPr>
      <w:spacing w:after="120"/>
      <w:ind w:left="283"/>
    </w:pPr>
  </w:style>
  <w:style w:type="character" w:customStyle="1" w:styleId="ZarkazkladnhotextuChar">
    <w:name w:val="Zarážka základného textu Char"/>
    <w:basedOn w:val="Predvolenpsmoodseku"/>
    <w:link w:val="Zarkazkladnhotextu"/>
    <w:uiPriority w:val="99"/>
    <w:locked/>
    <w:rsid w:val="0059522D"/>
    <w:rPr>
      <w:rFonts w:cs="Times New Roman"/>
      <w:sz w:val="24"/>
      <w:szCs w:val="24"/>
    </w:rPr>
  </w:style>
  <w:style w:type="paragraph" w:styleId="Normlnywebov">
    <w:name w:val="Normal (Web)"/>
    <w:basedOn w:val="Normlny"/>
    <w:uiPriority w:val="99"/>
    <w:unhideWhenUsed/>
    <w:rsid w:val="007F22E3"/>
    <w:pPr>
      <w:spacing w:before="100" w:beforeAutospacing="1" w:after="100" w:afterAutospacing="1"/>
    </w:pPr>
  </w:style>
  <w:style w:type="paragraph" w:styleId="Hlavika">
    <w:name w:val="header"/>
    <w:basedOn w:val="Normlny"/>
    <w:link w:val="HlavikaChar"/>
    <w:uiPriority w:val="99"/>
    <w:unhideWhenUsed/>
    <w:rsid w:val="002A7F9A"/>
    <w:pPr>
      <w:tabs>
        <w:tab w:val="center" w:pos="4536"/>
        <w:tab w:val="right" w:pos="9072"/>
      </w:tabs>
    </w:pPr>
  </w:style>
  <w:style w:type="character" w:customStyle="1" w:styleId="HlavikaChar">
    <w:name w:val="Hlavička Char"/>
    <w:basedOn w:val="Predvolenpsmoodseku"/>
    <w:link w:val="Hlavika"/>
    <w:uiPriority w:val="99"/>
    <w:rsid w:val="002A7F9A"/>
    <w:rPr>
      <w:sz w:val="24"/>
      <w:szCs w:val="24"/>
    </w:rPr>
  </w:style>
  <w:style w:type="paragraph" w:styleId="Pta">
    <w:name w:val="footer"/>
    <w:basedOn w:val="Normlny"/>
    <w:link w:val="PtaChar"/>
    <w:uiPriority w:val="99"/>
    <w:unhideWhenUsed/>
    <w:rsid w:val="002A7F9A"/>
    <w:pPr>
      <w:tabs>
        <w:tab w:val="center" w:pos="4536"/>
        <w:tab w:val="right" w:pos="9072"/>
      </w:tabs>
    </w:pPr>
  </w:style>
  <w:style w:type="character" w:customStyle="1" w:styleId="PtaChar">
    <w:name w:val="Päta Char"/>
    <w:basedOn w:val="Predvolenpsmoodseku"/>
    <w:link w:val="Pta"/>
    <w:uiPriority w:val="99"/>
    <w:rsid w:val="002A7F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09264">
      <w:bodyDiv w:val="1"/>
      <w:marLeft w:val="0"/>
      <w:marRight w:val="0"/>
      <w:marTop w:val="0"/>
      <w:marBottom w:val="0"/>
      <w:divBdr>
        <w:top w:val="none" w:sz="0" w:space="0" w:color="auto"/>
        <w:left w:val="none" w:sz="0" w:space="0" w:color="auto"/>
        <w:bottom w:val="none" w:sz="0" w:space="0" w:color="auto"/>
        <w:right w:val="none" w:sz="0" w:space="0" w:color="auto"/>
      </w:divBdr>
    </w:div>
    <w:div w:id="1814251489">
      <w:marLeft w:val="0"/>
      <w:marRight w:val="0"/>
      <w:marTop w:val="0"/>
      <w:marBottom w:val="0"/>
      <w:divBdr>
        <w:top w:val="none" w:sz="0" w:space="0" w:color="auto"/>
        <w:left w:val="none" w:sz="0" w:space="0" w:color="auto"/>
        <w:bottom w:val="none" w:sz="0" w:space="0" w:color="auto"/>
        <w:right w:val="none" w:sz="0" w:space="0" w:color="auto"/>
      </w:divBdr>
    </w:div>
    <w:div w:id="1814251490">
      <w:marLeft w:val="0"/>
      <w:marRight w:val="0"/>
      <w:marTop w:val="0"/>
      <w:marBottom w:val="0"/>
      <w:divBdr>
        <w:top w:val="none" w:sz="0" w:space="0" w:color="auto"/>
        <w:left w:val="none" w:sz="0" w:space="0" w:color="auto"/>
        <w:bottom w:val="none" w:sz="0" w:space="0" w:color="auto"/>
        <w:right w:val="none" w:sz="0" w:space="0" w:color="auto"/>
      </w:divBdr>
    </w:div>
    <w:div w:id="1814251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1</Pages>
  <Words>898</Words>
  <Characters>5121</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Predkladacia správa</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subject/>
  <dc:creator>Podolak Marian</dc:creator>
  <cp:keywords/>
  <dc:description/>
  <cp:lastModifiedBy>Podolak Marian</cp:lastModifiedBy>
  <cp:revision>25</cp:revision>
  <cp:lastPrinted>2013-06-04T08:47:00Z</cp:lastPrinted>
  <dcterms:created xsi:type="dcterms:W3CDTF">2019-11-05T15:18:00Z</dcterms:created>
  <dcterms:modified xsi:type="dcterms:W3CDTF">2023-02-24T08:56:00Z</dcterms:modified>
</cp:coreProperties>
</file>