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413E9A" w:rsidP="002737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:rsidR="00374EDB" w:rsidRPr="002E32C0" w:rsidRDefault="00374EDB" w:rsidP="002737EC">
            <w:pPr>
              <w:spacing w:line="276" w:lineRule="auto"/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:rsidTr="00F330AF">
        <w:trPr>
          <w:trHeight w:val="995"/>
        </w:trPr>
        <w:tc>
          <w:tcPr>
            <w:tcW w:w="9464" w:type="dxa"/>
          </w:tcPr>
          <w:p w:rsidR="00DA6F02" w:rsidRDefault="00DA6F02" w:rsidP="002737EC">
            <w:pPr>
              <w:spacing w:line="276" w:lineRule="auto"/>
              <w:jc w:val="both"/>
            </w:pPr>
          </w:p>
          <w:p w:rsidR="006044C8" w:rsidRDefault="006221A5" w:rsidP="00517F36">
            <w:pPr>
              <w:spacing w:line="276" w:lineRule="auto"/>
              <w:jc w:val="both"/>
            </w:pPr>
            <w:r w:rsidRPr="006221A5">
              <w:t xml:space="preserve">Územie prírodnej rezervácie (PR) Homoľa tvorí krasový ostrov Švermovského hrdla s výrazným spádom, pod ktorým podzemný tok vytvaroval rozsiahly jaskynný systém s bohatou sintrovou výzdobou. Jaskynný systém je tvorený vodným tokom s podzemným vodopádom a je pravidelným zimoviskom 10 druhov netopierov, z ktorých 4 sú zaradené medzi druhy európskeho významu. </w:t>
            </w:r>
            <w:r w:rsidR="00247303">
              <w:t>V</w:t>
            </w:r>
            <w:r w:rsidR="001F7966">
              <w:t xml:space="preserve">yhlásenie </w:t>
            </w:r>
            <w:r w:rsidR="00BE620A">
              <w:t xml:space="preserve">PR Homoľa </w:t>
            </w:r>
            <w:r w:rsidR="001F7966" w:rsidRPr="00D346CF">
              <w:t xml:space="preserve">bude mať dlhodobý pozitívny vplyv na </w:t>
            </w:r>
            <w:r w:rsidR="009151DD" w:rsidRPr="00D346CF">
              <w:t>prírodné hodnoty, ktoré sú predmetom ochrany.</w:t>
            </w:r>
          </w:p>
          <w:p w:rsidR="00825C7F" w:rsidRDefault="00825C7F" w:rsidP="00517F36">
            <w:pPr>
              <w:spacing w:line="276" w:lineRule="auto"/>
              <w:jc w:val="both"/>
            </w:pPr>
          </w:p>
          <w:p w:rsidR="00517F36" w:rsidRDefault="00517F36" w:rsidP="00517F36">
            <w:pPr>
              <w:spacing w:line="276" w:lineRule="auto"/>
              <w:jc w:val="both"/>
            </w:pPr>
          </w:p>
          <w:p w:rsidR="00573B95" w:rsidRDefault="006044C8">
            <w:pPr>
              <w:spacing w:line="276" w:lineRule="auto"/>
              <w:jc w:val="both"/>
              <w:rPr>
                <w:bCs/>
              </w:rPr>
            </w:pPr>
            <w:r>
              <w:t>Predmetom o</w:t>
            </w:r>
            <w:r w:rsidR="009151DD" w:rsidRPr="00D346CF">
              <w:t>chran</w:t>
            </w:r>
            <w:r>
              <w:t>y je</w:t>
            </w:r>
            <w:r w:rsidR="00DA6872" w:rsidRPr="00DA6872">
              <w:t xml:space="preserve"> </w:t>
            </w:r>
            <w:r w:rsidR="005D583C">
              <w:t xml:space="preserve">predovšetkým </w:t>
            </w:r>
            <w:r w:rsidR="00BE620A">
              <w:t>1</w:t>
            </w:r>
            <w:r w:rsidR="00DA6872" w:rsidRPr="002E4D28">
              <w:rPr>
                <w:bCs/>
                <w:u w:val="single"/>
              </w:rPr>
              <w:t xml:space="preserve"> priorit</w:t>
            </w:r>
            <w:r w:rsidR="00BE620A">
              <w:rPr>
                <w:bCs/>
                <w:u w:val="single"/>
              </w:rPr>
              <w:t>ný</w:t>
            </w:r>
            <w:r>
              <w:rPr>
                <w:bCs/>
                <w:u w:val="single"/>
              </w:rPr>
              <w:t xml:space="preserve"> </w:t>
            </w:r>
            <w:r w:rsidR="00DA6872" w:rsidRPr="002E4D28">
              <w:rPr>
                <w:bCs/>
                <w:u w:val="single"/>
              </w:rPr>
              <w:t>bioto</w:t>
            </w:r>
            <w:r w:rsidR="00BE620A">
              <w:rPr>
                <w:bCs/>
                <w:u w:val="single"/>
              </w:rPr>
              <w:t>p</w:t>
            </w:r>
            <w:r w:rsidR="00DA6872" w:rsidRPr="002E4D28">
              <w:rPr>
                <w:bCs/>
                <w:u w:val="single"/>
              </w:rPr>
              <w:t xml:space="preserve"> európskeho významu</w:t>
            </w:r>
            <w:r w:rsidR="00D26E6C" w:rsidRPr="002E4D28">
              <w:rPr>
                <w:bCs/>
                <w:u w:val="single"/>
              </w:rPr>
              <w:t>:</w:t>
            </w:r>
            <w:r w:rsidR="00BE620A">
              <w:rPr>
                <w:bCs/>
                <w:u w:val="single"/>
              </w:rPr>
              <w:t xml:space="preserve"> </w:t>
            </w:r>
            <w:r w:rsidR="00BE620A" w:rsidRPr="00C00DF7">
              <w:rPr>
                <w:bCs/>
              </w:rPr>
              <w:t>Kr 6 Xerotermné kroviny (*</w:t>
            </w:r>
            <w:r w:rsidR="00B364AF">
              <w:rPr>
                <w:bCs/>
              </w:rPr>
              <w:t xml:space="preserve"> </w:t>
            </w:r>
            <w:r w:rsidR="00BE620A" w:rsidRPr="00C00DF7">
              <w:rPr>
                <w:bCs/>
              </w:rPr>
              <w:t xml:space="preserve">40A0), </w:t>
            </w:r>
            <w:r w:rsidR="00BE620A">
              <w:rPr>
                <w:bCs/>
              </w:rPr>
              <w:t>4</w:t>
            </w:r>
            <w:r w:rsidR="00DA6872" w:rsidRPr="002E4D28">
              <w:rPr>
                <w:bCs/>
                <w:u w:val="single"/>
              </w:rPr>
              <w:t xml:space="preserve"> biotop</w:t>
            </w:r>
            <w:r w:rsidR="00BE620A">
              <w:rPr>
                <w:bCs/>
                <w:u w:val="single"/>
              </w:rPr>
              <w:t>y</w:t>
            </w:r>
            <w:r w:rsidRPr="002E4D28">
              <w:rPr>
                <w:bCs/>
                <w:u w:val="single"/>
              </w:rPr>
              <w:t xml:space="preserve"> </w:t>
            </w:r>
            <w:r w:rsidR="00DA6872" w:rsidRPr="002E4D28">
              <w:rPr>
                <w:bCs/>
                <w:u w:val="single"/>
              </w:rPr>
              <w:t>európskeho významu</w:t>
            </w:r>
            <w:r w:rsidR="00D26E6C">
              <w:rPr>
                <w:bCs/>
              </w:rPr>
              <w:t xml:space="preserve">: </w:t>
            </w:r>
            <w:r w:rsidR="00BE620A" w:rsidRPr="00BE620A">
              <w:rPr>
                <w:bCs/>
              </w:rPr>
              <w:t>Ls 5.1 Bukové a jedľovo-bukové kvetnaté lesy</w:t>
            </w:r>
            <w:r w:rsidR="00BE620A">
              <w:rPr>
                <w:bCs/>
              </w:rPr>
              <w:t xml:space="preserve"> </w:t>
            </w:r>
            <w:r w:rsidR="00BE620A" w:rsidRPr="00BE620A">
              <w:rPr>
                <w:bCs/>
              </w:rPr>
              <w:t>(9130), Ls 5.4 Vápnomilné bukové lesy</w:t>
            </w:r>
            <w:r w:rsidR="00BE620A">
              <w:rPr>
                <w:bCs/>
              </w:rPr>
              <w:t xml:space="preserve"> </w:t>
            </w:r>
            <w:r w:rsidR="00BE620A" w:rsidRPr="00BE620A">
              <w:rPr>
                <w:bCs/>
              </w:rPr>
              <w:t>(9150), Sk 1 Karbonátové skalné steny a svahy so štrbinovou vegetáciou</w:t>
            </w:r>
            <w:r w:rsidR="00BE620A">
              <w:rPr>
                <w:bCs/>
              </w:rPr>
              <w:t xml:space="preserve"> </w:t>
            </w:r>
            <w:r w:rsidR="00BE620A" w:rsidRPr="00BE620A">
              <w:rPr>
                <w:bCs/>
              </w:rPr>
              <w:t>(8210), Sk 8 Nesprístupnené jaskynné útvary</w:t>
            </w:r>
            <w:r w:rsidR="00BE620A">
              <w:rPr>
                <w:bCs/>
              </w:rPr>
              <w:t xml:space="preserve"> (8310).</w:t>
            </w:r>
          </w:p>
          <w:p w:rsidR="001B5EEC" w:rsidRPr="00201729" w:rsidRDefault="00DA6872" w:rsidP="00201729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Predmetom ochrany </w:t>
            </w:r>
            <w:r w:rsidR="0033283B">
              <w:rPr>
                <w:bCs/>
              </w:rPr>
              <w:t xml:space="preserve">sú </w:t>
            </w:r>
            <w:r>
              <w:rPr>
                <w:bCs/>
              </w:rPr>
              <w:t xml:space="preserve">tiež </w:t>
            </w:r>
            <w:r w:rsidR="00E63452" w:rsidRPr="002E4D28">
              <w:rPr>
                <w:bCs/>
                <w:u w:val="single"/>
              </w:rPr>
              <w:t xml:space="preserve">biotop </w:t>
            </w:r>
            <w:r w:rsidR="0033283B">
              <w:rPr>
                <w:bCs/>
                <w:u w:val="single"/>
              </w:rPr>
              <w:t xml:space="preserve"> </w:t>
            </w:r>
            <w:r w:rsidRPr="002E4D28">
              <w:rPr>
                <w:bCs/>
                <w:u w:val="single"/>
              </w:rPr>
              <w:t>druh</w:t>
            </w:r>
            <w:r w:rsidR="00BE620A">
              <w:rPr>
                <w:bCs/>
                <w:u w:val="single"/>
              </w:rPr>
              <w:t>u</w:t>
            </w:r>
            <w:r w:rsidRPr="002E4D28">
              <w:rPr>
                <w:bCs/>
                <w:u w:val="single"/>
              </w:rPr>
              <w:t xml:space="preserve"> rastl</w:t>
            </w:r>
            <w:r w:rsidR="00EA743A">
              <w:rPr>
                <w:bCs/>
                <w:u w:val="single"/>
              </w:rPr>
              <w:t>i</w:t>
            </w:r>
            <w:r w:rsidRPr="002E4D28">
              <w:rPr>
                <w:bCs/>
                <w:u w:val="single"/>
              </w:rPr>
              <w:t>n</w:t>
            </w:r>
            <w:r w:rsidR="00EA743A">
              <w:rPr>
                <w:bCs/>
                <w:u w:val="single"/>
              </w:rPr>
              <w:t>y</w:t>
            </w:r>
            <w:r w:rsidRPr="002E4D28">
              <w:rPr>
                <w:bCs/>
                <w:u w:val="single"/>
              </w:rPr>
              <w:t xml:space="preserve"> európskeho významu</w:t>
            </w:r>
            <w:r w:rsidR="00573B95">
              <w:rPr>
                <w:bCs/>
              </w:rPr>
              <w:t>:</w:t>
            </w:r>
            <w:r w:rsidR="00060013">
              <w:rPr>
                <w:bCs/>
              </w:rPr>
              <w:t xml:space="preserve"> </w:t>
            </w:r>
            <w:r w:rsidR="00BE620A" w:rsidRPr="00BE620A">
              <w:rPr>
                <w:bCs/>
              </w:rPr>
              <w:t>kyjanôčka zelená</w:t>
            </w:r>
            <w:r w:rsidR="000B7829">
              <w:rPr>
                <w:bCs/>
              </w:rPr>
              <w:t xml:space="preserve"> </w:t>
            </w:r>
            <w:r w:rsidR="000B7829" w:rsidRPr="00201729">
              <w:rPr>
                <w:bCs/>
                <w:i/>
              </w:rPr>
              <w:t>(Buxbaumia viridis</w:t>
            </w:r>
            <w:r w:rsidR="00A127A2">
              <w:rPr>
                <w:bCs/>
                <w:i/>
              </w:rPr>
              <w:t xml:space="preserve"> </w:t>
            </w:r>
            <w:bookmarkStart w:id="0" w:name="_GoBack"/>
            <w:r w:rsidR="00A127A2" w:rsidRPr="00E46A6C">
              <w:rPr>
                <w:iCs/>
              </w:rPr>
              <w:t>(Moug.)Moug.</w:t>
            </w:r>
            <w:bookmarkEnd w:id="0"/>
            <w:r w:rsidR="00A127A2" w:rsidRPr="00A127A2">
              <w:t xml:space="preserve"> </w:t>
            </w:r>
            <w:r w:rsidR="00A127A2" w:rsidRPr="00E46A6C">
              <w:rPr>
                <w:iCs/>
              </w:rPr>
              <w:t>&amp;Nestl. (o)</w:t>
            </w:r>
            <w:r w:rsidR="00B364AF" w:rsidRPr="00E46A6C">
              <w:rPr>
                <w:bCs/>
              </w:rPr>
              <w:t>)</w:t>
            </w:r>
            <w:r w:rsidR="00A127A2">
              <w:rPr>
                <w:bCs/>
              </w:rPr>
              <w:t>;</w:t>
            </w:r>
            <w:r w:rsidR="00B364AF">
              <w:rPr>
                <w:bCs/>
                <w:i/>
              </w:rPr>
              <w:t xml:space="preserve"> </w:t>
            </w:r>
            <w:r w:rsidR="0033283B" w:rsidRPr="00743D90">
              <w:rPr>
                <w:bCs/>
                <w:u w:val="single"/>
              </w:rPr>
              <w:t xml:space="preserve">biotop </w:t>
            </w:r>
            <w:r w:rsidR="00573B95" w:rsidRPr="002E4D28">
              <w:rPr>
                <w:bCs/>
                <w:u w:val="single"/>
              </w:rPr>
              <w:t xml:space="preserve"> druh</w:t>
            </w:r>
            <w:r w:rsidR="00BE620A">
              <w:rPr>
                <w:bCs/>
                <w:u w:val="single"/>
              </w:rPr>
              <w:t>u</w:t>
            </w:r>
            <w:r w:rsidR="00573B95" w:rsidRPr="002E4D28">
              <w:rPr>
                <w:bCs/>
                <w:u w:val="single"/>
              </w:rPr>
              <w:t xml:space="preserve"> </w:t>
            </w:r>
            <w:r w:rsidR="00875A83" w:rsidRPr="002E4D28">
              <w:rPr>
                <w:bCs/>
                <w:u w:val="single"/>
              </w:rPr>
              <w:t>rastl</w:t>
            </w:r>
            <w:r w:rsidR="00EA743A">
              <w:rPr>
                <w:bCs/>
                <w:u w:val="single"/>
              </w:rPr>
              <w:t>i</w:t>
            </w:r>
            <w:r w:rsidR="00875A83" w:rsidRPr="002E4D28">
              <w:rPr>
                <w:bCs/>
                <w:u w:val="single"/>
              </w:rPr>
              <w:t>n</w:t>
            </w:r>
            <w:r w:rsidR="00EA743A">
              <w:rPr>
                <w:bCs/>
                <w:u w:val="single"/>
              </w:rPr>
              <w:t>y</w:t>
            </w:r>
            <w:r w:rsidR="00875A83" w:rsidRPr="002E4D28">
              <w:rPr>
                <w:bCs/>
                <w:u w:val="single"/>
              </w:rPr>
              <w:t xml:space="preserve"> </w:t>
            </w:r>
            <w:r w:rsidR="00573B95" w:rsidRPr="002E4D28">
              <w:rPr>
                <w:bCs/>
                <w:u w:val="single"/>
              </w:rPr>
              <w:t>národného význam</w:t>
            </w:r>
            <w:r w:rsidR="00573B95" w:rsidRPr="00C00DF7">
              <w:rPr>
                <w:bCs/>
              </w:rPr>
              <w:t>:</w:t>
            </w:r>
            <w:r w:rsidR="00BE620A" w:rsidRPr="00C00DF7">
              <w:rPr>
                <w:bCs/>
              </w:rPr>
              <w:t xml:space="preserve"> smrečinovec plazivý </w:t>
            </w:r>
            <w:r w:rsidR="00BE620A" w:rsidRPr="00201729">
              <w:rPr>
                <w:bCs/>
                <w:i/>
              </w:rPr>
              <w:t>(</w:t>
            </w:r>
            <w:r w:rsidR="00BE620A" w:rsidRPr="00C00DF7">
              <w:rPr>
                <w:bCs/>
                <w:i/>
              </w:rPr>
              <w:t>Goodyera repe</w:t>
            </w:r>
            <w:r w:rsidR="000B7829">
              <w:rPr>
                <w:bCs/>
                <w:i/>
              </w:rPr>
              <w:t xml:space="preserve"> </w:t>
            </w:r>
            <w:r w:rsidR="000B7829" w:rsidRPr="00201729">
              <w:t>(L.) R. Br.</w:t>
            </w:r>
            <w:r w:rsidR="000B7829" w:rsidRPr="00201729">
              <w:rPr>
                <w:i/>
              </w:rPr>
              <w:t>)</w:t>
            </w:r>
            <w:r w:rsidR="00BE620A">
              <w:rPr>
                <w:bCs/>
                <w:i/>
              </w:rPr>
              <w:t>;</w:t>
            </w:r>
            <w:r w:rsidR="00573B95" w:rsidRPr="00060013">
              <w:rPr>
                <w:bCs/>
              </w:rPr>
              <w:t xml:space="preserve"> </w:t>
            </w:r>
            <w:r w:rsidR="00E63452" w:rsidRPr="002E4D28">
              <w:rPr>
                <w:bCs/>
                <w:u w:val="single"/>
              </w:rPr>
              <w:t>biotop</w:t>
            </w:r>
            <w:r w:rsidR="0033283B">
              <w:rPr>
                <w:bCs/>
                <w:u w:val="single"/>
              </w:rPr>
              <w:t>y</w:t>
            </w:r>
            <w:r w:rsidR="00E63452" w:rsidRPr="002E4D28">
              <w:rPr>
                <w:bCs/>
                <w:u w:val="single"/>
              </w:rPr>
              <w:t xml:space="preserve"> </w:t>
            </w:r>
            <w:r w:rsidR="00BE620A">
              <w:rPr>
                <w:bCs/>
                <w:u w:val="single"/>
              </w:rPr>
              <w:t>5</w:t>
            </w:r>
            <w:r w:rsidR="00BE391E">
              <w:rPr>
                <w:bCs/>
                <w:u w:val="single"/>
              </w:rPr>
              <w:t xml:space="preserve"> </w:t>
            </w:r>
            <w:r w:rsidR="0033283B">
              <w:rPr>
                <w:bCs/>
                <w:u w:val="single"/>
              </w:rPr>
              <w:t xml:space="preserve">druhov </w:t>
            </w:r>
            <w:r w:rsidRPr="002E4D28">
              <w:rPr>
                <w:bCs/>
                <w:u w:val="single"/>
              </w:rPr>
              <w:t>živočíchov európskeho významu</w:t>
            </w:r>
            <w:r w:rsidR="006B0D9F">
              <w:rPr>
                <w:bCs/>
                <w:u w:val="single"/>
              </w:rPr>
              <w:t>:</w:t>
            </w:r>
            <w:r w:rsidR="006B0D9F">
              <w:t xml:space="preserve"> </w:t>
            </w:r>
            <w:r w:rsidR="00BE620A">
              <w:t xml:space="preserve">kunka žltobruchá </w:t>
            </w:r>
            <w:r w:rsidR="00BE620A" w:rsidRPr="00201729">
              <w:rPr>
                <w:i/>
              </w:rPr>
              <w:t>(</w:t>
            </w:r>
            <w:r w:rsidR="00BE620A" w:rsidRPr="00B364AF">
              <w:rPr>
                <w:i/>
              </w:rPr>
              <w:t>Bombina variegata</w:t>
            </w:r>
            <w:r w:rsidR="00BE620A" w:rsidRPr="00201729">
              <w:rPr>
                <w:i/>
              </w:rPr>
              <w:t>)</w:t>
            </w:r>
            <w:r w:rsidR="00BE620A">
              <w:t>, podkovár malý</w:t>
            </w:r>
            <w:r w:rsidR="008B1A0C">
              <w:t>/podkovár krpatý</w:t>
            </w:r>
            <w:r w:rsidR="00BE620A">
              <w:t xml:space="preserve"> </w:t>
            </w:r>
            <w:r w:rsidR="00BE620A" w:rsidRPr="00201729">
              <w:rPr>
                <w:i/>
              </w:rPr>
              <w:t>(</w:t>
            </w:r>
            <w:r w:rsidR="00BE620A" w:rsidRPr="00B364AF">
              <w:rPr>
                <w:i/>
              </w:rPr>
              <w:t>Rhinolophus hipposideros</w:t>
            </w:r>
            <w:r w:rsidR="00BE620A" w:rsidRPr="00201729">
              <w:rPr>
                <w:i/>
              </w:rPr>
              <w:t>)</w:t>
            </w:r>
            <w:r w:rsidR="00BE620A">
              <w:t xml:space="preserve">, </w:t>
            </w:r>
            <w:r w:rsidR="008B1A0C">
              <w:t>uchaňa čierna/</w:t>
            </w:r>
            <w:r w:rsidR="00BE620A">
              <w:t>netopier čierny (</w:t>
            </w:r>
            <w:r w:rsidR="00BE620A" w:rsidRPr="00117D58">
              <w:rPr>
                <w:i/>
              </w:rPr>
              <w:t>Barbastella barbastellus</w:t>
            </w:r>
            <w:r w:rsidR="00BE620A">
              <w:t xml:space="preserve">), </w:t>
            </w:r>
            <w:r w:rsidR="008B1A0C">
              <w:t>netopier veľký/</w:t>
            </w:r>
            <w:r w:rsidR="00BE620A">
              <w:t xml:space="preserve">netopier obyčajný </w:t>
            </w:r>
            <w:r w:rsidR="00BE620A" w:rsidRPr="00201729">
              <w:rPr>
                <w:i/>
              </w:rPr>
              <w:t>(</w:t>
            </w:r>
            <w:r w:rsidR="00BE620A" w:rsidRPr="00B364AF">
              <w:rPr>
                <w:i/>
              </w:rPr>
              <w:t>Myotis myotis</w:t>
            </w:r>
            <w:r w:rsidR="00BE620A" w:rsidRPr="00201729">
              <w:rPr>
                <w:i/>
              </w:rPr>
              <w:t>)</w:t>
            </w:r>
            <w:r w:rsidR="00BE620A">
              <w:t xml:space="preserve">, netopier brvitý </w:t>
            </w:r>
            <w:r w:rsidR="00BE620A" w:rsidRPr="00201729">
              <w:rPr>
                <w:i/>
              </w:rPr>
              <w:t>(</w:t>
            </w:r>
            <w:r w:rsidR="00BE620A" w:rsidRPr="00B364AF">
              <w:rPr>
                <w:i/>
              </w:rPr>
              <w:t>Myotis emarginatus</w:t>
            </w:r>
            <w:r w:rsidR="00BE620A" w:rsidRPr="00201729">
              <w:rPr>
                <w:i/>
              </w:rPr>
              <w:t>)</w:t>
            </w:r>
            <w:r w:rsidR="00517F36">
              <w:t>.</w:t>
            </w:r>
          </w:p>
          <w:p w:rsidR="00517F36" w:rsidRDefault="00517F36">
            <w:pPr>
              <w:autoSpaceDE w:val="0"/>
              <w:spacing w:line="276" w:lineRule="auto"/>
              <w:jc w:val="both"/>
            </w:pPr>
          </w:p>
          <w:p w:rsidR="00517F36" w:rsidRPr="00C93990" w:rsidRDefault="00517F36" w:rsidP="00FE040B">
            <w:pPr>
              <w:spacing w:line="276" w:lineRule="auto"/>
              <w:jc w:val="both"/>
              <w:rPr>
                <w:rFonts w:eastAsia="Calibri"/>
                <w:strike/>
              </w:rPr>
            </w:pPr>
            <w:r w:rsidRPr="00907A17">
              <w:rPr>
                <w:rFonts w:eastAsia="Calibri"/>
              </w:rPr>
              <w:t>Na stav chráneného územia a predmety jeho ochrany môžu mať priamy vplyv aktivity človeka</w:t>
            </w:r>
            <w:r>
              <w:rPr>
                <w:rFonts w:eastAsia="Calibri"/>
              </w:rPr>
              <w:t>, hlavne</w:t>
            </w:r>
            <w:r w:rsidRPr="00907A17">
              <w:rPr>
                <w:rFonts w:eastAsia="Calibri"/>
              </w:rPr>
              <w:t xml:space="preserve"> intenzívne lesné obhospodarovanie. Faktormi ohrozenia sú najmä zmena svetelných a mikroklimatických pomerov ťažbou a presvetlením porastov, tvorba veľkoplošných obnovných prvkov, zmena drevinového zloženia, úbytok mŕtveho dreva a používanie insekticídov, ktoré znižujú ponuku potravy pre netopiere. Dôležité  je zabezpečiť ponechávanie mŕtveho dreva v porastoch, celoročnú ochranu dutinových stromov a to aj počas obnovy rubných porastov. </w:t>
            </w:r>
          </w:p>
          <w:p w:rsidR="001F7966" w:rsidRPr="00D346CF" w:rsidRDefault="001F7966" w:rsidP="002737EC">
            <w:pPr>
              <w:spacing w:line="276" w:lineRule="auto"/>
              <w:jc w:val="both"/>
            </w:pPr>
          </w:p>
          <w:p w:rsidR="001B5EEC" w:rsidRPr="00D346CF" w:rsidRDefault="001B5EEC" w:rsidP="002737EC">
            <w:pPr>
              <w:spacing w:line="276" w:lineRule="auto"/>
              <w:jc w:val="both"/>
            </w:pPr>
            <w:r w:rsidRPr="00D346CF">
              <w:t>Hodnotenie vplyvov na jednotlivé zložky životného prostredia:</w:t>
            </w:r>
          </w:p>
          <w:p w:rsidR="00F330AF" w:rsidRPr="00D346CF" w:rsidRDefault="00F330AF" w:rsidP="002737EC">
            <w:pPr>
              <w:spacing w:line="276" w:lineRule="auto"/>
              <w:jc w:val="both"/>
            </w:pPr>
          </w:p>
          <w:p w:rsidR="001B5EEC" w:rsidRPr="00D346CF" w:rsidRDefault="001B5EEC" w:rsidP="002737EC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346C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561"/>
              <w:gridCol w:w="5365"/>
            </w:tblGrid>
            <w:tr w:rsidR="001B5EEC" w:rsidRPr="00D346CF" w:rsidTr="002737EC">
              <w:tc>
                <w:tcPr>
                  <w:tcW w:w="3561" w:type="dxa"/>
                </w:tcPr>
                <w:p w:rsidR="001B5EEC" w:rsidRPr="00D346CF" w:rsidRDefault="001B5EEC" w:rsidP="002737EC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346CF">
                    <w:rPr>
                      <w:i/>
                    </w:rPr>
                    <w:t>typ vplyvu</w:t>
                  </w:r>
                </w:p>
              </w:tc>
              <w:tc>
                <w:tcPr>
                  <w:tcW w:w="5365" w:type="dxa"/>
                </w:tcPr>
                <w:p w:rsidR="001B5EEC" w:rsidRPr="00D346CF" w:rsidRDefault="001B5EEC" w:rsidP="002737EC">
                  <w:pPr>
                    <w:spacing w:line="276" w:lineRule="auto"/>
                    <w:jc w:val="both"/>
                  </w:pPr>
                  <w:r w:rsidRPr="00D346CF">
                    <w:t>pozitívny, s</w:t>
                  </w:r>
                  <w:r w:rsidR="001466BF" w:rsidRPr="00D346CF">
                    <w:t xml:space="preserve"> </w:t>
                  </w:r>
                  <w:r w:rsidRPr="00D346CF">
                    <w:t xml:space="preserve">priamym environmentálnym </w:t>
                  </w:r>
                  <w:r w:rsidR="00BE192B">
                    <w:t>vplyvom</w:t>
                  </w:r>
                  <w:r w:rsidRPr="00D346CF">
                    <w:t>, trvalý</w:t>
                  </w:r>
                </w:p>
              </w:tc>
            </w:tr>
            <w:tr w:rsidR="001B5EEC" w:rsidRPr="00D346CF" w:rsidTr="002737EC">
              <w:tc>
                <w:tcPr>
                  <w:tcW w:w="3561" w:type="dxa"/>
                </w:tcPr>
                <w:p w:rsidR="001B5EEC" w:rsidRPr="00D346CF" w:rsidRDefault="001B5EEC" w:rsidP="002737EC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346C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365" w:type="dxa"/>
                </w:tcPr>
                <w:p w:rsidR="001B5EEC" w:rsidRPr="00D346CF" w:rsidRDefault="001B5EEC" w:rsidP="002737EC">
                  <w:pPr>
                    <w:spacing w:line="276" w:lineRule="auto"/>
                    <w:jc w:val="both"/>
                  </w:pPr>
                  <w:r w:rsidRPr="00D346CF">
                    <w:t>veľký</w:t>
                  </w:r>
                </w:p>
              </w:tc>
            </w:tr>
            <w:tr w:rsidR="001B5EEC" w:rsidRPr="00D346CF" w:rsidTr="002737EC">
              <w:tc>
                <w:tcPr>
                  <w:tcW w:w="3561" w:type="dxa"/>
                </w:tcPr>
                <w:p w:rsidR="001B5EEC" w:rsidRPr="00D346CF" w:rsidRDefault="001B5EEC" w:rsidP="002737EC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346C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365" w:type="dxa"/>
                </w:tcPr>
                <w:p w:rsidR="001B5EEC" w:rsidRPr="00D346CF" w:rsidRDefault="003D19EF" w:rsidP="002737EC">
                  <w:pPr>
                    <w:spacing w:line="276" w:lineRule="auto"/>
                    <w:jc w:val="both"/>
                  </w:pPr>
                  <w:r>
                    <w:t xml:space="preserve">územie </w:t>
                  </w:r>
                  <w:r w:rsidR="00BE620A">
                    <w:t>PR</w:t>
                  </w:r>
                  <w:r>
                    <w:t>,</w:t>
                  </w:r>
                  <w:r w:rsidR="00BC3339">
                    <w:t xml:space="preserve"> resp. okolie</w:t>
                  </w:r>
                </w:p>
              </w:tc>
            </w:tr>
            <w:tr w:rsidR="001B5EEC" w:rsidRPr="00D346CF" w:rsidTr="002737EC">
              <w:tc>
                <w:tcPr>
                  <w:tcW w:w="3561" w:type="dxa"/>
                </w:tcPr>
                <w:p w:rsidR="001B5EEC" w:rsidRPr="00D346CF" w:rsidRDefault="001B5EEC" w:rsidP="002737EC">
                  <w:pPr>
                    <w:spacing w:line="276" w:lineRule="auto"/>
                    <w:rPr>
                      <w:i/>
                    </w:rPr>
                  </w:pPr>
                  <w:r w:rsidRPr="00D346CF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5365" w:type="dxa"/>
                </w:tcPr>
                <w:p w:rsidR="001B5EEC" w:rsidRPr="00D346CF" w:rsidRDefault="001B5EEC" w:rsidP="002737EC">
                  <w:pPr>
                    <w:spacing w:line="276" w:lineRule="auto"/>
                    <w:jc w:val="both"/>
                  </w:pPr>
                  <w:r w:rsidRPr="00D346CF">
                    <w:t>veľmi významný, priaznivý</w:t>
                  </w:r>
                </w:p>
              </w:tc>
            </w:tr>
          </w:tbl>
          <w:p w:rsidR="001B5EEC" w:rsidRPr="002737EC" w:rsidRDefault="002D0B1A" w:rsidP="002737EC">
            <w:pPr>
              <w:pStyle w:val="Normlnywebov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Vyhlásen</w:t>
            </w:r>
            <w:r w:rsidR="00490B63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ie</w:t>
            </w:r>
            <w:r w:rsidR="003D19EF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BE620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PR Homoľa </w:t>
            </w:r>
            <w:r w:rsidR="00490B63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významn</w:t>
            </w:r>
            <w:r w:rsidR="0051256C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e </w:t>
            </w:r>
            <w:r w:rsidR="00490B63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prispeje k </w:t>
            </w:r>
            <w:r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024E4B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zachovani</w:t>
            </w:r>
            <w:r w:rsidR="00CD127B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</w:t>
            </w:r>
            <w:r w:rsidR="00BE192B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,</w:t>
            </w:r>
            <w:r w:rsidR="00024E4B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resp. </w:t>
            </w:r>
            <w:r w:rsidR="00A61513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obnoveni</w:t>
            </w:r>
            <w:r w:rsidR="00CD127B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</w:t>
            </w:r>
            <w:r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BA1FA3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priaznivého </w:t>
            </w:r>
            <w:r w:rsidR="008D3422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stavu</w:t>
            </w:r>
            <w:r w:rsidR="00A1145C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vyššie uvedených</w:t>
            </w:r>
            <w:r w:rsidR="008D3422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F64F2D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biotopov európskeho</w:t>
            </w:r>
            <w:r w:rsidR="0051256C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F64F2D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významu a  </w:t>
            </w:r>
            <w:r w:rsidR="00024E4B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druhov </w:t>
            </w:r>
            <w:r w:rsidR="00EA743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rastlín a </w:t>
            </w:r>
            <w:r w:rsidR="004C47B7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živočíchov</w:t>
            </w:r>
            <w:r w:rsidR="00061135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024E4B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európskeho</w:t>
            </w:r>
            <w:r w:rsidR="00BE620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EA743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a národného </w:t>
            </w:r>
            <w:r w:rsidR="00BE620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významu,</w:t>
            </w:r>
            <w:r w:rsidR="00024E4B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ktoré t</w:t>
            </w:r>
            <w:r w:rsidR="00F64F2D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voria predmet ochrany </w:t>
            </w:r>
            <w:r w:rsidR="00CD127B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navrhovan</w:t>
            </w:r>
            <w:r w:rsidR="00BE620A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ej PR</w:t>
            </w:r>
            <w:r w:rsidR="008B01AF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. </w:t>
            </w:r>
            <w:r w:rsidR="00BC3339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</w:t>
            </w:r>
            <w:r w:rsidR="007D084C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sledným </w:t>
            </w:r>
            <w:r w:rsidR="00490B63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prínosom</w:t>
            </w:r>
            <w:r w:rsidR="00BC3339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7D084C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bude zachovanie alebo zlepšenie stavu </w:t>
            </w:r>
            <w:r w:rsidR="00BC3339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aj ďalších </w:t>
            </w:r>
            <w:r w:rsidR="00F64F2D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biotopov a </w:t>
            </w:r>
            <w:r w:rsidR="007D084C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druhov živých organizmov</w:t>
            </w:r>
            <w:r w:rsidR="004C47B7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v danom území</w:t>
            </w:r>
            <w:r w:rsidR="00BC3339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 jeho okolí</w:t>
            </w:r>
            <w:r w:rsidR="00274DFE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a zachovanie biologickej diverzity</w:t>
            </w:r>
            <w:r w:rsidR="007539B5" w:rsidRPr="006B72CC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  <w:p w:rsidR="00F84CD3" w:rsidRPr="00911663" w:rsidRDefault="00F84CD3" w:rsidP="002737EC">
            <w:pPr>
              <w:spacing w:line="276" w:lineRule="auto"/>
              <w:jc w:val="both"/>
            </w:pPr>
          </w:p>
          <w:p w:rsidR="001B5EEC" w:rsidRPr="00C97DC8" w:rsidRDefault="001B5EEC" w:rsidP="002737EC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3277"/>
              <w:gridCol w:w="5649"/>
            </w:tblGrid>
            <w:tr w:rsidR="001B5EEC" w:rsidRPr="00911663" w:rsidTr="002737EC">
              <w:tc>
                <w:tcPr>
                  <w:tcW w:w="3277" w:type="dxa"/>
                </w:tcPr>
                <w:p w:rsidR="001B5EEC" w:rsidRPr="00911663" w:rsidRDefault="001B5EEC" w:rsidP="002737EC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49" w:type="dxa"/>
                </w:tcPr>
                <w:p w:rsidR="001B5EEC" w:rsidRPr="00911663" w:rsidRDefault="001B5EEC" w:rsidP="002737EC">
                  <w:pPr>
                    <w:spacing w:line="276" w:lineRule="auto"/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F7966">
                    <w:t>nepriamym</w:t>
                  </w:r>
                  <w:r w:rsidRPr="00911663">
                    <w:t xml:space="preserve"> environmentálnym </w:t>
                  </w:r>
                  <w:r w:rsidR="00BE192B">
                    <w:t>vplyvom</w:t>
                  </w:r>
                  <w:r w:rsidRPr="00911663">
                    <w:t>, trvalý</w:t>
                  </w:r>
                </w:p>
              </w:tc>
            </w:tr>
            <w:tr w:rsidR="001B5EEC" w:rsidRPr="00911663" w:rsidTr="002737EC">
              <w:tc>
                <w:tcPr>
                  <w:tcW w:w="3277" w:type="dxa"/>
                </w:tcPr>
                <w:p w:rsidR="001B5EEC" w:rsidRPr="00911663" w:rsidRDefault="001B5EEC" w:rsidP="002737EC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49" w:type="dxa"/>
                </w:tcPr>
                <w:p w:rsidR="001B5EEC" w:rsidRPr="00911663" w:rsidRDefault="001F7966" w:rsidP="002737EC">
                  <w:pPr>
                    <w:spacing w:line="276" w:lineRule="auto"/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:rsidTr="002737EC">
              <w:tc>
                <w:tcPr>
                  <w:tcW w:w="3277" w:type="dxa"/>
                </w:tcPr>
                <w:p w:rsidR="001B5EEC" w:rsidRPr="00911663" w:rsidRDefault="001B5EEC" w:rsidP="002737EC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49" w:type="dxa"/>
                </w:tcPr>
                <w:p w:rsidR="001B5EEC" w:rsidRPr="00911663" w:rsidRDefault="003D19EF" w:rsidP="002737EC">
                  <w:pPr>
                    <w:spacing w:line="276" w:lineRule="auto"/>
                    <w:jc w:val="both"/>
                  </w:pPr>
                  <w:r>
                    <w:t xml:space="preserve">územie </w:t>
                  </w:r>
                  <w:r w:rsidR="00BE620A">
                    <w:t>PR</w:t>
                  </w:r>
                  <w:r>
                    <w:t>, resp. okolie</w:t>
                  </w:r>
                </w:p>
              </w:tc>
            </w:tr>
            <w:tr w:rsidR="001B5EEC" w:rsidRPr="00911663" w:rsidTr="002737EC">
              <w:tc>
                <w:tcPr>
                  <w:tcW w:w="3277" w:type="dxa"/>
                </w:tcPr>
                <w:p w:rsidR="001B5EEC" w:rsidRPr="00911663" w:rsidRDefault="00457976" w:rsidP="002737EC">
                  <w:pPr>
                    <w:spacing w:line="276" w:lineRule="auto"/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49" w:type="dxa"/>
                </w:tcPr>
                <w:p w:rsidR="001B5EEC" w:rsidRPr="00911663" w:rsidRDefault="001F7966" w:rsidP="002737EC">
                  <w:pPr>
                    <w:spacing w:line="276" w:lineRule="auto"/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1B5EEC" w:rsidRDefault="001B5EEC" w:rsidP="002737EC">
            <w:pPr>
              <w:spacing w:line="276" w:lineRule="auto"/>
              <w:jc w:val="both"/>
            </w:pPr>
          </w:p>
          <w:p w:rsidR="006221A5" w:rsidRDefault="00061135" w:rsidP="00FE040B">
            <w:pPr>
              <w:spacing w:line="276" w:lineRule="auto"/>
              <w:jc w:val="both"/>
            </w:pPr>
            <w:r>
              <w:t xml:space="preserve">Cieľom predkladaného materiálu nie je ochrana vôd, ale </w:t>
            </w:r>
            <w:r w:rsidR="006221A5">
              <w:t>časť PR Homoľa je tvorená podzemným tokom a ním vytva</w:t>
            </w:r>
            <w:r w:rsidR="00FE040B">
              <w:t>rova</w:t>
            </w:r>
            <w:r w:rsidR="006221A5">
              <w:t xml:space="preserve">ným jaskynným systémom. Aj keď predmety ochrany nie sú priamo naviazané na vodné prostredie, </w:t>
            </w:r>
            <w:r w:rsidR="006221A5">
              <w:lastRenderedPageBreak/>
              <w:t xml:space="preserve">vyhlásením PR Homoľa bude zabezpečená aj právna ochrana časti podzemného vodného toku, čo môže prispieť k zlepšeniu jeho stavu. </w:t>
            </w:r>
          </w:p>
          <w:p w:rsidR="00061135" w:rsidRDefault="00061135" w:rsidP="002737EC">
            <w:pPr>
              <w:spacing w:line="276" w:lineRule="auto"/>
              <w:jc w:val="both"/>
            </w:pPr>
          </w:p>
          <w:p w:rsidR="001B5EEC" w:rsidRPr="00C97DC8" w:rsidRDefault="001B5EEC" w:rsidP="002737EC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5649"/>
            </w:tblGrid>
            <w:tr w:rsidR="001B5EEC" w:rsidRPr="00911663" w:rsidTr="002737EC">
              <w:tc>
                <w:tcPr>
                  <w:tcW w:w="3277" w:type="dxa"/>
                </w:tcPr>
                <w:p w:rsidR="001B5EEC" w:rsidRPr="00911663" w:rsidRDefault="001B5EEC" w:rsidP="002737EC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49" w:type="dxa"/>
                </w:tcPr>
                <w:p w:rsidR="001B5EEC" w:rsidRPr="00911663" w:rsidRDefault="001B5EEC" w:rsidP="002737EC">
                  <w:pPr>
                    <w:spacing w:line="276" w:lineRule="auto"/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 xml:space="preserve">priamym environmentálnym </w:t>
                  </w:r>
                  <w:r w:rsidR="00BE192B">
                    <w:t>vplyvom</w:t>
                  </w:r>
                  <w:r w:rsidRPr="00911663">
                    <w:t>, trvalý</w:t>
                  </w:r>
                </w:p>
              </w:tc>
            </w:tr>
            <w:tr w:rsidR="001B5EEC" w:rsidRPr="00911663" w:rsidTr="002737EC">
              <w:tc>
                <w:tcPr>
                  <w:tcW w:w="3277" w:type="dxa"/>
                </w:tcPr>
                <w:p w:rsidR="001B5EEC" w:rsidRPr="00911663" w:rsidRDefault="001B5EEC" w:rsidP="002737EC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49" w:type="dxa"/>
                </w:tcPr>
                <w:p w:rsidR="001B5EEC" w:rsidRPr="00911663" w:rsidRDefault="001B5EEC" w:rsidP="002737EC">
                  <w:pPr>
                    <w:spacing w:line="276" w:lineRule="auto"/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:rsidTr="002737EC">
              <w:tc>
                <w:tcPr>
                  <w:tcW w:w="3277" w:type="dxa"/>
                </w:tcPr>
                <w:p w:rsidR="001B5EEC" w:rsidRPr="00911663" w:rsidRDefault="001B5EEC" w:rsidP="002737EC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49" w:type="dxa"/>
                </w:tcPr>
                <w:p w:rsidR="001B5EEC" w:rsidRPr="00911663" w:rsidRDefault="003D19EF" w:rsidP="002737EC">
                  <w:pPr>
                    <w:spacing w:line="276" w:lineRule="auto"/>
                    <w:jc w:val="both"/>
                  </w:pPr>
                  <w:r>
                    <w:t xml:space="preserve">územie </w:t>
                  </w:r>
                  <w:r w:rsidR="00BE620A">
                    <w:t>PR</w:t>
                  </w:r>
                  <w:r>
                    <w:t>, resp. okolie</w:t>
                  </w:r>
                </w:p>
              </w:tc>
            </w:tr>
            <w:tr w:rsidR="001B5EEC" w:rsidRPr="00911663" w:rsidTr="002737EC">
              <w:tc>
                <w:tcPr>
                  <w:tcW w:w="3277" w:type="dxa"/>
                </w:tcPr>
                <w:p w:rsidR="001B5EEC" w:rsidRPr="00911663" w:rsidRDefault="00457976" w:rsidP="002737EC">
                  <w:pPr>
                    <w:spacing w:line="276" w:lineRule="auto"/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49" w:type="dxa"/>
                </w:tcPr>
                <w:p w:rsidR="001B5EEC" w:rsidRPr="00911663" w:rsidRDefault="00122E3C" w:rsidP="002737EC">
                  <w:pPr>
                    <w:spacing w:line="276" w:lineRule="auto"/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:rsidR="006221A5" w:rsidRDefault="006221A5" w:rsidP="006221A5">
            <w:pPr>
              <w:jc w:val="both"/>
            </w:pPr>
          </w:p>
          <w:p w:rsidR="00EA743A" w:rsidRDefault="00EA743A" w:rsidP="00EA743A">
            <w:pPr>
              <w:spacing w:line="276" w:lineRule="auto"/>
              <w:jc w:val="both"/>
            </w:pPr>
            <w:r w:rsidRPr="00825C7F">
              <w:t>Podložie PR Homoľa buduje vápencový horninový súbor, prislúchajúci muránskemu príkrovu, ktorý je súčasťou silickej geologickej jednotky. Z juhovýchodu sa vápence stýkajú pozdĺž muránskej tektonickej línie s hercýnskymi granitoidnými horninami kohútskeho masívu. Mikrofaunou stanovený strednotriasový vek zastupujú organodetritické steinalmské vápence s lokálnymi polohami dolomitov a hľuznaté schreyeralmské vápence vo vyšších častiach masívu Homoľa. Poruchové zóny a litológia predisponovali vývoj krasových procesov najmä v steinalmských vápencoch, kde smerná dĺžka jaskynného systému dosahuje vyše 1 km.</w:t>
            </w:r>
          </w:p>
          <w:p w:rsidR="00EA743A" w:rsidRDefault="00EA743A" w:rsidP="00FE040B">
            <w:pPr>
              <w:spacing w:line="276" w:lineRule="auto"/>
              <w:jc w:val="both"/>
            </w:pPr>
          </w:p>
          <w:p w:rsidR="006221A5" w:rsidRDefault="006221A5" w:rsidP="00FE040B">
            <w:pPr>
              <w:spacing w:line="276" w:lineRule="auto"/>
              <w:jc w:val="both"/>
            </w:pPr>
            <w:r>
              <w:t xml:space="preserve">Vyhlásením PR Homoľa bude okrem iného zabezpečená právna ochrana hornín tvoriacich biotopy európskeho významu, ktoré sú predmetmi ochrany - 8210 Karbonátové skalné steny a svahy so štrbinovou vegetáciou a 8310 Neprístupné jaskynné útvary. Ochrana ostatných biotopov tvoriacich predmety ochrany pozitívne ovplyvní všetky zložky okolitého ekosystému vrátane pôd. </w:t>
            </w:r>
          </w:p>
          <w:p w:rsidR="00C97DC8" w:rsidRDefault="00C97DC8" w:rsidP="002737EC">
            <w:pPr>
              <w:spacing w:line="276" w:lineRule="auto"/>
              <w:jc w:val="both"/>
            </w:pPr>
          </w:p>
          <w:p w:rsidR="009F17BF" w:rsidRPr="009F17BF" w:rsidRDefault="009F17BF" w:rsidP="002737EC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2737EC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2737EC">
                  <w:pPr>
                    <w:spacing w:line="276" w:lineRule="auto"/>
                    <w:jc w:val="both"/>
                  </w:pPr>
                  <w:r w:rsidRPr="00F330AF">
                    <w:t xml:space="preserve">pozitívny, s nepriamym environmentálnym </w:t>
                  </w:r>
                  <w:r w:rsidR="00BE192B">
                    <w:t>vplyvom</w:t>
                  </w:r>
                  <w:r w:rsidRPr="00F330AF">
                    <w:t>, trvalý</w:t>
                  </w:r>
                </w:p>
              </w:tc>
            </w:tr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2737EC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2737EC">
                  <w:pPr>
                    <w:spacing w:line="276" w:lineRule="auto"/>
                    <w:jc w:val="both"/>
                  </w:pPr>
                  <w:r w:rsidRPr="00F330AF">
                    <w:t>malý</w:t>
                  </w:r>
                </w:p>
              </w:tc>
            </w:tr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2737EC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3D19EF" w:rsidP="002737EC">
                  <w:pPr>
                    <w:spacing w:line="276" w:lineRule="auto"/>
                    <w:jc w:val="both"/>
                  </w:pPr>
                  <w:r>
                    <w:t xml:space="preserve">územie </w:t>
                  </w:r>
                  <w:r w:rsidR="00BE620A">
                    <w:t>PR</w:t>
                  </w:r>
                  <w:r>
                    <w:t>, resp. okolie</w:t>
                  </w:r>
                </w:p>
              </w:tc>
            </w:tr>
            <w:tr w:rsidR="00915935" w:rsidRPr="00911663" w:rsidTr="00915935">
              <w:tc>
                <w:tcPr>
                  <w:tcW w:w="3256" w:type="dxa"/>
                </w:tcPr>
                <w:p w:rsidR="00915935" w:rsidRPr="00F330AF" w:rsidRDefault="00915935" w:rsidP="002737EC">
                  <w:pPr>
                    <w:spacing w:line="276" w:lineRule="auto"/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:rsidR="00915935" w:rsidRPr="00F330AF" w:rsidRDefault="00915935" w:rsidP="002737EC">
                  <w:pPr>
                    <w:spacing w:line="276" w:lineRule="auto"/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:rsidR="00C97DC8" w:rsidRDefault="00C97DC8" w:rsidP="002737EC">
            <w:pPr>
              <w:spacing w:line="276" w:lineRule="auto"/>
              <w:jc w:val="both"/>
              <w:rPr>
                <w:u w:val="single"/>
              </w:rPr>
            </w:pPr>
          </w:p>
          <w:p w:rsidR="009F17BF" w:rsidRDefault="009F17BF" w:rsidP="002737EC">
            <w:pPr>
              <w:spacing w:line="276" w:lineRule="auto"/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>stavu predmetov ochrany</w:t>
            </w:r>
            <w:r w:rsidR="003D19EF">
              <w:t xml:space="preserve"> </w:t>
            </w:r>
            <w:r w:rsidR="00C00DF7">
              <w:t>PR Homoľa</w:t>
            </w:r>
            <w:r w:rsidR="002B2B0A">
              <w:t>, ktoré</w:t>
            </w:r>
            <w:r w:rsidR="008D7785">
              <w:t xml:space="preserve"> </w:t>
            </w:r>
            <w:r w:rsidR="001E5DE1">
              <w:t>pozitívne</w:t>
            </w:r>
            <w:r>
              <w:t xml:space="preserve"> ovplyvní </w:t>
            </w:r>
            <w:r w:rsidR="00061135">
              <w:t>všetky</w:t>
            </w:r>
            <w:r w:rsidR="00AA0516">
              <w:t xml:space="preserve"> zložky okolitého ekosystému vrátane ovzdušia.</w:t>
            </w:r>
          </w:p>
          <w:p w:rsidR="001B5EEC" w:rsidRPr="00A86166" w:rsidRDefault="001B5EEC" w:rsidP="002737EC">
            <w:pPr>
              <w:spacing w:line="276" w:lineRule="auto"/>
              <w:jc w:val="both"/>
              <w:rPr>
                <w:sz w:val="16"/>
                <w:szCs w:val="24"/>
              </w:rPr>
            </w:pPr>
          </w:p>
        </w:tc>
      </w:tr>
      <w:tr w:rsidR="001B5EEC" w:rsidRPr="002E32C0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:rsidR="001B5EEC" w:rsidRPr="002E32C0" w:rsidRDefault="001B5EEC" w:rsidP="002737EC">
            <w:pPr>
              <w:spacing w:line="276" w:lineRule="auto"/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:rsidTr="00F330AF">
        <w:trPr>
          <w:trHeight w:val="987"/>
        </w:trPr>
        <w:tc>
          <w:tcPr>
            <w:tcW w:w="9464" w:type="dxa"/>
          </w:tcPr>
          <w:p w:rsidR="008D7785" w:rsidRDefault="008D7785" w:rsidP="002737EC">
            <w:pPr>
              <w:spacing w:line="276" w:lineRule="auto"/>
              <w:jc w:val="both"/>
            </w:pPr>
          </w:p>
          <w:p w:rsidR="00C00DF7" w:rsidRDefault="00C00DF7" w:rsidP="00517F36">
            <w:pPr>
              <w:spacing w:line="276" w:lineRule="auto"/>
              <w:jc w:val="both"/>
            </w:pPr>
            <w:r>
              <w:t xml:space="preserve">Navrhovaná </w:t>
            </w:r>
            <w:r w:rsidR="00517F36">
              <w:t xml:space="preserve">PR </w:t>
            </w:r>
            <w:r>
              <w:t xml:space="preserve"> z</w:t>
            </w:r>
            <w:r w:rsidR="009C1BDA">
              <w:t>aberá cel</w:t>
            </w:r>
            <w:r w:rsidR="00517F36">
              <w:t>é</w:t>
            </w:r>
            <w:r w:rsidR="009C1BDA">
              <w:t xml:space="preserve"> </w:t>
            </w:r>
            <w:r w:rsidR="00BC3339">
              <w:t>územi</w:t>
            </w:r>
            <w:r w:rsidR="00517F36">
              <w:t>e</w:t>
            </w:r>
            <w:r w:rsidR="00BC3339">
              <w:t xml:space="preserve"> európskeho významu</w:t>
            </w:r>
            <w:r w:rsidR="009C1BDA">
              <w:t xml:space="preserve"> </w:t>
            </w:r>
            <w:r w:rsidR="00C73D6D" w:rsidDel="00C73D6D">
              <w:t xml:space="preserve"> </w:t>
            </w:r>
            <w:r w:rsidR="009C1BDA">
              <w:t>SKUEV0</w:t>
            </w:r>
            <w:r>
              <w:t>204</w:t>
            </w:r>
            <w:r w:rsidR="009C1BDA">
              <w:t xml:space="preserve"> </w:t>
            </w:r>
            <w:r>
              <w:t>Homoľa.</w:t>
            </w:r>
            <w:r w:rsidR="00517F36">
              <w:t xml:space="preserve"> </w:t>
            </w:r>
          </w:p>
          <w:p w:rsidR="008B01AF" w:rsidRDefault="00C00DF7" w:rsidP="00517F3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 celej výmere navrhovanej PR Homoľa sa zvýši stupeň ochrany</w:t>
            </w:r>
            <w:r w:rsidR="00517F36">
              <w:rPr>
                <w:color w:val="000000"/>
              </w:rPr>
              <w:t xml:space="preserve"> z aktuálne platného </w:t>
            </w:r>
            <w:r w:rsidRPr="00AB772A">
              <w:rPr>
                <w:rFonts w:eastAsia="Calibri"/>
              </w:rPr>
              <w:t xml:space="preserve">2. </w:t>
            </w:r>
            <w:r w:rsidR="00517F36">
              <w:rPr>
                <w:rFonts w:eastAsia="Calibri"/>
              </w:rPr>
              <w:t xml:space="preserve">stupňa </w:t>
            </w:r>
            <w:r w:rsidRPr="00AB772A">
              <w:rPr>
                <w:rFonts w:eastAsia="Calibri"/>
              </w:rPr>
              <w:t>ochrany</w:t>
            </w:r>
            <w:r>
              <w:rPr>
                <w:rFonts w:eastAsia="Calibri"/>
              </w:rPr>
              <w:t xml:space="preserve"> podľa § 13 zákona č. 543/2002 Z. z. v znení neskorších predpisov </w:t>
            </w:r>
            <w:r w:rsidR="00517F36">
              <w:rPr>
                <w:rFonts w:eastAsia="Calibri"/>
              </w:rPr>
              <w:t xml:space="preserve"> na 4</w:t>
            </w:r>
            <w:r w:rsidRPr="00AB772A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AB772A">
              <w:rPr>
                <w:rFonts w:eastAsia="Calibri"/>
              </w:rPr>
              <w:t xml:space="preserve">stupeň </w:t>
            </w:r>
            <w:r w:rsidR="00517F36">
              <w:rPr>
                <w:rFonts w:eastAsia="Calibri"/>
              </w:rPr>
              <w:t xml:space="preserve">ochrany </w:t>
            </w:r>
            <w:r w:rsidRPr="00AB772A">
              <w:rPr>
                <w:rFonts w:eastAsia="Calibri"/>
              </w:rPr>
              <w:t xml:space="preserve">podľa § 15 </w:t>
            </w:r>
            <w:r w:rsidR="00EA743A">
              <w:rPr>
                <w:rFonts w:eastAsia="Calibri"/>
              </w:rPr>
              <w:t xml:space="preserve">uvedeného </w:t>
            </w:r>
            <w:r w:rsidRPr="00AB772A">
              <w:rPr>
                <w:rFonts w:eastAsia="Calibri"/>
              </w:rPr>
              <w:t>zákona</w:t>
            </w:r>
            <w:r>
              <w:rPr>
                <w:rFonts w:eastAsia="Calibri"/>
              </w:rPr>
              <w:t xml:space="preserve"> z dôvodu zabezpečenia ochrany predmetu ochrany.</w:t>
            </w:r>
            <w:r w:rsidRPr="00C73D6D" w:rsidDel="00C00DF7">
              <w:rPr>
                <w:color w:val="000000"/>
              </w:rPr>
              <w:t xml:space="preserve"> </w:t>
            </w:r>
          </w:p>
          <w:p w:rsidR="00FE040B" w:rsidRPr="00911663" w:rsidRDefault="00FE040B" w:rsidP="00517F36">
            <w:pPr>
              <w:spacing w:line="276" w:lineRule="auto"/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2737EC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2737EC">
                  <w:pPr>
                    <w:spacing w:line="276" w:lineRule="auto"/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 xml:space="preserve">priamym environmentálnym </w:t>
                  </w:r>
                  <w:r w:rsidR="00BE192B">
                    <w:t>vplyvom</w:t>
                  </w:r>
                  <w:r w:rsidRPr="00911663">
                    <w:t>, trvalý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2737EC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93047F" w:rsidP="002737EC">
                  <w:pPr>
                    <w:spacing w:line="276" w:lineRule="auto"/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2737EC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517F36" w:rsidP="00517F36">
                  <w:pPr>
                    <w:spacing w:line="276" w:lineRule="auto"/>
                    <w:jc w:val="both"/>
                  </w:pPr>
                  <w:r>
                    <w:t xml:space="preserve">územie </w:t>
                  </w:r>
                  <w:r w:rsidR="00C00DF7">
                    <w:t>PR</w:t>
                  </w:r>
                  <w:r>
                    <w:t xml:space="preserve">, ako aj priľahlá časť Národného parku Muránska planina, Chráneného vtáčieho územia Muránska planina – Stolica a Chráneného vtáčieho územia Nízke Tatry </w:t>
                  </w:r>
                </w:p>
              </w:tc>
            </w:tr>
            <w:tr w:rsidR="001B5EEC" w:rsidRPr="00911663" w:rsidTr="006B0C15">
              <w:tc>
                <w:tcPr>
                  <w:tcW w:w="3256" w:type="dxa"/>
                </w:tcPr>
                <w:p w:rsidR="001B5EEC" w:rsidRPr="00911663" w:rsidRDefault="001B5EEC" w:rsidP="002737EC">
                  <w:pPr>
                    <w:spacing w:line="276" w:lineRule="auto"/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 w:rsidR="00E06E04"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:rsidR="001B5EEC" w:rsidRPr="00911663" w:rsidRDefault="001B5EEC" w:rsidP="002737EC">
                  <w:pPr>
                    <w:spacing w:line="276" w:lineRule="auto"/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1B5EEC" w:rsidRPr="00841720" w:rsidRDefault="001B5EEC" w:rsidP="002737EC">
            <w:pPr>
              <w:spacing w:line="276" w:lineRule="auto"/>
              <w:jc w:val="both"/>
            </w:pPr>
          </w:p>
        </w:tc>
      </w:tr>
      <w:tr w:rsidR="001B5EEC" w:rsidRPr="002E32C0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2737EC">
            <w:pPr>
              <w:spacing w:line="276" w:lineRule="auto"/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:rsidTr="00237420">
        <w:trPr>
          <w:trHeight w:val="452"/>
        </w:trPr>
        <w:tc>
          <w:tcPr>
            <w:tcW w:w="9464" w:type="dxa"/>
          </w:tcPr>
          <w:p w:rsidR="00611BCD" w:rsidRPr="00D25992" w:rsidRDefault="00C00DF7" w:rsidP="00517F3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t xml:space="preserve">Navrhovaná PR Homoľa </w:t>
            </w:r>
            <w:r w:rsidR="00085401">
              <w:t>sa prekrýva s vyššie uvedeným územ</w:t>
            </w:r>
            <w:r>
              <w:t>ím</w:t>
            </w:r>
            <w:r w:rsidR="00085401">
              <w:t xml:space="preserve"> európskej sústavy chránených území Natura 2000 a spolu s ďalšími územiami Natura 2000 vytvára podmienky pre naplnenie jej hlavného cieľa, ktorým je zachovanie prírodného dedičstva, významného nielen pre územia Slovenska, ale pre Európsku úniu ako celok.</w:t>
            </w:r>
          </w:p>
        </w:tc>
      </w:tr>
      <w:tr w:rsidR="001B5EEC" w:rsidRPr="002E32C0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:rsidR="001B5EEC" w:rsidRPr="002E32C0" w:rsidRDefault="001B5EEC" w:rsidP="002737EC">
            <w:pPr>
              <w:spacing w:line="276" w:lineRule="auto"/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5.4 Aké opatrenia budú prijaté na zmiernenie negatívneho vplyvu na životné prostredie?</w:t>
            </w:r>
          </w:p>
        </w:tc>
      </w:tr>
      <w:tr w:rsidR="001B5EEC" w:rsidRPr="002E32C0" w:rsidTr="00F330AF">
        <w:trPr>
          <w:trHeight w:val="520"/>
        </w:trPr>
        <w:tc>
          <w:tcPr>
            <w:tcW w:w="9464" w:type="dxa"/>
            <w:shd w:val="clear" w:color="auto" w:fill="FFFFFF"/>
          </w:tcPr>
          <w:p w:rsidR="00DB2F1B" w:rsidRPr="006B0C15" w:rsidRDefault="001B5EEC" w:rsidP="002737EC">
            <w:pPr>
              <w:spacing w:line="276" w:lineRule="auto"/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:rsidR="00374EDB" w:rsidRPr="002E32C0" w:rsidRDefault="00374EDB" w:rsidP="002E5351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FFF4C" w16cex:dateUtc="2021-04-01T0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42A3EE" w16cid:durableId="240FFF4C"/>
  <w16cid:commentId w16cid:paraId="5760C9F3" w16cid:durableId="240FF01F"/>
  <w16cid:commentId w16cid:paraId="413F4E72" w16cid:durableId="240FF020"/>
  <w16cid:commentId w16cid:paraId="2C2D2207" w16cid:durableId="240FF021"/>
  <w16cid:commentId w16cid:paraId="4557CB84" w16cid:durableId="23711915"/>
  <w16cid:commentId w16cid:paraId="35C686E3" w16cid:durableId="23711916"/>
  <w16cid:commentId w16cid:paraId="7E8D3A5C" w16cid:durableId="23711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BF" w:rsidRDefault="00CE4DBF" w:rsidP="00374EDB">
      <w:r>
        <w:separator/>
      </w:r>
    </w:p>
  </w:endnote>
  <w:endnote w:type="continuationSeparator" w:id="0">
    <w:p w:rsidR="00CE4DBF" w:rsidRDefault="00CE4DBF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A6C">
          <w:rPr>
            <w:noProof/>
          </w:rPr>
          <w:t>2</w:t>
        </w:r>
        <w: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BF" w:rsidRDefault="00CE4DBF" w:rsidP="00374EDB">
      <w:r>
        <w:separator/>
      </w:r>
    </w:p>
  </w:footnote>
  <w:footnote w:type="continuationSeparator" w:id="0">
    <w:p w:rsidR="00CE4DBF" w:rsidRDefault="00CE4DBF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0023"/>
    <w:rsid w:val="000130BD"/>
    <w:rsid w:val="00021A2A"/>
    <w:rsid w:val="00024E4B"/>
    <w:rsid w:val="00030246"/>
    <w:rsid w:val="000403A2"/>
    <w:rsid w:val="000564F2"/>
    <w:rsid w:val="00060013"/>
    <w:rsid w:val="00061135"/>
    <w:rsid w:val="000631A4"/>
    <w:rsid w:val="000649EE"/>
    <w:rsid w:val="00065608"/>
    <w:rsid w:val="000727C2"/>
    <w:rsid w:val="00085401"/>
    <w:rsid w:val="0009096A"/>
    <w:rsid w:val="00095CDC"/>
    <w:rsid w:val="000B15AB"/>
    <w:rsid w:val="000B7829"/>
    <w:rsid w:val="000C5587"/>
    <w:rsid w:val="000E6057"/>
    <w:rsid w:val="000F2A8C"/>
    <w:rsid w:val="000F62F5"/>
    <w:rsid w:val="00116DE1"/>
    <w:rsid w:val="001213F0"/>
    <w:rsid w:val="00122E3C"/>
    <w:rsid w:val="00126852"/>
    <w:rsid w:val="0013154B"/>
    <w:rsid w:val="00131A6B"/>
    <w:rsid w:val="001466BF"/>
    <w:rsid w:val="00155579"/>
    <w:rsid w:val="001734DC"/>
    <w:rsid w:val="00176FD2"/>
    <w:rsid w:val="00182ECA"/>
    <w:rsid w:val="001A5344"/>
    <w:rsid w:val="001A6857"/>
    <w:rsid w:val="001A78B7"/>
    <w:rsid w:val="001B5EEC"/>
    <w:rsid w:val="001C2D84"/>
    <w:rsid w:val="001D2553"/>
    <w:rsid w:val="001E5DE1"/>
    <w:rsid w:val="001F7966"/>
    <w:rsid w:val="00201729"/>
    <w:rsid w:val="0022267E"/>
    <w:rsid w:val="00224BAB"/>
    <w:rsid w:val="00227FE6"/>
    <w:rsid w:val="00230BC3"/>
    <w:rsid w:val="002320F1"/>
    <w:rsid w:val="00232BF4"/>
    <w:rsid w:val="002334BC"/>
    <w:rsid w:val="00234A24"/>
    <w:rsid w:val="00237420"/>
    <w:rsid w:val="00237FEC"/>
    <w:rsid w:val="00246AC0"/>
    <w:rsid w:val="00247303"/>
    <w:rsid w:val="0024763C"/>
    <w:rsid w:val="002518A3"/>
    <w:rsid w:val="00252140"/>
    <w:rsid w:val="00272EC3"/>
    <w:rsid w:val="002737EC"/>
    <w:rsid w:val="00274DFE"/>
    <w:rsid w:val="00284929"/>
    <w:rsid w:val="0028795C"/>
    <w:rsid w:val="002A03FF"/>
    <w:rsid w:val="002B2B0A"/>
    <w:rsid w:val="002C1D45"/>
    <w:rsid w:val="002C26F5"/>
    <w:rsid w:val="002D0B1A"/>
    <w:rsid w:val="002D1123"/>
    <w:rsid w:val="002D6FD9"/>
    <w:rsid w:val="002E3163"/>
    <w:rsid w:val="002E32C0"/>
    <w:rsid w:val="002E4D28"/>
    <w:rsid w:val="002E5351"/>
    <w:rsid w:val="002F08FC"/>
    <w:rsid w:val="00306101"/>
    <w:rsid w:val="00312C6B"/>
    <w:rsid w:val="00316F6C"/>
    <w:rsid w:val="0032226A"/>
    <w:rsid w:val="003244E9"/>
    <w:rsid w:val="0033283B"/>
    <w:rsid w:val="00333C84"/>
    <w:rsid w:val="00337A38"/>
    <w:rsid w:val="003529C8"/>
    <w:rsid w:val="00362FC0"/>
    <w:rsid w:val="00363282"/>
    <w:rsid w:val="00372357"/>
    <w:rsid w:val="00374C61"/>
    <w:rsid w:val="00374EDB"/>
    <w:rsid w:val="00390E8B"/>
    <w:rsid w:val="003924B3"/>
    <w:rsid w:val="003A6B84"/>
    <w:rsid w:val="003B5D81"/>
    <w:rsid w:val="003C230E"/>
    <w:rsid w:val="003C3556"/>
    <w:rsid w:val="003D19EF"/>
    <w:rsid w:val="003D24E1"/>
    <w:rsid w:val="003E01EE"/>
    <w:rsid w:val="004011D0"/>
    <w:rsid w:val="00402E53"/>
    <w:rsid w:val="00406C11"/>
    <w:rsid w:val="00412CB6"/>
    <w:rsid w:val="00413E9A"/>
    <w:rsid w:val="00416EB8"/>
    <w:rsid w:val="00426EBC"/>
    <w:rsid w:val="0044200B"/>
    <w:rsid w:val="00455634"/>
    <w:rsid w:val="0045679E"/>
    <w:rsid w:val="00457976"/>
    <w:rsid w:val="00474C19"/>
    <w:rsid w:val="00490B63"/>
    <w:rsid w:val="00491D7D"/>
    <w:rsid w:val="004A46A0"/>
    <w:rsid w:val="004B330E"/>
    <w:rsid w:val="004C2E6A"/>
    <w:rsid w:val="004C47B7"/>
    <w:rsid w:val="004D4509"/>
    <w:rsid w:val="004D7407"/>
    <w:rsid w:val="00501F88"/>
    <w:rsid w:val="00505FD9"/>
    <w:rsid w:val="00511203"/>
    <w:rsid w:val="0051256C"/>
    <w:rsid w:val="00512FCC"/>
    <w:rsid w:val="00515556"/>
    <w:rsid w:val="00517F36"/>
    <w:rsid w:val="00520832"/>
    <w:rsid w:val="0052120A"/>
    <w:rsid w:val="00525116"/>
    <w:rsid w:val="00531658"/>
    <w:rsid w:val="00537322"/>
    <w:rsid w:val="00550B14"/>
    <w:rsid w:val="005662D4"/>
    <w:rsid w:val="00573B95"/>
    <w:rsid w:val="00576DB3"/>
    <w:rsid w:val="00582A57"/>
    <w:rsid w:val="005842DA"/>
    <w:rsid w:val="005A1401"/>
    <w:rsid w:val="005A162C"/>
    <w:rsid w:val="005C7704"/>
    <w:rsid w:val="005D2D1A"/>
    <w:rsid w:val="005D583C"/>
    <w:rsid w:val="005E30D0"/>
    <w:rsid w:val="005E503B"/>
    <w:rsid w:val="0060322F"/>
    <w:rsid w:val="00603BB0"/>
    <w:rsid w:val="006042E9"/>
    <w:rsid w:val="006044C8"/>
    <w:rsid w:val="006103B5"/>
    <w:rsid w:val="00611BCD"/>
    <w:rsid w:val="006221A5"/>
    <w:rsid w:val="00654C02"/>
    <w:rsid w:val="0065681F"/>
    <w:rsid w:val="00660868"/>
    <w:rsid w:val="0066638B"/>
    <w:rsid w:val="00671A1E"/>
    <w:rsid w:val="00671FEC"/>
    <w:rsid w:val="0068737F"/>
    <w:rsid w:val="00690EB6"/>
    <w:rsid w:val="006B0C15"/>
    <w:rsid w:val="006B0D9F"/>
    <w:rsid w:val="006B1F62"/>
    <w:rsid w:val="006B72CC"/>
    <w:rsid w:val="006D75BA"/>
    <w:rsid w:val="006E6316"/>
    <w:rsid w:val="0070044C"/>
    <w:rsid w:val="00702CAB"/>
    <w:rsid w:val="007179ED"/>
    <w:rsid w:val="007209A8"/>
    <w:rsid w:val="00721E15"/>
    <w:rsid w:val="007424DA"/>
    <w:rsid w:val="00743D90"/>
    <w:rsid w:val="0075319E"/>
    <w:rsid w:val="00753487"/>
    <w:rsid w:val="007539B5"/>
    <w:rsid w:val="007604EE"/>
    <w:rsid w:val="007675E2"/>
    <w:rsid w:val="007812C4"/>
    <w:rsid w:val="00781990"/>
    <w:rsid w:val="007A0323"/>
    <w:rsid w:val="007A3CF1"/>
    <w:rsid w:val="007C67D5"/>
    <w:rsid w:val="007D084C"/>
    <w:rsid w:val="007E2E4D"/>
    <w:rsid w:val="007E6EBB"/>
    <w:rsid w:val="007F3674"/>
    <w:rsid w:val="008108E7"/>
    <w:rsid w:val="00822E39"/>
    <w:rsid w:val="00825C66"/>
    <w:rsid w:val="00825C7F"/>
    <w:rsid w:val="00830034"/>
    <w:rsid w:val="00834FBC"/>
    <w:rsid w:val="00841720"/>
    <w:rsid w:val="008475D2"/>
    <w:rsid w:val="00850231"/>
    <w:rsid w:val="00854D4F"/>
    <w:rsid w:val="00855D8C"/>
    <w:rsid w:val="00864E2C"/>
    <w:rsid w:val="00867427"/>
    <w:rsid w:val="0087058B"/>
    <w:rsid w:val="00875A83"/>
    <w:rsid w:val="0088179E"/>
    <w:rsid w:val="00881815"/>
    <w:rsid w:val="0089671F"/>
    <w:rsid w:val="008A5DC9"/>
    <w:rsid w:val="008A7A83"/>
    <w:rsid w:val="008B01AF"/>
    <w:rsid w:val="008B0F16"/>
    <w:rsid w:val="008B1A0C"/>
    <w:rsid w:val="008B7E80"/>
    <w:rsid w:val="008C1142"/>
    <w:rsid w:val="008D17C9"/>
    <w:rsid w:val="008D3422"/>
    <w:rsid w:val="008D7785"/>
    <w:rsid w:val="00903D22"/>
    <w:rsid w:val="0090462E"/>
    <w:rsid w:val="00914FB7"/>
    <w:rsid w:val="009151DD"/>
    <w:rsid w:val="00915935"/>
    <w:rsid w:val="00915B29"/>
    <w:rsid w:val="0093047F"/>
    <w:rsid w:val="009333AF"/>
    <w:rsid w:val="00935483"/>
    <w:rsid w:val="0095007B"/>
    <w:rsid w:val="00974C70"/>
    <w:rsid w:val="00980570"/>
    <w:rsid w:val="009B45A6"/>
    <w:rsid w:val="009C1BDA"/>
    <w:rsid w:val="009E71E3"/>
    <w:rsid w:val="009F03AB"/>
    <w:rsid w:val="009F0CD9"/>
    <w:rsid w:val="009F17BF"/>
    <w:rsid w:val="009F3255"/>
    <w:rsid w:val="00A02E49"/>
    <w:rsid w:val="00A02F34"/>
    <w:rsid w:val="00A03FD7"/>
    <w:rsid w:val="00A0451D"/>
    <w:rsid w:val="00A1145C"/>
    <w:rsid w:val="00A12002"/>
    <w:rsid w:val="00A127A2"/>
    <w:rsid w:val="00A21FB9"/>
    <w:rsid w:val="00A305BD"/>
    <w:rsid w:val="00A316DA"/>
    <w:rsid w:val="00A3602C"/>
    <w:rsid w:val="00A3790A"/>
    <w:rsid w:val="00A4435F"/>
    <w:rsid w:val="00A44B6E"/>
    <w:rsid w:val="00A462C6"/>
    <w:rsid w:val="00A53E7A"/>
    <w:rsid w:val="00A61513"/>
    <w:rsid w:val="00A63042"/>
    <w:rsid w:val="00A82916"/>
    <w:rsid w:val="00A86166"/>
    <w:rsid w:val="00A96EDF"/>
    <w:rsid w:val="00AA0516"/>
    <w:rsid w:val="00AB3B88"/>
    <w:rsid w:val="00AC1350"/>
    <w:rsid w:val="00AD297E"/>
    <w:rsid w:val="00AD6DB0"/>
    <w:rsid w:val="00AF3AB6"/>
    <w:rsid w:val="00AF3C7A"/>
    <w:rsid w:val="00B1080B"/>
    <w:rsid w:val="00B23404"/>
    <w:rsid w:val="00B364AF"/>
    <w:rsid w:val="00B45CE7"/>
    <w:rsid w:val="00B46AD8"/>
    <w:rsid w:val="00B4795E"/>
    <w:rsid w:val="00B52908"/>
    <w:rsid w:val="00B6641D"/>
    <w:rsid w:val="00B7174E"/>
    <w:rsid w:val="00B80CBE"/>
    <w:rsid w:val="00B81125"/>
    <w:rsid w:val="00B877D2"/>
    <w:rsid w:val="00B91B87"/>
    <w:rsid w:val="00BA1FA3"/>
    <w:rsid w:val="00BA5080"/>
    <w:rsid w:val="00BB5DFE"/>
    <w:rsid w:val="00BC1508"/>
    <w:rsid w:val="00BC3339"/>
    <w:rsid w:val="00BE192B"/>
    <w:rsid w:val="00BE391E"/>
    <w:rsid w:val="00BE3BEC"/>
    <w:rsid w:val="00BE620A"/>
    <w:rsid w:val="00BE70AD"/>
    <w:rsid w:val="00C00DF7"/>
    <w:rsid w:val="00C01B19"/>
    <w:rsid w:val="00C05EFA"/>
    <w:rsid w:val="00C07F23"/>
    <w:rsid w:val="00C10D28"/>
    <w:rsid w:val="00C15822"/>
    <w:rsid w:val="00C35DD5"/>
    <w:rsid w:val="00C47EF1"/>
    <w:rsid w:val="00C55636"/>
    <w:rsid w:val="00C5658D"/>
    <w:rsid w:val="00C65770"/>
    <w:rsid w:val="00C72B3A"/>
    <w:rsid w:val="00C73D6D"/>
    <w:rsid w:val="00C97DC8"/>
    <w:rsid w:val="00CB1021"/>
    <w:rsid w:val="00CB3623"/>
    <w:rsid w:val="00CB3DAC"/>
    <w:rsid w:val="00CB5541"/>
    <w:rsid w:val="00CB6A0C"/>
    <w:rsid w:val="00CC330C"/>
    <w:rsid w:val="00CC6BFA"/>
    <w:rsid w:val="00CD0F30"/>
    <w:rsid w:val="00CD127B"/>
    <w:rsid w:val="00CE4DBF"/>
    <w:rsid w:val="00CE6242"/>
    <w:rsid w:val="00CF3F25"/>
    <w:rsid w:val="00D016CB"/>
    <w:rsid w:val="00D1291B"/>
    <w:rsid w:val="00D20709"/>
    <w:rsid w:val="00D22815"/>
    <w:rsid w:val="00D25992"/>
    <w:rsid w:val="00D26E6C"/>
    <w:rsid w:val="00D312CF"/>
    <w:rsid w:val="00D346CF"/>
    <w:rsid w:val="00D37E8F"/>
    <w:rsid w:val="00D52D2E"/>
    <w:rsid w:val="00D53EF3"/>
    <w:rsid w:val="00DA097A"/>
    <w:rsid w:val="00DA6872"/>
    <w:rsid w:val="00DA6F02"/>
    <w:rsid w:val="00DB2F1B"/>
    <w:rsid w:val="00DD0028"/>
    <w:rsid w:val="00DD15AF"/>
    <w:rsid w:val="00DF3370"/>
    <w:rsid w:val="00E02159"/>
    <w:rsid w:val="00E06E04"/>
    <w:rsid w:val="00E076FA"/>
    <w:rsid w:val="00E239E3"/>
    <w:rsid w:val="00E426CB"/>
    <w:rsid w:val="00E43C25"/>
    <w:rsid w:val="00E440E6"/>
    <w:rsid w:val="00E46A6C"/>
    <w:rsid w:val="00E63452"/>
    <w:rsid w:val="00E72FB1"/>
    <w:rsid w:val="00E74B39"/>
    <w:rsid w:val="00E776FF"/>
    <w:rsid w:val="00E829CE"/>
    <w:rsid w:val="00EA0219"/>
    <w:rsid w:val="00EA743A"/>
    <w:rsid w:val="00EC3C36"/>
    <w:rsid w:val="00EF1EB7"/>
    <w:rsid w:val="00EF4598"/>
    <w:rsid w:val="00EF70D1"/>
    <w:rsid w:val="00EF743B"/>
    <w:rsid w:val="00F13E8D"/>
    <w:rsid w:val="00F13F9E"/>
    <w:rsid w:val="00F330AF"/>
    <w:rsid w:val="00F64F2D"/>
    <w:rsid w:val="00F65BF4"/>
    <w:rsid w:val="00F671BB"/>
    <w:rsid w:val="00F67200"/>
    <w:rsid w:val="00F84CD3"/>
    <w:rsid w:val="00F85ABB"/>
    <w:rsid w:val="00F93423"/>
    <w:rsid w:val="00FA5639"/>
    <w:rsid w:val="00FB0363"/>
    <w:rsid w:val="00FB242B"/>
    <w:rsid w:val="00FB47A6"/>
    <w:rsid w:val="00FB54CD"/>
    <w:rsid w:val="00FC4756"/>
    <w:rsid w:val="00FC6AC2"/>
    <w:rsid w:val="00FC70ED"/>
    <w:rsid w:val="00FE040B"/>
    <w:rsid w:val="00FE2C29"/>
    <w:rsid w:val="00FE6F71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663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638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638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63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638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6B72C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alýza-vplyvov-na-ŽP_PR-Homoľa"/>
    <f:field ref="objsubject" par="" edit="true" text=""/>
    <f:field ref="objcreatedby" par="" text="Lojková, Silvia, JUDr."/>
    <f:field ref="objcreatedat" par="" text="6.12.2022 11:02:34"/>
    <f:field ref="objchangedby" par="" text="Administrator, System"/>
    <f:field ref="objmodifiedat" par="" text="6.12.2022 11:02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970F1A4-AEA8-4093-9E41-5B3D2766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F8F06C7-BD9B-4395-BE85-6BF44CDA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Lojková Silvia</cp:lastModifiedBy>
  <cp:revision>2</cp:revision>
  <cp:lastPrinted>2022-10-06T08:00:00Z</cp:lastPrinted>
  <dcterms:created xsi:type="dcterms:W3CDTF">2023-01-25T13:41:00Z</dcterms:created>
  <dcterms:modified xsi:type="dcterms:W3CDTF">2023-01-25T13:41:00Z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prírodnú rezerváciu Homoľa bol listom Okresným úradom Banská Bystrica č. OU-BB-OSZP1-2022/027160-002 z&amp;nbsp;9. augusta 2022 oznámený dotknutým subjektom v&amp;nbsp;súlade s § 50 ods. 1 a 2 zákona č. 543/2002 Z. 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Homoľa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_x000d_
92/43/EHS z 21. mája 1992 o ochrane prirodzených biotopov a voľne žijúcich živočíchov a rastlín_x000d_
_x000d_
§ 22 ods. 1 a 6 zákona č. 543/2002 Z. z. o ochrane prírody a krajiny v znení neskorších predpisov_x000d_
</vt:lpwstr>
  </property>
  <property fmtid="{D5CDD505-2E9C-101B-9397-08002B2CF9AE}" pid="23" name="FSC#SKEDITIONSLOVLEX@103.510:plnynazovpredpis">
    <vt:lpwstr> Nariadenie vlády  Slovenskej republiky, ktorým sa vyhlasuje prírodná rezervácia Homoľa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14103/2022-1.15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LP/2022/832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191 až 193 Zmluvy o fungovaní Európskej únie v platnom znení</vt:lpwstr>
  </property>
  <property fmtid="{D5CDD505-2E9C-101B-9397-08002B2CF9AE}" pid="47" name="FSC#SKEDITIONSLOVLEX@103.510:AttrStrListDocPropSekundarneLegPravoPO">
    <vt:lpwstr>-	smernica Rady 92/43/EHS z 21. mája 1992 o ochrane prirodzených biotopov a voľne žijúcich živočíchov a rastlín Ú. v. ES L 206, 22.7.1992; Mimoriadne vydanie Ú. v. EÚ, kap. 15/zv. 2) v platnom znení        gestor: Ministerstvo životného prostredia Slovens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10. 11. 2022</vt:lpwstr>
  </property>
  <property fmtid="{D5CDD505-2E9C-101B-9397-08002B2CF9AE}" pid="59" name="FSC#SKEDITIONSLOVLEX@103.510:AttrDateDocPropUkonceniePKK">
    <vt:lpwstr>22. 11. 2022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justify;"&gt;Územie navrhovanej PR Homoľa je súčasťou európskej sústavy chránených území Natura 2000. Jej územie sa prekrýva s územím európskeho významu SKUEV0204 Homoľa, v ktorom v súčasnosti platí 2. stupeň ochrany podľa § 13 zákona č</vt:lpwstr>
  </property>
  <property fmtid="{D5CDD505-2E9C-101B-9397-08002B2CF9AE}" pid="66" name="FSC#SKEDITIONSLOVLEX@103.510:AttrStrListDocPropAltRiesenia">
    <vt:lpwstr>Alternatívne riešenie sa týka celkovo vyhlásenia/nevyhlásenia PR Homoľa.Dôvodom vyhlásenia PR Homoľa je splnenie požiadavky vyplývajúcej z článku 4 ods. 4 smernice 92/43/EHS v platnom znení, podľa ktorého členské štáty označia lokality uvedené v národnom </vt:lpwstr>
  </property>
  <property fmtid="{D5CDD505-2E9C-101B-9397-08002B2CF9AE}" pid="67" name="FSC#SKEDITIONSLOVLEX@103.510:AttrStrListDocPropStanoviskoGest">
    <vt:lpwstr>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7.1pt; text-align: justify;"&gt;Ministerstvo životného prostredia Slovenskej republiky (MŽP SR) predkladá podľa § 17 ods.&amp;nbsp;9 a § 22 ods. 1 a 6 zákona č. 543/2002 Z. z. o&amp;nbsp;ochrane prírody a&amp;nbsp;krajiny v&amp;nbsp;znení neskorších p</vt:lpwstr>
  </property>
  <property fmtid="{D5CDD505-2E9C-101B-9397-08002B2CF9AE}" pid="150" name="FSC#COOSYSTEM@1.1:Container">
    <vt:lpwstr>COO.2145.1000.3.5395719</vt:lpwstr>
  </property>
  <property fmtid="{D5CDD505-2E9C-101B-9397-08002B2CF9AE}" pid="151" name="FSC#FSCFOLIO@1.1001:docpropproject">
    <vt:lpwstr/>
  </property>
  <property fmtid="{D5CDD505-2E9C-101B-9397-08002B2CF9AE}" pid="152" name="ContentTypeId">
    <vt:lpwstr>0x0101007BF2E88B3F78A349989BFD1CB9544B3E</vt:lpwstr>
  </property>
  <property fmtid="{D5CDD505-2E9C-101B-9397-08002B2CF9AE}" pid="153" name="FSC#SKEDITIONSLOVLEX@103.510:vytvorenedna">
    <vt:lpwstr>6. 12. 2022</vt:lpwstr>
  </property>
</Properties>
</file>