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35" w:type="dxa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95"/>
        <w:gridCol w:w="5022"/>
        <w:gridCol w:w="574"/>
        <w:gridCol w:w="1147"/>
        <w:gridCol w:w="1147"/>
        <w:gridCol w:w="5740"/>
        <w:gridCol w:w="429"/>
        <w:gridCol w:w="1181"/>
      </w:tblGrid>
      <w:tr w:rsidR="0048230F" w:rsidRPr="00850F0D" w:rsidTr="00DB634F">
        <w:trPr>
          <w:trHeight w:val="449"/>
        </w:trPr>
        <w:tc>
          <w:tcPr>
            <w:tcW w:w="1603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TABUĽKA  ZHODY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právneho predpisu s právom Európskej únie</w:t>
            </w:r>
          </w:p>
        </w:tc>
      </w:tr>
      <w:tr w:rsidR="0048230F" w:rsidRPr="00850F0D" w:rsidTr="00DB634F">
        <w:trPr>
          <w:trHeight w:val="589"/>
        </w:trPr>
        <w:tc>
          <w:tcPr>
            <w:tcW w:w="63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Smernica Európskeho parlamentu a Rady 2006/114/ES z 12. decembra 2006 o klamlivej a porovnávacej reklame (Ú. v. EÚ L 376, 27.12.2006)</w:t>
            </w:r>
          </w:p>
        </w:tc>
        <w:tc>
          <w:tcPr>
            <w:tcW w:w="9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Návrh zákona č. .../202</w:t>
            </w:r>
            <w:r w:rsidR="0080333B">
              <w:rPr>
                <w:b/>
                <w:sz w:val="20"/>
                <w:szCs w:val="20"/>
                <w:lang w:eastAsia="en-US"/>
              </w:rPr>
              <w:t>3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Z. z. o ochrane spotrebiteľa a o zmene a doplnení niektorých zákonov</w:t>
            </w:r>
          </w:p>
          <w:p w:rsidR="0048230F" w:rsidRPr="00850F0D" w:rsidRDefault="0048230F" w:rsidP="00DB634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Zákon č. 147/2001 Z. z. o reklame a o zmene a doplnení niektorých zákonov v znení neskorších predpisov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48230F" w:rsidRPr="00850F0D" w:rsidTr="00DB634F">
        <w:trPr>
          <w:trHeight w:val="216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48230F" w:rsidRPr="00850F0D" w:rsidTr="002433EA">
        <w:trPr>
          <w:trHeight w:val="1327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Článok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(Č, O,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V, P)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50F0D">
              <w:rPr>
                <w:sz w:val="20"/>
                <w:szCs w:val="20"/>
                <w:lang w:eastAsia="en-US"/>
              </w:rPr>
              <w:t>Spôs.trans</w:t>
            </w:r>
            <w:proofErr w:type="spellEnd"/>
            <w:r w:rsidRPr="00850F0D">
              <w:rPr>
                <w:sz w:val="20"/>
                <w:szCs w:val="20"/>
                <w:lang w:eastAsia="en-US"/>
              </w:rPr>
              <w:t>.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(N, O, D, </w:t>
            </w:r>
            <w:proofErr w:type="spellStart"/>
            <w:r w:rsidRPr="00850F0D">
              <w:rPr>
                <w:sz w:val="20"/>
                <w:szCs w:val="20"/>
                <w:lang w:eastAsia="en-US"/>
              </w:rPr>
              <w:t>n.a</w:t>
            </w:r>
            <w:proofErr w:type="spellEnd"/>
            <w:r w:rsidRPr="00850F0D">
              <w:rPr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Číslo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predpisu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Článok (Č, §, O, V, P)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Text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Zhoda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Poznámky</w:t>
            </w:r>
          </w:p>
        </w:tc>
      </w:tr>
      <w:tr w:rsidR="0048230F" w:rsidRPr="00850F0D" w:rsidTr="00DB634F">
        <w:trPr>
          <w:trHeight w:val="1676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Č:1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Účelom tejto smernice je chrániť obchodníkov proti klamlivej reklame a jej nekalým následkom a ustanoviť podmienky, za ktorých je porovnávacia reklama povolená.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Zákon č. 147/2001 z. z. + </w:t>
            </w:r>
            <w:r w:rsidRPr="00850F0D">
              <w:rPr>
                <w:b/>
                <w:sz w:val="20"/>
                <w:szCs w:val="20"/>
                <w:lang w:eastAsia="en-US"/>
              </w:rPr>
              <w:t>NZ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V)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Pr="002433EA" w:rsidRDefault="002433EA" w:rsidP="00DB63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5472F5">
            <w:pPr>
              <w:pStyle w:val="adda"/>
              <w:numPr>
                <w:ilvl w:val="0"/>
                <w:numId w:val="0"/>
              </w:numPr>
              <w:tabs>
                <w:tab w:val="left" w:pos="708"/>
              </w:tabs>
              <w:spacing w:after="0"/>
              <w:contextualSpacing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Tento zákon ustanovuje všeobecné požiadavky na reklamu, požiadavky na reklamu niektorých produktov, ochranu pred účinkami neprípustnej porovnávacej reklamy a pôsobnosť orgánov verejnej správy pri výkone </w:t>
            </w:r>
            <w:r w:rsidRPr="00143BB2">
              <w:rPr>
                <w:b/>
                <w:sz w:val="20"/>
                <w:szCs w:val="20"/>
                <w:lang w:eastAsia="en-US"/>
              </w:rPr>
              <w:t>dohľadu</w:t>
            </w:r>
            <w:r w:rsidRPr="00850F0D">
              <w:rPr>
                <w:sz w:val="20"/>
                <w:szCs w:val="20"/>
                <w:lang w:eastAsia="en-US"/>
              </w:rPr>
              <w:t xml:space="preserve"> nad dodržiavaním tohto zákona. Tento zákon sa použije, ak osobitný zákon neustanovuje inak.</w:t>
            </w:r>
            <w:r w:rsidR="00BA13B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0333B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0333B">
              <w:rPr>
                <w:b/>
                <w:sz w:val="20"/>
                <w:szCs w:val="20"/>
                <w:lang w:eastAsia="en-US"/>
              </w:rPr>
              <w:t>V § 1 sa vypúšťajú slová „spotrebiteľov a podnikateľov“.</w:t>
            </w:r>
          </w:p>
        </w:tc>
      </w:tr>
      <w:tr w:rsidR="0048230F" w:rsidRPr="00850F0D" w:rsidTr="00DB634F">
        <w:trPr>
          <w:trHeight w:val="70"/>
        </w:trPr>
        <w:tc>
          <w:tcPr>
            <w:tcW w:w="7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Č:5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O:1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P:a,b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Členské štáty zabezpečia existenciu primeraných a účinných prostriedkov na boj proti klamlivej reklame a vynútenie dodržiavania ustanovení o porovnávacej reklame v záujme obchodníkov a súťažiteľov.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Tieto prostriedky zahŕňajú právne ustanovenia, ktoré umožnia osobám alebo organizáciám, ktoré majú na základe vnútroštátnych právnych predpisov oprávnený záujem na boji proti klamlivej reklame alebo regulovaní porovnávacej reklamy: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a) podať súdnu žalobu proti takejto reklame;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alebo</w:t>
            </w:r>
          </w:p>
          <w:p w:rsidR="0048230F" w:rsidRPr="00850F0D" w:rsidRDefault="0048230F" w:rsidP="00DB634F">
            <w:pPr>
              <w:spacing w:line="276" w:lineRule="auto"/>
              <w:rPr>
                <w:rFonts w:eastAsia="EUAlbertina-Regular-Identity-H"/>
                <w:sz w:val="20"/>
                <w:szCs w:val="20"/>
                <w:lang w:eastAsia="en-US"/>
              </w:rPr>
            </w:pPr>
            <w:r w:rsidRPr="00850F0D">
              <w:rPr>
                <w:rFonts w:eastAsia="EUAlbertina-Regular-Identity-H"/>
                <w:sz w:val="20"/>
                <w:szCs w:val="20"/>
                <w:lang w:eastAsia="en-US"/>
              </w:rPr>
              <w:t>b) napadnúť takúto reklamu pred správnym orgánom, ktorý je príslušný rozhodovať o sťažnostiach alebo dať podnet na začatie príslušného súdneho konania.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Zákon č. 147/2001 Z. z. + </w:t>
            </w:r>
            <w:r w:rsidRPr="00850F0D">
              <w:rPr>
                <w:b/>
                <w:sz w:val="20"/>
                <w:szCs w:val="20"/>
                <w:lang w:eastAsia="en-US"/>
              </w:rPr>
              <w:t>NZ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V)</w:t>
            </w: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850F0D" w:rsidRPr="00850F0D" w:rsidRDefault="00850F0D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A55EC6" w:rsidRPr="00850F0D" w:rsidRDefault="00A55EC6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850F0D">
              <w:rPr>
                <w:b/>
                <w:sz w:val="20"/>
                <w:szCs w:val="20"/>
                <w:lang w:eastAsia="en-US"/>
              </w:rPr>
              <w:t>Zákon č. .../202</w:t>
            </w:r>
            <w:r w:rsidR="00A55EC6">
              <w:rPr>
                <w:b/>
                <w:sz w:val="20"/>
                <w:szCs w:val="20"/>
                <w:lang w:eastAsia="en-US"/>
              </w:rPr>
              <w:t>3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Z. z.</w:t>
            </w:r>
            <w:r w:rsidR="008938C6">
              <w:rPr>
                <w:b/>
                <w:sz w:val="20"/>
                <w:szCs w:val="20"/>
                <w:lang w:eastAsia="en-US"/>
              </w:rPr>
              <w:t xml:space="preserve"> (čl. I)</w:t>
            </w:r>
            <w:r w:rsidRPr="00850F0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3EA" w:rsidRP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lastRenderedPageBreak/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§:10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30505" w:rsidRDefault="00530505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0333B" w:rsidRDefault="0080333B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A55EC6" w:rsidRDefault="00A55EC6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433EA" w:rsidRPr="002433EA" w:rsidRDefault="002433EA" w:rsidP="002433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433EA">
              <w:rPr>
                <w:b/>
                <w:sz w:val="20"/>
                <w:szCs w:val="20"/>
                <w:lang w:eastAsia="en-US"/>
              </w:rPr>
              <w:t>Č: V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§11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O:1, 3</w:t>
            </w:r>
            <w:r w:rsidR="00A55EC6">
              <w:rPr>
                <w:sz w:val="20"/>
                <w:szCs w:val="20"/>
                <w:lang w:eastAsia="en-US"/>
              </w:rPr>
              <w:t xml:space="preserve"> až</w:t>
            </w:r>
            <w:r w:rsidRPr="00850F0D">
              <w:rPr>
                <w:sz w:val="20"/>
                <w:szCs w:val="20"/>
                <w:lang w:eastAsia="en-US"/>
              </w:rPr>
              <w:t xml:space="preserve"> 1</w:t>
            </w:r>
            <w:r w:rsidR="00A55EC6">
              <w:rPr>
                <w:sz w:val="20"/>
                <w:szCs w:val="20"/>
                <w:lang w:eastAsia="en-US"/>
              </w:rPr>
              <w:t>2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540CC0" w:rsidRPr="00850F0D" w:rsidRDefault="00540CC0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I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§:68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      </w:t>
            </w: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2433EA" w:rsidP="002433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Č: I</w:t>
            </w:r>
            <w:bookmarkStart w:id="0" w:name="_GoBack"/>
            <w:bookmarkEnd w:id="0"/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>§:69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t xml:space="preserve">     </w:t>
            </w:r>
          </w:p>
          <w:p w:rsidR="0048230F" w:rsidRPr="00850F0D" w:rsidRDefault="0048230F" w:rsidP="00DB6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lastRenderedPageBreak/>
              <w:t>(1)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="00143BB2" w:rsidRPr="00143BB2">
              <w:rPr>
                <w:b/>
                <w:sz w:val="20"/>
                <w:szCs w:val="20"/>
                <w:lang w:eastAsia="en-US"/>
              </w:rPr>
              <w:t>Dohľad</w:t>
            </w:r>
            <w:r w:rsidR="00143BB2" w:rsidRPr="00143BB2"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nad dodržiavaním tohto zákona vykonávajú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a)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orgány úradnej kontroly potravín nad reklamou potravín podľa pôsobnosti vymedzenej v osobitnom predpise,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20</w:t>
            </w:r>
            <w:r w:rsidRPr="0080333B">
              <w:rPr>
                <w:sz w:val="20"/>
                <w:szCs w:val="20"/>
                <w:lang w:eastAsia="en-US"/>
              </w:rPr>
              <w:t>)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b)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Štátny ústav pre kontrolu liečiv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 w:rsidRPr="0080333B">
              <w:rPr>
                <w:sz w:val="20"/>
                <w:szCs w:val="20"/>
                <w:lang w:eastAsia="en-US"/>
              </w:rPr>
              <w:t>) nad reklamou liekov,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c)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Ústav kontroly veterinárnych liečiv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 w:rsidRPr="0080333B">
              <w:rPr>
                <w:sz w:val="20"/>
                <w:szCs w:val="20"/>
                <w:lang w:eastAsia="en-US"/>
              </w:rPr>
              <w:t>) nad reklamou veterinárnych liekov,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1c</w:t>
            </w:r>
            <w:r w:rsidRPr="0080333B">
              <w:rPr>
                <w:sz w:val="20"/>
                <w:szCs w:val="20"/>
                <w:lang w:eastAsia="en-US"/>
              </w:rPr>
              <w:t>)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d)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Úrad verejného zdravotníctva Slovenskej republiky a regionálne úrady verejného zdravotníctva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21a</w:t>
            </w:r>
            <w:r w:rsidRPr="0080333B">
              <w:rPr>
                <w:sz w:val="20"/>
                <w:szCs w:val="20"/>
                <w:lang w:eastAsia="en-US"/>
              </w:rPr>
              <w:t>) nad reklamou kozmetických výrobkov, potravín na osobitné výživové účely vrátane dojčenských prípravkov a následných doplnkových prípravkov, výživových doplnkov a spotrebiteľsky balených minerálnych, pramenitých a pitných vôd,</w:t>
            </w:r>
          </w:p>
          <w:p w:rsidR="0080333B" w:rsidRP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e)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Národná banka Slovenska nad reklamou finančných služieb pre finančných spotrebiteľov,</w:t>
            </w:r>
            <w:r w:rsidRPr="0080333B">
              <w:rPr>
                <w:sz w:val="20"/>
                <w:szCs w:val="20"/>
                <w:vertAlign w:val="superscript"/>
                <w:lang w:eastAsia="en-US"/>
              </w:rPr>
              <w:t>21b</w:t>
            </w:r>
            <w:r w:rsidRPr="0080333B">
              <w:rPr>
                <w:sz w:val="20"/>
                <w:szCs w:val="20"/>
                <w:lang w:eastAsia="en-US"/>
              </w:rPr>
              <w:t>) pričom postupuje podľa osobitného predpisu,</w:t>
            </w:r>
            <w:r w:rsidRPr="0080333B">
              <w:rPr>
                <w:b/>
                <w:sz w:val="20"/>
                <w:szCs w:val="20"/>
                <w:vertAlign w:val="superscript"/>
                <w:lang w:eastAsia="en-US"/>
              </w:rPr>
              <w:t>21d</w:t>
            </w:r>
            <w:r w:rsidRPr="0080333B">
              <w:rPr>
                <w:b/>
                <w:sz w:val="20"/>
                <w:szCs w:val="20"/>
                <w:lang w:eastAsia="en-US"/>
              </w:rPr>
              <w:t>)</w:t>
            </w:r>
          </w:p>
          <w:p w:rsidR="0048230F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f)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Slovenská obchodná inšpekcia nad reklamou tabakových výrobkov a reklamou, nad ktorou podľa vecnej príslušnosti nevykonávajú dozor orgány uvedené v písmenách a) až e).</w:t>
            </w:r>
          </w:p>
          <w:p w:rsidR="00A55EC6" w:rsidRPr="00A55EC6" w:rsidRDefault="00A55EC6" w:rsidP="0080333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(2) Orgány dohľadu podľa odseku 1 písm. a) až d) a f) postupujú pri výkone dohľadu a v konaní o porušení povinnosti podľa osobitného predpisu.</w:t>
            </w: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9e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_______________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1c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Čl. 4 ods. 40 nariadenia (EÚ) 2019/6.</w:t>
            </w:r>
          </w:p>
          <w:p w:rsidR="00A55EC6" w:rsidRPr="00A55EC6" w:rsidRDefault="00A55EC6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vertAlign w:val="superscript"/>
                <w:lang w:eastAsia="en-US"/>
              </w:rPr>
              <w:t>9e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A55EC6">
              <w:rPr>
                <w:sz w:val="20"/>
                <w:szCs w:val="20"/>
                <w:lang w:eastAsia="en-US"/>
              </w:rPr>
              <w:t>Zákon č. .../2023 Z. z.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23 zákona Národnej rady Slovenskej republiky č. 152/1995 Z. z. o potravinách v znení neskorších predpisov.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21</w:t>
            </w:r>
            <w:r>
              <w:rPr>
                <w:sz w:val="20"/>
                <w:szCs w:val="20"/>
                <w:lang w:eastAsia="en-US"/>
              </w:rPr>
              <w:t>)</w:t>
            </w:r>
            <w:r>
              <w:t xml:space="preserve"> </w:t>
            </w:r>
            <w:r w:rsidRPr="0080333B">
              <w:rPr>
                <w:sz w:val="20"/>
                <w:szCs w:val="20"/>
                <w:lang w:eastAsia="en-US"/>
              </w:rPr>
              <w:t>Zákon č. 362/2011 Z. z.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lastRenderedPageBreak/>
              <w:t>21a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3 ods. 1 písm. b) a c) zákona č. 126/2006 Z. z. o verejnom zdravotníctve a o zmene a doplnení niektorých zákonov.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vertAlign w:val="superscript"/>
                <w:lang w:eastAsia="en-US"/>
              </w:rPr>
              <w:t>21b</w:t>
            </w:r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80333B">
              <w:rPr>
                <w:sz w:val="20"/>
                <w:szCs w:val="20"/>
                <w:lang w:eastAsia="en-US"/>
              </w:rPr>
              <w:t>§ 1 ods. 3 písm. c) zákona č. 747/2004 Z. z. v znení neskorších predpisov.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0333B" w:rsidRPr="0080333B" w:rsidRDefault="0080333B" w:rsidP="0080333B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80333B">
              <w:rPr>
                <w:b/>
                <w:sz w:val="20"/>
                <w:szCs w:val="20"/>
                <w:vertAlign w:val="superscript"/>
                <w:lang w:eastAsia="en-US"/>
              </w:rPr>
              <w:t>21d</w:t>
            </w:r>
            <w:r w:rsidRPr="0080333B">
              <w:rPr>
                <w:b/>
                <w:sz w:val="20"/>
                <w:szCs w:val="20"/>
                <w:lang w:eastAsia="en-US"/>
              </w:rPr>
              <w:t>)</w:t>
            </w:r>
            <w:r w:rsidRPr="0080333B">
              <w:rPr>
                <w:b/>
              </w:rPr>
              <w:t xml:space="preserve"> </w:t>
            </w:r>
            <w:r w:rsidRPr="0080333B">
              <w:rPr>
                <w:b/>
                <w:sz w:val="20"/>
                <w:szCs w:val="20"/>
                <w:lang w:eastAsia="en-US"/>
              </w:rPr>
              <w:t xml:space="preserve">Zákon č. 747/2004 Z. z. v znení neskorších predpisov. </w:t>
            </w:r>
          </w:p>
          <w:p w:rsidR="0080333B" w:rsidRPr="00850F0D" w:rsidRDefault="0080333B" w:rsidP="0080333B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Pr="00850F0D" w:rsidRDefault="00A55EC6" w:rsidP="00DB634F">
            <w:pPr>
              <w:keepNext/>
              <w:spacing w:before="60"/>
              <w:contextualSpacing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(1) </w:t>
            </w:r>
            <w:r w:rsidRPr="00A55EC6">
              <w:rPr>
                <w:sz w:val="20"/>
                <w:szCs w:val="20"/>
                <w:lang w:eastAsia="en-US"/>
              </w:rPr>
              <w:t>Ak orgány dozoru podľa § 10 ods. 1 (ďalej len „orgán dozoru“) zistia porušenie tohto zákona, šírenie reklamy zakážu; šírenie reklamy môžu zakázať aj vtedy, ak hrozí porušenie ustanovenia § 4 ods. 3. V rozhodnutí o zákaze šírenia reklamy orgán dozoru môže uložiť povinnosť zverejnenia tohto rozhodnutia alebo jeho častí a povinnosť zverejnenia opravného vyhlásenia v hromadných oznamovacích prostriedkoch.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(3) Orgán dohľadu môže okrem opatrení podľa odsekov 1 a 2 uložiť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osobe oprávnenej predpisovať lieky a osobe oprávnenej vydávať lieky za porušenie ustanovenia § 8 ods. 17 a lekárskemu zástupcovi za porušenie ustanovenia § 8 ods. 12 až 14 pokutu vo výške od 100 eur do 1 % obratu za predchádzajúce účtovné obdobie, maximálne však do výšky 3 000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šíriteľovi reklamy za porušenie ustanovenia § 3 ods. 2 a § 8 ods. 8, 9 alebo ods. 24 a inej osobe za porušenie § 8 ods. 6 pokutu vo výške od 100 eur do 2 % obratu za predchádzajúce účtovné obdobie, maximálne však do výšky 5 000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šíriteľovi reklamy za porušenie všeobecných požiadaviek na reklamu podľa § 3 ods. 1 písm. a), d) až j), ods. 3 až 7 a požiadaviek na reklamu niektorých produktov podľa § 5 až 7a, § 8 ods. 4 a § 9 a držiteľovi rozhodnutia o registrácii lieku, ktorý je predmetom reklamy, za porušenie ustanovení § 8 ods. 11, 15, 16, 19 až 22 a 24 pokutu vo výške od 300 eur do 4 % obratu za predchádzajúce účtovné obdobie, maximálne však do výšky 100 000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šíriteľovi reklamy za porušenie všeobecných požiadaviek na reklamu podľa § 3 ods. 1 písm. b) a c) pokutu vo výške od 33 200 eur do 5 % obratu za predchádzajúce účtovné obdobie, maximálne však do výšky 150 000 eur,</w:t>
            </w:r>
          </w:p>
          <w:p w:rsidR="00A55EC6" w:rsidRPr="00A55EC6" w:rsidRDefault="00A55EC6" w:rsidP="00A55EC6">
            <w:pPr>
              <w:numPr>
                <w:ilvl w:val="0"/>
                <w:numId w:val="7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objednávateľovi reklamy za neprípustnú porovnávaciu reklamu podľa § 4 a za porušenie ustanovení § 8 ods. 4, 7 až 10 a 24 pokutu vo výške od 1 000 eur do 6 % obratu za predchádzajúce účtovné obdobie, maximálne však do výšky 200 000 eur.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(4) Pri opakovanom porušení tej istej povinnosti, za porušenie ktorej už orgán dohľadu uložil osobe podľa odseku 3 sankciu, do 12 mesiacov odo dňa právoplatnosti predchádzajúceho rozhodnutia o uložení sankcie (ďalej len „opakované porušenie </w:t>
            </w:r>
            <w:r w:rsidRPr="00A55EC6">
              <w:rPr>
                <w:b/>
                <w:sz w:val="20"/>
                <w:szCs w:val="20"/>
                <w:lang w:eastAsia="en-US"/>
              </w:rPr>
              <w:lastRenderedPageBreak/>
              <w:t xml:space="preserve">povinnosti“), orgán dohľadu uloží osobe podľa odseku 3 pokutu vo výške od 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200 eur do 2 % obratu za predchádzajúce účtovné obdobie, maximálne však do výšky 6 000 eur, ak ide o porušenie povinnosti podľa odseku 3 písm. a),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200 eur do 3 % obratu za predchádzajúce účtovné obdobie, maximálne však do výšky 10 000 eur, ak ide o porušenie povinnosti podľa odseku 3 písm. b),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600 eur do 5 % obratu za predchádzajúce účtovné obdobie, maximálne však do výšky 150 000 eur, ak ide o porušenie povinnosti podľa odseku 3 písm. c),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50 000 eur do 6 % obratu za predchádzajúce účtovné obdobie, maximálne však do výšky 200 000 eur, ak ide o porušenie povinnosti podľa odseku 3 písm. d),</w:t>
            </w:r>
          </w:p>
          <w:p w:rsidR="00A55EC6" w:rsidRPr="00A55EC6" w:rsidRDefault="00A55EC6" w:rsidP="00A55EC6">
            <w:pPr>
              <w:numPr>
                <w:ilvl w:val="0"/>
                <w:numId w:val="6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2 000 eur do 7 % obratu za predchádzajúce účtovné obdobie, maximálne však do výšky 250 000 eur, ak ide o porušenie povinnosti podľa odseku 3 písm. e).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 xml:space="preserve">(5) Obratom podľa odsekov 3 a 4 sa rozumie súčet všetkých tržieb, výnosov alebo príjmov z činnosti osoby podľa odseku 3 bez nepriamych daní, ku ktorému sa pripočíta finančná pomoc poskytnutá osobe podľa odseku 3. Obrat vyjadrený v cudzej mene sa prepočíta na eurá, pričom na prepočet cudzej meny na eurá sa použije priemer referenčných výmenných kurzov určených a vyhlásených Európskou centrálnou bankou alebo Národnou bankou Slovenska, ktoré sú platné pre príslušné účtovné obdobie. 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(6) Predchádzajúcim účtovným obdobím sa na účely tohto zákona rozumie účtovné obdobie, za ktoré bola zostavená posledná riadna účtovná závierka.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(7) Finančnou pomocou poskytnutou osobe podľa odseku 3 sa na účely tohto zákona rozumie každá peňažná pomoc poskytnutá z verejných prostriedkov týkajúca sa činnosti osoby podľa odseku 3, ktorá sa prejaví v cene za výsledok alebo výstup z jej činnosti.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(8)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3, orgán dohľadu môže uložiť osobe podľa odseku 3 pokutu vo výške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100 eur do 3 000 eur, ak ide o porušenie povinnosti podľa odseku 3 písm. a),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100 eur do 5 000 eur, ak ide o porušenie povinnosti podľa odseku 3 písm. b),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300 eur do 100 000 eur, ak ide o porušenie povinnosti podľa odseku 3 písm. c),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33 200 eur do 150 000 eur, ak ide o porušenie povinnosti podľa odseku 3 písm. d),</w:t>
            </w:r>
          </w:p>
          <w:p w:rsidR="00A55EC6" w:rsidRPr="00A55EC6" w:rsidRDefault="00A55EC6" w:rsidP="00A55EC6">
            <w:pPr>
              <w:numPr>
                <w:ilvl w:val="0"/>
                <w:numId w:val="8"/>
              </w:numPr>
              <w:ind w:left="784"/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1 000 eur do 200 000 eur, ak ide o porušenie povinnosti podľa odseku 3 písm. e).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lastRenderedPageBreak/>
              <w:t>(9) Ak osoba podľa odseku 3 nemala za predchádzajúce účtovné obdobie žiadny obrat, obrat osoby podľa odseku 3 za predchádzajúce účtovné obdobie nemožno zistiť alebo ak bol obrat osoby podľa odseku 3 za predchádzajúce účtovné obdobie nižší ako dolná hranica sadzby pokuty podľa odseku 4, orgán dohľadu uloží osobe podľa odseku 3 pokutu vo výške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200 eur do 6 000 eur, ak ide o opakované porušenie povinnosti podľa odseku 3 písm. a),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200 eur do 10 000 eur, ak ide o opakované porušenie povinnosti podľa odseku 3 písm. b),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600 eur do 150 000 eur, ak ide o opakované porušenie povinnosti podľa odseku 3 písm. c),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50 000 eur do 200 000 eur, ak ide o opakované porušenie povinnosti podľa odseku 3 písm. d),</w:t>
            </w:r>
          </w:p>
          <w:p w:rsidR="00A55EC6" w:rsidRPr="00A55EC6" w:rsidRDefault="00A55EC6" w:rsidP="00A55EC6">
            <w:pPr>
              <w:numPr>
                <w:ilvl w:val="0"/>
                <w:numId w:val="9"/>
              </w:num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od 2 000 eur do 250 000 eur, ak ide o opakované porušenie povinnosti podľa odseku 3 písm. e).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(10) Orgán dohľadu môže okrem opatrení podľa odsekov 1 a 2 a pokút podľa odsekov 3, 4, 8 a 9 uložiť osobe podľa odseku 3 sankcie podľa osobitného predpisu.</w:t>
            </w: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23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) 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(11) Pokuty sú príjmom štátneho rozpočtu.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lang w:eastAsia="en-US"/>
              </w:rPr>
              <w:t>(12) Na konanie o porušení povinnosti podľa tohto zákona a na ukladanie sankcií za jej porušenie sa vzťahuje osobitný predpis.</w:t>
            </w: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9e</w:t>
            </w:r>
            <w:r w:rsidRPr="00A55EC6">
              <w:rPr>
                <w:b/>
                <w:sz w:val="20"/>
                <w:szCs w:val="20"/>
                <w:lang w:eastAsia="en-US"/>
              </w:rPr>
              <w:t>)</w:t>
            </w:r>
          </w:p>
          <w:p w:rsid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80333B">
              <w:rPr>
                <w:sz w:val="20"/>
                <w:szCs w:val="20"/>
                <w:lang w:eastAsia="en-US"/>
              </w:rPr>
              <w:t>_______________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9e</w:t>
            </w:r>
            <w:r w:rsidRPr="00A55EC6">
              <w:rPr>
                <w:b/>
                <w:sz w:val="20"/>
                <w:szCs w:val="20"/>
                <w:lang w:eastAsia="en-US"/>
              </w:rPr>
              <w:t xml:space="preserve">) Zákon č. .../2023 Z. z. </w:t>
            </w:r>
          </w:p>
          <w:p w:rsidR="00A55EC6" w:rsidRPr="00A55EC6" w:rsidRDefault="00A55EC6" w:rsidP="00A55EC6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  <w:r w:rsidRPr="00A55EC6">
              <w:rPr>
                <w:b/>
                <w:sz w:val="20"/>
                <w:szCs w:val="20"/>
                <w:vertAlign w:val="superscript"/>
                <w:lang w:eastAsia="en-US"/>
              </w:rPr>
              <w:t>23</w:t>
            </w:r>
            <w:r w:rsidRPr="00A55EC6">
              <w:rPr>
                <w:b/>
                <w:sz w:val="20"/>
                <w:szCs w:val="20"/>
                <w:lang w:eastAsia="en-US"/>
              </w:rPr>
              <w:t>) § 68 písm. b) a c) zákona č. .../2023 Z. z.</w:t>
            </w:r>
          </w:p>
          <w:p w:rsidR="0048230F" w:rsidRDefault="0048230F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Pr="00850F0D" w:rsidRDefault="00A55EC6" w:rsidP="00DB634F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Orgán dohľadu uloží dohliadanej osobe za porušenie povinnosti podľa tohto zákona alebo právne záväzného aktu Európskej únie uvedeného v prílohe č. 1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a) pokutu podľa § 70,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b) povinnosť odstrániť obsah alebo zmeniť obsah uverejnený v online priestore, alebo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c) povinnosť zabezpečiť vymazanie domény.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(1) Zodpovednosť za porušenie povinnosti sa posudzuje a sankcia sa ukladá podľa zákona účinného v čase, keď k porušeniu povinnosti došlo. Ak v čase medzi porušením povinnosti a vydaním rozhodnutia o sankcii za porušenie povinnosti nadobudnú účinnosť viaceré zákony, zodpovednosť za porušenie povinnosti sa posudzuje a sankcia sa ukladá podľa zákona, ktorý je pre dohliadanú osobu priaznivejší.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(2) Orgán dohľadu môže uložiť každú sankciu podľa § 68 samostatne alebo spolu s inou sankciou podľa § 68; ustanovenie § 70 ods. 3 tým nie je dotknuté.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(3) Orgán dohľadu pri rozhodovaní o druhu sankcie a jej výmere prihliada najmä na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a) závažnosť, povahu, spôsob, rozsah, trvanie a okolnosti porušenia povinnosti,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lastRenderedPageBreak/>
              <w:t xml:space="preserve">b) záujem dohliadanej osoby o odstránenie alebo o zmiernenie negatívnych dôsledkov porušenia povinnosti vo vzťahu k spotrebiteľom, ktorý preukázateľne prejavila do vydania rozhodnutia o uložení sankcie,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c) predchádzajúce právoplatné rozhodnutia o uložení sankcie dohliadanej osobe tým istým orgánom dohľadu,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d) finančné výhody, ktoré dohliadaná osoba získala porušením povinnosti, alebo finančné straty, ktoré dohliadaná osoba v dôsledku porušenia povinnosti neutrpela, ak má orgán dohľadu tieto informácie k dispozícii,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e) sankciu uloženú príslušným orgánom iného členského štátu za rovnaké porušenie povinnosti, ak ide o porušenie povinnosti v rozsahu podľa osobitného predpisu,</w:t>
            </w:r>
            <w:r w:rsidRPr="00A55EC6">
              <w:rPr>
                <w:sz w:val="20"/>
                <w:szCs w:val="20"/>
                <w:vertAlign w:val="superscript"/>
                <w:lang w:eastAsia="en-US"/>
              </w:rPr>
              <w:t>124</w:t>
            </w:r>
            <w:r w:rsidRPr="00A55EC6">
              <w:rPr>
                <w:sz w:val="20"/>
                <w:szCs w:val="20"/>
                <w:lang w:eastAsia="en-US"/>
              </w:rPr>
              <w:t>)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f) iné priťažujúce a poľahčujúce okolnosti.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(4) Ak bola dohliadanej osobe za ten istý skutok uložená sankcia podľa osobitného predpisu na ochranu iného verejného záujmu ako ochrana spotrebiteľa, prihliada orgán dohľadu tiež na skôr uloženú sankciu.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(5) Sankciu za porušenie povinnosti podľa § 68 možno uložiť do dvoch rokov odo dňa, keď orgán dohľadu zistil porušenie povinnosti, najneskôr do štyroch rokov odo dňa, keď k porušeniu povinnosti došlo. Ak nemožno zistiť, kedy k porušeniu povinnosti došlo, považuje sa za deň porušenia povinnosti deň vyhotovenia zápisnice o úkone dohľadu, ktorým orgán dohľadu zistil porušenie povinnosti.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(6) Pri trvajúcom porušení povinnosti začína plynúť lehota na uloženie sankcie podľa odseku 5 posledným dňom trvania tohto porušenia. Tým nie je dotknuté neskoršie začatie plynutia lehoty na uloženie sankcie, ktorá podľa odseku 5 začína plynúť odo dňa zistenia porušenia povinnosti.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 xml:space="preserve">(7) V odvolacom konaní možno zmeniť uloženú sankciu v neprospech dohliadanej osoby, ak boli zistené nové podstatné skutkové okolnosti prípadu.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(8) Opakované porušenie tej istej povinnosti podľa tohto zákona alebo podľa právneho záväzného aktu Európskej únie uvedeného v prílohe č. 1, ktorým dohliadaná osoba poškodzuje alebo vážne ohrozuje kolektívne záujmy spotrebiteľov, a porušenie povinnosti zdržať sa používania neprijateľnej zmluvnej podmienky uloženej súdom v konaní o abstraktnej kontrole v spotrebiteľských veciach, sa považujú za osobitne závažné porušenie povinnosti dohliadanej osoby.</w:t>
            </w:r>
            <w:r w:rsidRPr="00A55EC6">
              <w:rPr>
                <w:sz w:val="20"/>
                <w:szCs w:val="20"/>
                <w:vertAlign w:val="superscript"/>
                <w:lang w:eastAsia="en-US"/>
              </w:rPr>
              <w:t>126</w:t>
            </w:r>
            <w:r w:rsidRPr="00A55EC6">
              <w:rPr>
                <w:sz w:val="20"/>
                <w:szCs w:val="20"/>
                <w:lang w:eastAsia="en-US"/>
              </w:rPr>
              <w:t xml:space="preserve">) Orgán dohľadu neuloží sankciu podľa § 68 za porušenie povinnosti podľa predchádzajúcej vety, ak podá podnet príslušnému živnostenskému úradu. 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lang w:eastAsia="en-US"/>
              </w:rPr>
              <w:t>_______________</w:t>
            </w:r>
          </w:p>
          <w:p w:rsidR="00A55EC6" w:rsidRPr="00A55EC6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vertAlign w:val="superscript"/>
                <w:lang w:eastAsia="en-US"/>
              </w:rPr>
              <w:t>124</w:t>
            </w:r>
            <w:r w:rsidRPr="00A55EC6">
              <w:rPr>
                <w:sz w:val="20"/>
                <w:szCs w:val="20"/>
                <w:lang w:eastAsia="en-US"/>
              </w:rPr>
              <w:t>) Čl. 3 ods. 2 až 4 nariadenia (EÚ) 2017/2394 v platnom znení.</w:t>
            </w:r>
          </w:p>
          <w:p w:rsidR="0048230F" w:rsidRPr="00850F0D" w:rsidRDefault="00A55EC6" w:rsidP="00A55EC6">
            <w:pPr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A55EC6">
              <w:rPr>
                <w:sz w:val="20"/>
                <w:szCs w:val="20"/>
                <w:vertAlign w:val="superscript"/>
                <w:lang w:eastAsia="en-US"/>
              </w:rPr>
              <w:t>126</w:t>
            </w:r>
            <w:r w:rsidRPr="00A55EC6">
              <w:rPr>
                <w:sz w:val="20"/>
                <w:szCs w:val="20"/>
                <w:lang w:eastAsia="en-US"/>
              </w:rPr>
              <w:t>) § 58 ods. 1 písm. c) zákona č. 455/1991 Zb. v znení neskorších predpisov.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50F0D">
              <w:rPr>
                <w:sz w:val="20"/>
                <w:szCs w:val="20"/>
                <w:lang w:eastAsia="en-US"/>
              </w:rPr>
              <w:lastRenderedPageBreak/>
              <w:t>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8230F" w:rsidRPr="00850F0D" w:rsidRDefault="0048230F" w:rsidP="00DB63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75AC7" w:rsidRPr="00850F0D" w:rsidRDefault="00375AC7" w:rsidP="0048230F">
      <w:pPr>
        <w:rPr>
          <w:sz w:val="20"/>
          <w:szCs w:val="20"/>
        </w:rPr>
      </w:pPr>
    </w:p>
    <w:sectPr w:rsidR="00375AC7" w:rsidRPr="00850F0D" w:rsidSect="00251538">
      <w:pgSz w:w="16838" w:h="11906" w:orient="landscape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1BB409AD"/>
    <w:multiLevelType w:val="multilevel"/>
    <w:tmpl w:val="AA3C653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F871C3"/>
    <w:multiLevelType w:val="multilevel"/>
    <w:tmpl w:val="B5564B62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5E70B7"/>
    <w:multiLevelType w:val="multilevel"/>
    <w:tmpl w:val="C1707D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016FA1"/>
    <w:multiLevelType w:val="hybridMultilevel"/>
    <w:tmpl w:val="19A66BF6"/>
    <w:lvl w:ilvl="0" w:tplc="804696F6">
      <w:start w:val="1"/>
      <w:numFmt w:val="lowerLetter"/>
      <w:pStyle w:val="add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A12CEC0">
      <w:start w:val="1"/>
      <w:numFmt w:val="lowerLetter"/>
      <w:pStyle w:val="adda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  <w:szCs w:val="24"/>
      </w:rPr>
    </w:lvl>
    <w:lvl w:ilvl="2" w:tplc="3EFE2BA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B71075"/>
    <w:multiLevelType w:val="multilevel"/>
    <w:tmpl w:val="24D6991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C54F50"/>
    <w:multiLevelType w:val="multilevel"/>
    <w:tmpl w:val="0B16AED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4310C3"/>
    <w:multiLevelType w:val="multilevel"/>
    <w:tmpl w:val="5546B3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BB5D41"/>
    <w:multiLevelType w:val="multilevel"/>
    <w:tmpl w:val="84F664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38"/>
    <w:rsid w:val="00143BB2"/>
    <w:rsid w:val="00226C6F"/>
    <w:rsid w:val="002433EA"/>
    <w:rsid w:val="00251538"/>
    <w:rsid w:val="00375AC7"/>
    <w:rsid w:val="0048230F"/>
    <w:rsid w:val="00530505"/>
    <w:rsid w:val="00540CC0"/>
    <w:rsid w:val="005472F5"/>
    <w:rsid w:val="006678C9"/>
    <w:rsid w:val="0080333B"/>
    <w:rsid w:val="00850F0D"/>
    <w:rsid w:val="008938C6"/>
    <w:rsid w:val="00A55EC6"/>
    <w:rsid w:val="00BA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3EF8"/>
  <w15:chartTrackingRefBased/>
  <w15:docId w15:val="{50F4E8AC-F33D-4589-866F-05AE07F9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51538"/>
    <w:pPr>
      <w:keepNext/>
      <w:outlineLvl w:val="0"/>
    </w:pPr>
    <w:rPr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51538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Nadpis3">
    <w:name w:val="heading 3"/>
    <w:basedOn w:val="Normlny"/>
    <w:next w:val="Normlny"/>
    <w:link w:val="Nadpis3Char"/>
    <w:uiPriority w:val="9"/>
    <w:qFormat/>
    <w:rsid w:val="00251538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251538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Nadpis5">
    <w:name w:val="heading 5"/>
    <w:basedOn w:val="Normlny"/>
    <w:next w:val="Normlny"/>
    <w:link w:val="Nadpis5Char"/>
    <w:uiPriority w:val="9"/>
    <w:rsid w:val="00251538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</w:rPr>
  </w:style>
  <w:style w:type="paragraph" w:styleId="Nadpis6">
    <w:name w:val="heading 6"/>
    <w:basedOn w:val="Normlny"/>
    <w:next w:val="Normlny"/>
    <w:link w:val="Nadpis6Char"/>
    <w:uiPriority w:val="9"/>
    <w:rsid w:val="00251538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251538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251538"/>
    <w:rPr>
      <w:rFonts w:ascii="Calibri" w:eastAsia="Calibri" w:hAnsi="Calibri" w:cs="Calibri"/>
      <w:b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51538"/>
    <w:rPr>
      <w:rFonts w:ascii="Calibri" w:eastAsia="Calibri" w:hAnsi="Calibri" w:cs="Calibri"/>
      <w:b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251538"/>
    <w:rPr>
      <w:rFonts w:ascii="Calibri" w:eastAsia="Calibri" w:hAnsi="Calibri" w:cs="Calibri"/>
      <w:b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251538"/>
    <w:rPr>
      <w:rFonts w:ascii="Calibri" w:eastAsia="Calibri" w:hAnsi="Calibri" w:cs="Calibri"/>
      <w:b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251538"/>
    <w:rPr>
      <w:rFonts w:ascii="Calibri" w:eastAsia="Calibri" w:hAnsi="Calibri" w:cs="Calibri"/>
      <w:b/>
      <w:sz w:val="20"/>
      <w:szCs w:val="20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251538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51538"/>
    <w:pPr>
      <w:ind w:left="720"/>
      <w:contextualSpacing/>
    </w:pPr>
  </w:style>
  <w:style w:type="paragraph" w:styleId="Nzov">
    <w:name w:val="Title"/>
    <w:basedOn w:val="Normlny"/>
    <w:link w:val="NzovChar"/>
    <w:uiPriority w:val="10"/>
    <w:qFormat/>
    <w:rsid w:val="00251538"/>
    <w:pPr>
      <w:jc w:val="center"/>
    </w:pPr>
    <w:rPr>
      <w:sz w:val="28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251538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ormlnywebov">
    <w:name w:val="Normal (Web)"/>
    <w:basedOn w:val="Normlny"/>
    <w:link w:val="NormlnywebovChar"/>
    <w:uiPriority w:val="99"/>
    <w:unhideWhenUsed/>
    <w:rsid w:val="00251538"/>
    <w:pPr>
      <w:spacing w:before="100" w:beforeAutospacing="1" w:after="100" w:afterAutospacing="1"/>
    </w:pPr>
  </w:style>
  <w:style w:type="paragraph" w:styleId="Zarkazkladnhotextu2">
    <w:name w:val="Body Text Indent 2"/>
    <w:basedOn w:val="Normlny"/>
    <w:link w:val="Zarkazkladnhotextu2Char"/>
    <w:uiPriority w:val="99"/>
    <w:rsid w:val="00251538"/>
    <w:pPr>
      <w:ind w:firstLine="708"/>
      <w:jc w:val="both"/>
    </w:pPr>
    <w:rPr>
      <w:rFonts w:eastAsiaTheme="minorEastAsia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153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Vykonaj">
    <w:name w:val="Vykonajú"/>
    <w:basedOn w:val="Normlny"/>
    <w:next w:val="Vykonajzoznam"/>
    <w:uiPriority w:val="99"/>
    <w:rsid w:val="00251538"/>
    <w:pPr>
      <w:keepNext/>
      <w:spacing w:before="360"/>
    </w:pPr>
    <w:rPr>
      <w:rFonts w:eastAsiaTheme="minorEastAsia"/>
      <w:b/>
      <w:bCs/>
    </w:rPr>
  </w:style>
  <w:style w:type="paragraph" w:customStyle="1" w:styleId="Vykonajzoznam">
    <w:name w:val="Vykonajú_zoznam"/>
    <w:basedOn w:val="Normlny"/>
    <w:uiPriority w:val="99"/>
    <w:rsid w:val="00251538"/>
    <w:pPr>
      <w:ind w:left="1418"/>
    </w:pPr>
    <w:rPr>
      <w:rFonts w:eastAsiaTheme="minorEastAsia"/>
    </w:rPr>
  </w:style>
  <w:style w:type="paragraph" w:customStyle="1" w:styleId="Navedomie">
    <w:name w:val="Na vedomie"/>
    <w:basedOn w:val="Vykonajzoznam"/>
    <w:next w:val="Normlny"/>
    <w:uiPriority w:val="99"/>
    <w:rsid w:val="00251538"/>
    <w:pPr>
      <w:spacing w:before="360"/>
      <w:ind w:left="0"/>
    </w:pPr>
    <w:rPr>
      <w:b/>
      <w:bCs/>
    </w:rPr>
  </w:style>
  <w:style w:type="paragraph" w:customStyle="1" w:styleId="Nosite">
    <w:name w:val="Nositeľ"/>
    <w:basedOn w:val="Normlny"/>
    <w:next w:val="Normlny"/>
    <w:uiPriority w:val="99"/>
    <w:rsid w:val="00251538"/>
    <w:pPr>
      <w:spacing w:before="240" w:after="120"/>
      <w:ind w:left="567"/>
    </w:pPr>
    <w:rPr>
      <w:rFonts w:eastAsiaTheme="minorEastAsia"/>
      <w:b/>
      <w:bCs/>
    </w:rPr>
  </w:style>
  <w:style w:type="paragraph" w:customStyle="1" w:styleId="Heading1orobas">
    <w:name w:val="Heading 1.Čo robí (časť)"/>
    <w:basedOn w:val="Normlny"/>
    <w:next w:val="Nosite"/>
    <w:uiPriority w:val="99"/>
    <w:rsid w:val="00251538"/>
    <w:pPr>
      <w:keepNext/>
      <w:numPr>
        <w:numId w:val="1"/>
      </w:numPr>
      <w:spacing w:before="360"/>
    </w:pPr>
    <w:rPr>
      <w:rFonts w:eastAsiaTheme="minorEastAsia"/>
      <w:b/>
      <w:bCs/>
      <w:kern w:val="32"/>
      <w:sz w:val="28"/>
      <w:szCs w:val="28"/>
    </w:rPr>
  </w:style>
  <w:style w:type="paragraph" w:customStyle="1" w:styleId="Heading2loha">
    <w:name w:val="Heading 2.Úloha"/>
    <w:basedOn w:val="Normlny"/>
    <w:uiPriority w:val="99"/>
    <w:rsid w:val="00251538"/>
    <w:pPr>
      <w:numPr>
        <w:ilvl w:val="1"/>
        <w:numId w:val="1"/>
      </w:numPr>
      <w:spacing w:before="120"/>
      <w:jc w:val="both"/>
    </w:pPr>
    <w:rPr>
      <w:rFonts w:eastAsiaTheme="minorEastAsia"/>
    </w:rPr>
  </w:style>
  <w:style w:type="character" w:customStyle="1" w:styleId="NormlnywebovChar">
    <w:name w:val="Normálny (webový) Char"/>
    <w:link w:val="Normlnywebov"/>
    <w:uiPriority w:val="99"/>
    <w:locked/>
    <w:rsid w:val="00251538"/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rsid w:val="00251538"/>
    <w:pPr>
      <w:spacing w:after="200" w:line="276" w:lineRule="auto"/>
    </w:pPr>
    <w:rPr>
      <w:rFonts w:ascii="Calibri" w:eastAsia="Calibri" w:hAnsi="Calibri" w:cs="Calibri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25153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51538"/>
    <w:pPr>
      <w:spacing w:after="200"/>
    </w:pPr>
    <w:rPr>
      <w:rFonts w:ascii="Calibri" w:eastAsia="Calibri" w:hAnsi="Calibri" w:cs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51538"/>
    <w:rPr>
      <w:rFonts w:ascii="Calibri" w:eastAsia="Calibri" w:hAnsi="Calibri" w:cs="Calibri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5153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51538"/>
    <w:rPr>
      <w:rFonts w:ascii="Calibri" w:eastAsia="Calibri" w:hAnsi="Calibri" w:cs="Calibri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unhideWhenUsed/>
    <w:rsid w:val="00251538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251538"/>
    <w:rPr>
      <w:rFonts w:ascii="Tahoma" w:eastAsia="Calibri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51538"/>
    <w:rPr>
      <w:rFonts w:ascii="Calibri" w:eastAsia="Calibri" w:hAnsi="Calibri" w:cs="Calibr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1538"/>
    <w:rPr>
      <w:rFonts w:ascii="Calibri" w:eastAsia="Calibri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5153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251538"/>
    <w:rPr>
      <w:color w:val="0000FF"/>
      <w:u w:val="single"/>
    </w:rPr>
  </w:style>
  <w:style w:type="paragraph" w:styleId="Revzia">
    <w:name w:val="Revision"/>
    <w:hidden/>
    <w:uiPriority w:val="99"/>
    <w:semiHidden/>
    <w:rsid w:val="00251538"/>
    <w:pPr>
      <w:spacing w:after="0" w:line="240" w:lineRule="auto"/>
    </w:pPr>
    <w:rPr>
      <w:rFonts w:ascii="Calibri" w:eastAsia="Calibri" w:hAnsi="Calibri" w:cs="Calibri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25153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basedOn w:val="Normlny"/>
    <w:rsid w:val="00251538"/>
    <w:pPr>
      <w:spacing w:before="100" w:beforeAutospacing="1" w:after="100" w:afterAutospacing="1"/>
    </w:pPr>
  </w:style>
  <w:style w:type="paragraph" w:customStyle="1" w:styleId="normal1">
    <w:name w:val="normal1"/>
    <w:basedOn w:val="Normlny"/>
    <w:rsid w:val="00251538"/>
    <w:pPr>
      <w:spacing w:before="120" w:line="312" w:lineRule="atLeast"/>
      <w:jc w:val="both"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5153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1538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51538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25153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HlavikaChar">
    <w:name w:val="Hlavička Char"/>
    <w:basedOn w:val="Predvolenpsmoodseku"/>
    <w:link w:val="Hlavika"/>
    <w:uiPriority w:val="99"/>
    <w:rsid w:val="00251538"/>
    <w:rPr>
      <w:rFonts w:ascii="Calibri" w:eastAsia="Calibri" w:hAnsi="Calibri" w:cs="Calibri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51538"/>
    <w:pPr>
      <w:tabs>
        <w:tab w:val="center" w:pos="4536"/>
        <w:tab w:val="right" w:pos="9072"/>
      </w:tabs>
    </w:pPr>
    <w:rPr>
      <w:rFonts w:ascii="Calibri" w:eastAsia="Calibri" w:hAnsi="Calibri" w:cs="Calibri"/>
    </w:rPr>
  </w:style>
  <w:style w:type="character" w:customStyle="1" w:styleId="PtaChar">
    <w:name w:val="Päta Char"/>
    <w:basedOn w:val="Predvolenpsmoodseku"/>
    <w:link w:val="Pta"/>
    <w:uiPriority w:val="99"/>
    <w:rsid w:val="00251538"/>
    <w:rPr>
      <w:rFonts w:ascii="Calibri" w:eastAsia="Calibri" w:hAnsi="Calibri" w:cs="Calibri"/>
      <w:lang w:eastAsia="sk-SK"/>
    </w:rPr>
  </w:style>
  <w:style w:type="character" w:customStyle="1" w:styleId="awspan1">
    <w:name w:val="awspan1"/>
    <w:basedOn w:val="Predvolenpsmoodseku"/>
    <w:rsid w:val="00251538"/>
    <w:rPr>
      <w:color w:val="000000"/>
      <w:sz w:val="24"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251538"/>
  </w:style>
  <w:style w:type="paragraph" w:customStyle="1" w:styleId="tlpocta">
    <w:name w:val="Štýl_pocta"/>
    <w:link w:val="tlpoctaChar"/>
    <w:qFormat/>
    <w:rsid w:val="0025153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32"/>
      <w:lang w:eastAsia="sk-SK"/>
    </w:rPr>
  </w:style>
  <w:style w:type="character" w:customStyle="1" w:styleId="tlpoctaChar">
    <w:name w:val="Štýl_pocta Char"/>
    <w:basedOn w:val="Predvolenpsmoodseku"/>
    <w:link w:val="tlpocta"/>
    <w:rsid w:val="00251538"/>
    <w:rPr>
      <w:rFonts w:ascii="Times New Roman" w:eastAsia="Times New Roman" w:hAnsi="Times New Roman" w:cs="Times New Roman"/>
      <w:b/>
      <w:color w:val="000000"/>
      <w:sz w:val="24"/>
      <w:szCs w:val="32"/>
      <w:lang w:eastAsia="sk-SK"/>
    </w:rPr>
  </w:style>
  <w:style w:type="paragraph" w:customStyle="1" w:styleId="norm">
    <w:name w:val="norm"/>
    <w:basedOn w:val="Normlny"/>
    <w:rsid w:val="00251538"/>
    <w:pPr>
      <w:spacing w:before="100" w:beforeAutospacing="1" w:after="100" w:afterAutospacing="1"/>
    </w:pPr>
  </w:style>
  <w:style w:type="paragraph" w:customStyle="1" w:styleId="Default">
    <w:name w:val="Default"/>
    <w:rsid w:val="002515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unhideWhenUsed/>
    <w:rsid w:val="00251538"/>
  </w:style>
  <w:style w:type="paragraph" w:styleId="Podtitul">
    <w:name w:val="Subtitle"/>
    <w:basedOn w:val="Normlny"/>
    <w:next w:val="Normlny"/>
    <w:link w:val="PodtitulChar"/>
    <w:uiPriority w:val="11"/>
    <w:rsid w:val="00251538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itulChar">
    <w:name w:val="Podtitul Char"/>
    <w:basedOn w:val="Predvolenpsmoodseku"/>
    <w:link w:val="Podtitul"/>
    <w:uiPriority w:val="11"/>
    <w:rsid w:val="00251538"/>
    <w:rPr>
      <w:rFonts w:ascii="Georgia" w:eastAsia="Georgia" w:hAnsi="Georgia" w:cs="Georgia"/>
      <w:i/>
      <w:color w:val="666666"/>
      <w:sz w:val="48"/>
      <w:szCs w:val="48"/>
      <w:lang w:eastAsia="sk-SK"/>
    </w:rPr>
  </w:style>
  <w:style w:type="paragraph" w:customStyle="1" w:styleId="doc-ti">
    <w:name w:val="doc-ti"/>
    <w:basedOn w:val="Normlny"/>
    <w:rsid w:val="00251538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251538"/>
    <w:rPr>
      <w:i/>
      <w:iCs/>
    </w:rPr>
  </w:style>
  <w:style w:type="paragraph" w:customStyle="1" w:styleId="adda">
    <w:name w:val="adda"/>
    <w:basedOn w:val="Normlny"/>
    <w:rsid w:val="00251538"/>
    <w:pPr>
      <w:keepNext/>
      <w:numPr>
        <w:ilvl w:val="1"/>
        <w:numId w:val="2"/>
      </w:numPr>
      <w:spacing w:before="60" w:after="60"/>
      <w:jc w:val="both"/>
    </w:pPr>
  </w:style>
  <w:style w:type="paragraph" w:customStyle="1" w:styleId="odsek">
    <w:name w:val="odsek"/>
    <w:basedOn w:val="Normlny"/>
    <w:rsid w:val="00251538"/>
    <w:pPr>
      <w:keepNext/>
      <w:spacing w:before="60" w:after="60"/>
      <w:ind w:firstLine="709"/>
      <w:jc w:val="both"/>
    </w:pPr>
  </w:style>
  <w:style w:type="paragraph" w:styleId="Bezriadkovania">
    <w:name w:val="No Spacing"/>
    <w:uiPriority w:val="1"/>
    <w:qFormat/>
    <w:rsid w:val="00251538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lang w:eastAsia="sk-SK"/>
    </w:rPr>
  </w:style>
  <w:style w:type="table" w:styleId="Mriekatabuky">
    <w:name w:val="Table Grid"/>
    <w:basedOn w:val="Normlnatabuka"/>
    <w:uiPriority w:val="59"/>
    <w:rsid w:val="0025153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raChar1">
    <w:name w:val="Text komentára Char1"/>
    <w:basedOn w:val="Predvolenpsmoodseku"/>
    <w:uiPriority w:val="99"/>
    <w:semiHidden/>
    <w:rsid w:val="00251538"/>
    <w:rPr>
      <w:sz w:val="20"/>
      <w:szCs w:val="20"/>
      <w:lang w:eastAsia="sk-SK"/>
    </w:rPr>
  </w:style>
  <w:style w:type="character" w:customStyle="1" w:styleId="TextkomentraChar121">
    <w:name w:val="Text komentára Char12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0">
    <w:name w:val="Text komentára Char12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9">
    <w:name w:val="Text komentára Char1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8">
    <w:name w:val="Text komentára Char1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7">
    <w:name w:val="Text komentára Char1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6">
    <w:name w:val="Text komentára Char1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5">
    <w:name w:val="Text komentára Char1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4">
    <w:name w:val="Text komentára Char1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3">
    <w:name w:val="Text komentára Char1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2">
    <w:name w:val="Text komentára Char1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1">
    <w:name w:val="Text komentára Char11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0">
    <w:name w:val="Text komentára Char11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9">
    <w:name w:val="Text komentára Char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8">
    <w:name w:val="Text komentára Char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7">
    <w:name w:val="Text komentára Char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6">
    <w:name w:val="Text komentára Char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5">
    <w:name w:val="Text komentára Char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4">
    <w:name w:val="Text komentára Char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">
    <w:name w:val="Text komentára Char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">
    <w:name w:val="Text komentára Char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1">
    <w:name w:val="Text komentára Char11"/>
    <w:basedOn w:val="Predvolenpsmoodseku"/>
    <w:uiPriority w:val="99"/>
    <w:semiHidden/>
    <w:rsid w:val="00251538"/>
    <w:rPr>
      <w:rFonts w:eastAsia="Times New Roman" w:cs="Times New Roman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eastAsia="sk-SK"/>
    </w:rPr>
  </w:style>
  <w:style w:type="character" w:customStyle="1" w:styleId="PredmetkomentraChar121">
    <w:name w:val="Predmet komentára Char12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0">
    <w:name w:val="Predmet komentára Char12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9">
    <w:name w:val="Predmet komentára Char11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8">
    <w:name w:val="Predmet komentára Char11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7">
    <w:name w:val="Predmet komentára Char11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6">
    <w:name w:val="Predmet komentára Char11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5">
    <w:name w:val="Predmet komentára Char11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4">
    <w:name w:val="Predmet komentára Char11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3">
    <w:name w:val="Predmet komentára Char11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2">
    <w:name w:val="Predmet komentára Char11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1">
    <w:name w:val="Predmet komentára Char11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0">
    <w:name w:val="Predmet komentára Char11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9">
    <w:name w:val="Predmet komentára Char1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8">
    <w:name w:val="Predmet komentára Char1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7">
    <w:name w:val="Predmet komentára Char1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6">
    <w:name w:val="Predmet komentára Char1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5">
    <w:name w:val="Predmet komentára Char1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4">
    <w:name w:val="Predmet komentára Char1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">
    <w:name w:val="Predmet komentára Char1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11"/>
    <w:uiPriority w:val="99"/>
    <w:semiHidden/>
    <w:rsid w:val="00251538"/>
    <w:rPr>
      <w:rFonts w:eastAsia="Times New Roman" w:cs="Times New Roman"/>
      <w:b/>
      <w:bCs/>
      <w:sz w:val="20"/>
      <w:szCs w:val="20"/>
      <w:lang w:val="x-none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jc w:val="both"/>
      <w:textAlignment w:val="baseline"/>
    </w:pPr>
  </w:style>
  <w:style w:type="paragraph" w:styleId="Obsah2">
    <w:name w:val="toc 2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220"/>
      <w:jc w:val="both"/>
      <w:textAlignment w:val="baseline"/>
    </w:pPr>
  </w:style>
  <w:style w:type="paragraph" w:styleId="Obsah3">
    <w:name w:val="toc 3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440"/>
      <w:jc w:val="both"/>
      <w:textAlignment w:val="baseline"/>
    </w:pPr>
  </w:style>
  <w:style w:type="paragraph" w:styleId="Obsah4">
    <w:name w:val="toc 4"/>
    <w:basedOn w:val="Normlny"/>
    <w:next w:val="Normlny"/>
    <w:autoRedefine/>
    <w:uiPriority w:val="39"/>
    <w:unhideWhenUsed/>
    <w:rsid w:val="00251538"/>
    <w:pPr>
      <w:widowControl w:val="0"/>
      <w:adjustRightInd w:val="0"/>
      <w:spacing w:after="100"/>
      <w:ind w:left="660"/>
      <w:jc w:val="both"/>
      <w:textAlignment w:val="baseline"/>
    </w:pPr>
  </w:style>
  <w:style w:type="paragraph" w:customStyle="1" w:styleId="ti-art">
    <w:name w:val="ti-art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paragraph" w:customStyle="1" w:styleId="sti-art">
    <w:name w:val="sti-art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paragraph" w:customStyle="1" w:styleId="Normlny2">
    <w:name w:val="Normálny2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251538"/>
    <w:rPr>
      <w:rFonts w:ascii="Calibri" w:hAnsi="Calibri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251538"/>
    <w:pPr>
      <w:widowControl w:val="0"/>
      <w:adjustRightInd w:val="0"/>
      <w:jc w:val="both"/>
      <w:textAlignment w:val="baseline"/>
    </w:pPr>
    <w:rPr>
      <w:rFonts w:ascii="Calibri" w:hAnsi="Calibri"/>
      <w:sz w:val="20"/>
      <w:szCs w:val="20"/>
    </w:rPr>
  </w:style>
  <w:style w:type="character" w:customStyle="1" w:styleId="TextvysvetlivkyChar1">
    <w:name w:val="Text vysvetlivky Char1"/>
    <w:basedOn w:val="Predvolenpsmoodseku"/>
    <w:uiPriority w:val="99"/>
    <w:semiHidden/>
    <w:rsid w:val="00251538"/>
    <w:rPr>
      <w:sz w:val="20"/>
      <w:szCs w:val="20"/>
    </w:rPr>
  </w:style>
  <w:style w:type="character" w:customStyle="1" w:styleId="TextvysvetlivkyChar121">
    <w:name w:val="Text vysvetlivky Char12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0">
    <w:name w:val="Text vysvetlivky Char12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9">
    <w:name w:val="Text vysvetlivky Char1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8">
    <w:name w:val="Text vysvetlivky Char1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7">
    <w:name w:val="Text vysvetlivky Char1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6">
    <w:name w:val="Text vysvetlivky Char1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5">
    <w:name w:val="Text vysvetlivky Char1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4">
    <w:name w:val="Text vysvetlivky Char1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3">
    <w:name w:val="Text vysvetlivky Char1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2">
    <w:name w:val="Text vysvetlivky Char1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1">
    <w:name w:val="Text vysvetlivky Char11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0">
    <w:name w:val="Text vysvetlivky Char11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9">
    <w:name w:val="Text vysvetlivky Char1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8">
    <w:name w:val="Text vysvetlivky Char1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7">
    <w:name w:val="Text vysvetlivky Char1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6">
    <w:name w:val="Text vysvetlivky Char1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5">
    <w:name w:val="Text vysvetlivky Char1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4">
    <w:name w:val="Text vysvetlivky Char1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">
    <w:name w:val="Text vysvetlivky Char1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">
    <w:name w:val="Text vysvetlivky Char1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1">
    <w:name w:val="Text vysvetlivky Char11"/>
    <w:basedOn w:val="Predvolenpsmoodseku"/>
    <w:uiPriority w:val="99"/>
    <w:semiHidden/>
    <w:rsid w:val="00251538"/>
    <w:rPr>
      <w:rFonts w:eastAsia="Times New Roman" w:cs="Times New Roman"/>
      <w:sz w:val="20"/>
      <w:szCs w:val="20"/>
      <w:lang w:val="x-none" w:eastAsia="sk-SK"/>
    </w:rPr>
  </w:style>
  <w:style w:type="paragraph" w:styleId="Zkladntext3">
    <w:name w:val="Body Text 3"/>
    <w:basedOn w:val="Normlny"/>
    <w:link w:val="Zkladntext3Char"/>
    <w:uiPriority w:val="99"/>
    <w:rsid w:val="00251538"/>
    <w:pPr>
      <w:widowControl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251538"/>
    <w:pPr>
      <w:widowControl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Normlny0">
    <w:name w:val="_Normálny"/>
    <w:basedOn w:val="Normlny"/>
    <w:uiPriority w:val="99"/>
    <w:rsid w:val="00251538"/>
    <w:pPr>
      <w:widowControl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PARA">
    <w:name w:val="PARA"/>
    <w:basedOn w:val="Normlny"/>
    <w:next w:val="Normlny"/>
    <w:uiPriority w:val="99"/>
    <w:rsid w:val="00251538"/>
    <w:pPr>
      <w:keepNext/>
      <w:keepLines/>
      <w:widowControl w:val="0"/>
      <w:tabs>
        <w:tab w:val="left" w:pos="680"/>
      </w:tabs>
      <w:autoSpaceDE w:val="0"/>
      <w:autoSpaceDN w:val="0"/>
      <w:adjustRightInd w:val="0"/>
      <w:spacing w:before="240" w:after="120"/>
      <w:jc w:val="center"/>
      <w:textAlignment w:val="baseline"/>
    </w:pPr>
    <w:rPr>
      <w:sz w:val="20"/>
      <w:szCs w:val="20"/>
      <w:lang w:val="en-US"/>
    </w:rPr>
  </w:style>
  <w:style w:type="paragraph" w:customStyle="1" w:styleId="abc">
    <w:name w:val="abc"/>
    <w:basedOn w:val="Normlny"/>
    <w:uiPriority w:val="99"/>
    <w:rsid w:val="00251538"/>
    <w:pPr>
      <w:widowControl w:val="0"/>
      <w:tabs>
        <w:tab w:val="left" w:pos="360"/>
        <w:tab w:val="left" w:pos="680"/>
      </w:tabs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CM1">
    <w:name w:val="CM1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CM3">
    <w:name w:val="CM3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CM4">
    <w:name w:val="CM4"/>
    <w:basedOn w:val="Default"/>
    <w:next w:val="Default"/>
    <w:uiPriority w:val="99"/>
    <w:rsid w:val="00251538"/>
    <w:pPr>
      <w:widowControl w:val="0"/>
      <w:jc w:val="both"/>
      <w:textAlignment w:val="baseline"/>
    </w:pPr>
    <w:rPr>
      <w:rFonts w:ascii="EUAlbertina" w:eastAsia="Times New Roman" w:hAnsi="EUAlbertina"/>
      <w:color w:val="auto"/>
      <w:sz w:val="20"/>
      <w:szCs w:val="20"/>
    </w:rPr>
  </w:style>
  <w:style w:type="paragraph" w:customStyle="1" w:styleId="l3">
    <w:name w:val="l3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  <w:lang w:val="en-US"/>
    </w:rPr>
  </w:style>
  <w:style w:type="character" w:customStyle="1" w:styleId="num1">
    <w:name w:val="num1"/>
    <w:rsid w:val="00251538"/>
    <w:rPr>
      <w:b/>
      <w:color w:val="303030"/>
    </w:rPr>
  </w:style>
  <w:style w:type="character" w:customStyle="1" w:styleId="h1a1">
    <w:name w:val="h1a1"/>
    <w:rsid w:val="00251538"/>
    <w:rPr>
      <w:sz w:val="24"/>
    </w:rPr>
  </w:style>
  <w:style w:type="character" w:customStyle="1" w:styleId="italic">
    <w:name w:val="italic"/>
    <w:basedOn w:val="Predvolenpsmoodseku"/>
    <w:rsid w:val="00251538"/>
    <w:rPr>
      <w:rFonts w:cs="Times New Roman"/>
    </w:rPr>
  </w:style>
  <w:style w:type="paragraph" w:customStyle="1" w:styleId="ti-grseq-1">
    <w:name w:val="ti-grseq-1"/>
    <w:basedOn w:val="Normlny"/>
    <w:rsid w:val="00251538"/>
    <w:pPr>
      <w:widowControl w:val="0"/>
      <w:adjustRightInd w:val="0"/>
      <w:spacing w:before="100" w:beforeAutospacing="1" w:after="100" w:afterAutospacing="1"/>
      <w:jc w:val="both"/>
      <w:textAlignment w:val="baseline"/>
    </w:pPr>
    <w:rPr>
      <w:sz w:val="20"/>
      <w:szCs w:val="20"/>
    </w:rPr>
  </w:style>
  <w:style w:type="character" w:customStyle="1" w:styleId="bold">
    <w:name w:val="bold"/>
    <w:basedOn w:val="Predvolenpsmoodseku"/>
    <w:rsid w:val="00251538"/>
    <w:rPr>
      <w:rFonts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51538"/>
    <w:pPr>
      <w:widowControl w:val="0"/>
      <w:adjustRightInd w:val="0"/>
      <w:spacing w:after="120"/>
      <w:jc w:val="both"/>
      <w:textAlignment w:val="baseline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5153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251538"/>
    <w:rPr>
      <w:rFonts w:cs="Times New Roman"/>
      <w:b/>
    </w:rPr>
  </w:style>
  <w:style w:type="character" w:customStyle="1" w:styleId="TextkomentraChar122">
    <w:name w:val="Text komentára Char12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PredmetkomentraChar122">
    <w:name w:val="Predmet komentára Char122"/>
    <w:basedOn w:val="TextkomentraChar"/>
    <w:uiPriority w:val="99"/>
    <w:semiHidden/>
    <w:rsid w:val="00251538"/>
    <w:rPr>
      <w:rFonts w:ascii="Calibri" w:eastAsia="Calibri" w:hAnsi="Calibri" w:cs="Calibri"/>
      <w:b/>
      <w:bCs/>
      <w:sz w:val="20"/>
      <w:szCs w:val="20"/>
      <w:lang w:val="x-none" w:eastAsia="sk-SK"/>
    </w:rPr>
  </w:style>
  <w:style w:type="character" w:customStyle="1" w:styleId="TextvysvetlivkyChar122">
    <w:name w:val="Text vysvetlivky Char12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7">
    <w:name w:val="Text komentára Char13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6">
    <w:name w:val="Text komentára Char13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5">
    <w:name w:val="Text komentára Char13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4">
    <w:name w:val="Text komentára Char13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3">
    <w:name w:val="Text komentára Char13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2">
    <w:name w:val="Text komentára Char13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1">
    <w:name w:val="Text komentára Char13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30">
    <w:name w:val="Text komentára Char13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9">
    <w:name w:val="Text komentára Char12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8">
    <w:name w:val="Text komentára Char12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7">
    <w:name w:val="Text komentára Char12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6">
    <w:name w:val="Text komentára Char12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5">
    <w:name w:val="Text komentára Char12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4">
    <w:name w:val="Text komentára Char12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komentraChar123">
    <w:name w:val="Text komentára Char12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PredmetkomentraChar137">
    <w:name w:val="Predmet komentára Char13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6">
    <w:name w:val="Predmet komentára Char13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5">
    <w:name w:val="Predmet komentára Char13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4">
    <w:name w:val="Predmet komentára Char13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3">
    <w:name w:val="Predmet komentára Char13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2">
    <w:name w:val="Predmet komentára Char132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1">
    <w:name w:val="Predmet komentára Char131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30">
    <w:name w:val="Predmet komentára Char130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9">
    <w:name w:val="Predmet komentára Char129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8">
    <w:name w:val="Predmet komentára Char128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7">
    <w:name w:val="Predmet komentára Char127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6">
    <w:name w:val="Predmet komentára Char126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5">
    <w:name w:val="Predmet komentára Char125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4">
    <w:name w:val="Predmet komentára Char124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PredmetkomentraChar123">
    <w:name w:val="Predmet komentára Char123"/>
    <w:basedOn w:val="TextkomentraChar"/>
    <w:uiPriority w:val="99"/>
    <w:semiHidden/>
    <w:rsid w:val="00251538"/>
    <w:rPr>
      <w:rFonts w:ascii="Calibri" w:eastAsia="Calibri" w:hAnsi="Calibri" w:cs="Times New Roman"/>
      <w:b/>
      <w:bCs/>
      <w:sz w:val="20"/>
      <w:szCs w:val="20"/>
      <w:lang w:val="x-none" w:eastAsia="sk-SK"/>
    </w:rPr>
  </w:style>
  <w:style w:type="character" w:customStyle="1" w:styleId="TextvysvetlivkyChar137">
    <w:name w:val="Text vysvetlivky Char13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6">
    <w:name w:val="Text vysvetlivky Char13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5">
    <w:name w:val="Text vysvetlivky Char13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4">
    <w:name w:val="Text vysvetlivky Char13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3">
    <w:name w:val="Text vysvetlivky Char13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2">
    <w:name w:val="Text vysvetlivky Char132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1">
    <w:name w:val="Text vysvetlivky Char131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30">
    <w:name w:val="Text vysvetlivky Char130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9">
    <w:name w:val="Text vysvetlivky Char129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8">
    <w:name w:val="Text vysvetlivky Char128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7">
    <w:name w:val="Text vysvetlivky Char127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6">
    <w:name w:val="Text vysvetlivky Char126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5">
    <w:name w:val="Text vysvetlivky Char125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4">
    <w:name w:val="Text vysvetlivky Char124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TextvysvetlivkyChar123">
    <w:name w:val="Text vysvetlivky Char123"/>
    <w:basedOn w:val="Predvolenpsmoodseku"/>
    <w:uiPriority w:val="99"/>
    <w:semiHidden/>
    <w:rsid w:val="00251538"/>
    <w:rPr>
      <w:rFonts w:cs="Times New Roman"/>
      <w:sz w:val="20"/>
      <w:szCs w:val="20"/>
      <w:lang w:val="x-none" w:eastAsia="sk-SK"/>
    </w:rPr>
  </w:style>
  <w:style w:type="character" w:customStyle="1" w:styleId="awspan">
    <w:name w:val="awspan"/>
    <w:basedOn w:val="Predvolenpsmoodseku"/>
    <w:rsid w:val="00251538"/>
    <w:rPr>
      <w:rFonts w:cs="Times New Roman"/>
    </w:rPr>
  </w:style>
  <w:style w:type="character" w:customStyle="1" w:styleId="super">
    <w:name w:val="super"/>
    <w:basedOn w:val="Predvolenpsmoodseku"/>
    <w:rsid w:val="00251538"/>
    <w:rPr>
      <w:rFonts w:cs="Times New Roman"/>
    </w:rPr>
  </w:style>
  <w:style w:type="table" w:customStyle="1" w:styleId="Mriekatabuky1">
    <w:name w:val="Mriežka tabuľky1"/>
    <w:basedOn w:val="Normlnatabuka"/>
    <w:next w:val="Mriekatabuky"/>
    <w:uiPriority w:val="59"/>
    <w:unhideWhenUsed/>
    <w:rsid w:val="00251538"/>
    <w:pPr>
      <w:spacing w:after="0" w:line="240" w:lineRule="auto"/>
    </w:pPr>
    <w:rPr>
      <w:rFonts w:ascii="Arial" w:eastAsia="Arial" w:hAnsi="Arial" w:cs="Aria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25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51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2">
    <w:name w:val="Bez zoznamu2"/>
    <w:next w:val="Bezzoznamu"/>
    <w:uiPriority w:val="99"/>
    <w:semiHidden/>
    <w:unhideWhenUsed/>
    <w:rsid w:val="0025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2021-12-23T07:49:00Z</dcterms:created>
  <dcterms:modified xsi:type="dcterms:W3CDTF">2023-01-27T15:42:00Z</dcterms:modified>
</cp:coreProperties>
</file>