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27" w:rsidRPr="002C5D27" w:rsidRDefault="002C5D27" w:rsidP="002C5D27">
      <w:pPr>
        <w:spacing w:after="0" w:line="240" w:lineRule="auto"/>
        <w:jc w:val="center"/>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Analýza vplyvov na podnikateľské prostredie</w:t>
      </w: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b/>
          <w:sz w:val="24"/>
          <w:szCs w:val="24"/>
          <w:lang w:eastAsia="sk-SK"/>
        </w:rPr>
        <w:t xml:space="preserve">Názov materiálu: </w:t>
      </w:r>
      <w:r w:rsidRPr="002C5D27">
        <w:rPr>
          <w:rFonts w:ascii="Times New Roman" w:eastAsia="Calibri" w:hAnsi="Times New Roman" w:cs="Times New Roman"/>
          <w:sz w:val="24"/>
          <w:szCs w:val="24"/>
          <w:lang w:eastAsia="sk-SK"/>
        </w:rPr>
        <w:t>Návrh zákona o ochrane spotrebiteľa a o zmene a doplnení niektorých zákonov</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b/>
          <w:sz w:val="24"/>
          <w:szCs w:val="24"/>
          <w:lang w:eastAsia="sk-SK"/>
        </w:rPr>
        <w:t xml:space="preserve">Predkladateľ: </w:t>
      </w:r>
      <w:r w:rsidRPr="002C5D27">
        <w:rPr>
          <w:rFonts w:ascii="Times New Roman" w:eastAsia="Calibri" w:hAnsi="Times New Roman" w:cs="Times New Roman"/>
          <w:sz w:val="24"/>
          <w:szCs w:val="24"/>
          <w:lang w:eastAsia="sk-SK"/>
        </w:rPr>
        <w:t xml:space="preserve">Ministerstvo hospodárstva Slovenskej republiky </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3.1 Náklady regulácie </w:t>
      </w:r>
    </w:p>
    <w:p w:rsidR="002C5D27" w:rsidRPr="002C5D27" w:rsidRDefault="002C5D27" w:rsidP="002C5D27">
      <w:pPr>
        <w:tabs>
          <w:tab w:val="left" w:pos="8025"/>
        </w:tabs>
        <w:spacing w:after="0" w:line="240" w:lineRule="auto"/>
        <w:rPr>
          <w:rFonts w:ascii="Times New Roman" w:eastAsia="Calibri" w:hAnsi="Times New Roman" w:cs="Times New Roman"/>
          <w:bCs/>
          <w:i/>
          <w:iCs/>
          <w:sz w:val="24"/>
          <w:szCs w:val="24"/>
          <w:lang w:eastAsia="sk-SK"/>
        </w:rPr>
      </w:pPr>
      <w:r w:rsidRPr="002C5D27">
        <w:rPr>
          <w:rFonts w:ascii="Times New Roman" w:eastAsia="Calibri" w:hAnsi="Times New Roman" w:cs="Times New Roman"/>
          <w:b/>
          <w:i/>
          <w:iCs/>
          <w:sz w:val="24"/>
          <w:szCs w:val="24"/>
          <w:lang w:eastAsia="sk-SK"/>
        </w:rPr>
        <w:t xml:space="preserve">3.1.1 Súhrnná tabuľka nákladov regulácie </w:t>
      </w:r>
      <w:r w:rsidRPr="002C5D27">
        <w:rPr>
          <w:rFonts w:ascii="Times New Roman" w:eastAsia="Calibri" w:hAnsi="Times New Roman" w:cs="Times New Roman"/>
          <w:b/>
          <w:i/>
          <w:iCs/>
          <w:sz w:val="24"/>
          <w:szCs w:val="24"/>
          <w:lang w:eastAsia="sk-SK"/>
        </w:rPr>
        <w:tab/>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Tabuľka č. 1: Zmeny nákladov (ročne) v prepočte na podnikateľské prostredie (PP), vyhodnotenie mechanizmu znižovania byrokracie a nákladov. </w:t>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752303" w:rsidRPr="00752303" w:rsidTr="00752303">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Zníženie nákladov v € na PP</w:t>
            </w:r>
          </w:p>
        </w:tc>
      </w:tr>
      <w:tr w:rsidR="00752303" w:rsidRPr="00752303" w:rsidTr="00752303">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proofErr w:type="spellStart"/>
            <w:r w:rsidRPr="00752303">
              <w:rPr>
                <w:rFonts w:ascii="Times New Roman" w:eastAsia="Times New Roman" w:hAnsi="Times New Roman" w:cs="Times New Roman"/>
                <w:b/>
                <w:bCs/>
                <w:i/>
                <w:iCs/>
                <w:color w:val="000000"/>
                <w:sz w:val="20"/>
                <w:szCs w:val="20"/>
                <w:lang w:eastAsia="sk-SK"/>
              </w:rPr>
              <w:t>A.Dane</w:t>
            </w:r>
            <w:proofErr w:type="spellEnd"/>
            <w:r w:rsidRPr="00752303">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752303">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1 600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49 591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631 382</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51 191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631 382</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w:t>
            </w:r>
          </w:p>
        </w:tc>
      </w:tr>
      <w:tr w:rsidR="00752303" w:rsidRPr="00752303" w:rsidTr="00752303">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 xml:space="preserve">E. Vplyv na </w:t>
            </w:r>
            <w:proofErr w:type="spellStart"/>
            <w:r w:rsidRPr="00752303">
              <w:rPr>
                <w:rFonts w:ascii="Times New Roman" w:eastAsia="Times New Roman" w:hAnsi="Times New Roman" w:cs="Times New Roman"/>
                <w:b/>
                <w:bCs/>
                <w:i/>
                <w:iCs/>
                <w:color w:val="000000"/>
                <w:sz w:val="20"/>
                <w:szCs w:val="20"/>
                <w:lang w:eastAsia="sk-SK"/>
              </w:rPr>
              <w:t>mikro</w:t>
            </w:r>
            <w:proofErr w:type="spellEnd"/>
            <w:r w:rsidRPr="00752303">
              <w:rPr>
                <w:rFonts w:ascii="Times New Roman" w:eastAsia="Times New Roman" w:hAnsi="Times New Roman" w:cs="Times New Roman"/>
                <w:b/>
                <w:bCs/>
                <w:i/>
                <w:iCs/>
                <w:color w:val="000000"/>
                <w:sz w:val="20"/>
                <w:szCs w:val="20"/>
                <w:lang w:eastAsia="sk-SK"/>
              </w:rPr>
              <w:t xml:space="preserve">, malé a stredné </w:t>
            </w:r>
            <w:proofErr w:type="spellStart"/>
            <w:r w:rsidRPr="00752303">
              <w:rPr>
                <w:rFonts w:ascii="Times New Roman" w:eastAsia="Times New Roman" w:hAnsi="Times New Roman" w:cs="Times New Roman"/>
                <w:b/>
                <w:bCs/>
                <w:i/>
                <w:iCs/>
                <w:color w:val="000000"/>
                <w:sz w:val="20"/>
                <w:szCs w:val="20"/>
                <w:lang w:eastAsia="sk-SK"/>
              </w:rPr>
              <w:t>podn</w:t>
            </w:r>
            <w:proofErr w:type="spellEnd"/>
            <w:r w:rsidRPr="00752303">
              <w:rPr>
                <w:rFonts w:ascii="Times New Roman" w:eastAsia="Times New Roman" w:hAnsi="Times New Roman" w:cs="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48 922</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630 749</w:t>
            </w:r>
          </w:p>
        </w:tc>
      </w:tr>
      <w:tr w:rsidR="00752303" w:rsidRPr="00752303" w:rsidTr="00752303">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F. Úplná harmonizácia práva EÚ</w:t>
            </w:r>
            <w:r w:rsidRPr="00752303">
              <w:rPr>
                <w:rFonts w:ascii="Times New Roman" w:eastAsia="Times New Roman" w:hAnsi="Times New Roman" w:cs="Times New Roman"/>
                <w:b/>
                <w:bCs/>
                <w:i/>
                <w:iCs/>
                <w:color w:val="000000"/>
                <w:sz w:val="20"/>
                <w:szCs w:val="20"/>
                <w:lang w:eastAsia="sk-SK"/>
              </w:rPr>
              <w:br/>
            </w:r>
            <w:r w:rsidRPr="00752303">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752303">
              <w:rPr>
                <w:rFonts w:ascii="Times New Roman" w:eastAsia="Times New Roman" w:hAnsi="Times New Roman" w:cs="Times New Roman"/>
                <w:i/>
                <w:iCs/>
                <w:color w:val="000000"/>
                <w:sz w:val="16"/>
                <w:szCs w:val="16"/>
                <w:lang w:eastAsia="sk-SK"/>
              </w:rPr>
              <w:t>externality</w:t>
            </w:r>
            <w:proofErr w:type="spellEnd"/>
            <w:r w:rsidRPr="00752303">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51 191</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270"/>
        </w:trPr>
        <w:tc>
          <w:tcPr>
            <w:tcW w:w="3780" w:type="dxa"/>
            <w:tcBorders>
              <w:top w:val="nil"/>
              <w:left w:val="nil"/>
              <w:bottom w:val="nil"/>
              <w:right w:val="nil"/>
            </w:tcBorders>
            <w:shd w:val="clear" w:color="auto" w:fill="auto"/>
            <w:noWrap/>
            <w:vAlign w:val="bottom"/>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r>
      <w:tr w:rsidR="00752303" w:rsidRPr="00752303" w:rsidTr="00752303">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i/>
                <w:iCs/>
                <w:color w:val="000000"/>
                <w:sz w:val="20"/>
                <w:szCs w:val="20"/>
                <w:lang w:eastAsia="sk-SK"/>
              </w:rPr>
            </w:pPr>
            <w:r w:rsidRPr="00752303">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OUT</w:t>
            </w:r>
          </w:p>
        </w:tc>
      </w:tr>
      <w:tr w:rsidR="00752303" w:rsidRPr="00752303" w:rsidTr="00752303">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i/>
                <w:iCs/>
                <w:color w:val="000000"/>
                <w:sz w:val="20"/>
                <w:szCs w:val="20"/>
                <w:lang w:eastAsia="sk-SK"/>
              </w:rPr>
            </w:pPr>
            <w:r w:rsidRPr="00752303">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631 382</w:t>
            </w:r>
          </w:p>
        </w:tc>
      </w:tr>
    </w:tbl>
    <w:p w:rsidR="002C5D27" w:rsidRPr="002C5D27" w:rsidRDefault="002C5D27" w:rsidP="002C5D27">
      <w:pPr>
        <w:spacing w:after="0" w:line="240" w:lineRule="auto"/>
        <w:rPr>
          <w:rFonts w:ascii="Times New Roman" w:eastAsia="Calibri" w:hAnsi="Times New Roman" w:cs="Times New Roman"/>
          <w:i/>
          <w:sz w:val="24"/>
          <w:szCs w:val="24"/>
          <w:lang w:eastAsia="sk-SK"/>
        </w:rPr>
      </w:pPr>
    </w:p>
    <w:p w:rsidR="002C5D27" w:rsidRPr="002C5D27" w:rsidRDefault="002C5D27" w:rsidP="002C5D27">
      <w:pPr>
        <w:spacing w:after="0" w:line="240" w:lineRule="auto"/>
        <w:rPr>
          <w:rFonts w:ascii="Times New Roman" w:eastAsia="Calibri" w:hAnsi="Times New Roman" w:cs="Times New Roman"/>
          <w:b/>
          <w:sz w:val="24"/>
          <w:szCs w:val="24"/>
          <w:lang w:eastAsia="sk-SK"/>
        </w:rPr>
      </w:pPr>
    </w:p>
    <w:p w:rsidR="002C5D27" w:rsidRPr="002C5D27" w:rsidRDefault="002C5D27" w:rsidP="002C5D27">
      <w:pPr>
        <w:spacing w:after="0" w:line="240" w:lineRule="auto"/>
        <w:rPr>
          <w:rFonts w:ascii="Times New Roman" w:eastAsia="Calibri" w:hAnsi="Times New Roman" w:cs="Times New Roman"/>
          <w:b/>
          <w:sz w:val="24"/>
          <w:szCs w:val="24"/>
          <w:lang w:eastAsia="sk-SK"/>
        </w:rPr>
        <w:sectPr w:rsidR="002C5D27" w:rsidRPr="002C5D27" w:rsidSect="00B3302B">
          <w:headerReference w:type="default" r:id="rId7"/>
          <w:footerReference w:type="default" r:id="rId8"/>
          <w:pgSz w:w="11906" w:h="16838"/>
          <w:pgMar w:top="993" w:right="1417" w:bottom="1417" w:left="1417" w:header="708" w:footer="708" w:gutter="0"/>
          <w:pgNumType w:start="1"/>
          <w:cols w:space="708"/>
          <w:docGrid w:linePitch="360"/>
        </w:sectPr>
      </w:pPr>
    </w:p>
    <w:p w:rsidR="002C5D27" w:rsidRPr="002C5D27" w:rsidRDefault="002C5D27" w:rsidP="002C5D27">
      <w:pPr>
        <w:spacing w:after="0" w:line="240" w:lineRule="auto"/>
        <w:rPr>
          <w:rFonts w:ascii="Times New Roman" w:eastAsia="Calibri" w:hAnsi="Times New Roman" w:cs="Times New Roman"/>
          <w:b/>
          <w:i/>
          <w:iCs/>
          <w:sz w:val="24"/>
          <w:szCs w:val="24"/>
          <w:lang w:eastAsia="sk-SK"/>
        </w:rPr>
      </w:pPr>
      <w:r w:rsidRPr="002C5D27">
        <w:rPr>
          <w:rFonts w:ascii="Times New Roman" w:eastAsia="Calibri" w:hAnsi="Times New Roman" w:cs="Times New Roman"/>
          <w:b/>
          <w:i/>
          <w:iCs/>
          <w:sz w:val="24"/>
          <w:szCs w:val="24"/>
          <w:lang w:eastAsia="sk-SK"/>
        </w:rPr>
        <w:lastRenderedPageBreak/>
        <w:t>3.1.2 Výpočty vplyvov jednotlivých regulácií na zmeny v nákladoch podnikateľov</w:t>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Tabuľka č. 2: Výpočet vplyvov jednotlivých regulácií (nahraďte rovnakou tabuľkou po vyplnení Kalkulačky nákladov):</w:t>
      </w:r>
    </w:p>
    <w:tbl>
      <w:tblPr>
        <w:tblW w:w="5000" w:type="pct"/>
        <w:tblCellMar>
          <w:left w:w="70" w:type="dxa"/>
          <w:right w:w="70" w:type="dxa"/>
        </w:tblCellMar>
        <w:tblLook w:val="04A0" w:firstRow="1" w:lastRow="0" w:firstColumn="1" w:lastColumn="0" w:noHBand="0" w:noVBand="1"/>
      </w:tblPr>
      <w:tblGrid>
        <w:gridCol w:w="451"/>
        <w:gridCol w:w="2102"/>
        <w:gridCol w:w="863"/>
        <w:gridCol w:w="1129"/>
        <w:gridCol w:w="1218"/>
        <w:gridCol w:w="934"/>
        <w:gridCol w:w="2603"/>
        <w:gridCol w:w="974"/>
        <w:gridCol w:w="974"/>
        <w:gridCol w:w="791"/>
        <w:gridCol w:w="974"/>
        <w:gridCol w:w="981"/>
      </w:tblGrid>
      <w:tr w:rsidR="00752303" w:rsidRPr="00752303" w:rsidTr="00752303">
        <w:trPr>
          <w:trHeight w:val="255"/>
        </w:trPr>
        <w:tc>
          <w:tcPr>
            <w:tcW w:w="21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752303">
              <w:rPr>
                <w:rFonts w:ascii="Times New Roman" w:eastAsia="Times New Roman" w:hAnsi="Times New Roman" w:cs="Times New Roman"/>
                <w:b/>
                <w:bCs/>
                <w:color w:val="000000"/>
                <w:sz w:val="20"/>
                <w:szCs w:val="20"/>
                <w:lang w:eastAsia="sk-SK"/>
              </w:rPr>
              <w:t>P.č</w:t>
            </w:r>
            <w:proofErr w:type="spellEnd"/>
            <w:r w:rsidRPr="00752303">
              <w:rPr>
                <w:rFonts w:ascii="Times New Roman" w:eastAsia="Times New Roman" w:hAnsi="Times New Roman" w:cs="Times New Roman"/>
                <w:b/>
                <w:bCs/>
                <w:color w:val="000000"/>
                <w:sz w:val="20"/>
                <w:szCs w:val="20"/>
                <w:lang w:eastAsia="sk-SK"/>
              </w:rPr>
              <w:t>.</w:t>
            </w:r>
          </w:p>
        </w:tc>
        <w:tc>
          <w:tcPr>
            <w:tcW w:w="89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Zrozumiteľný a stručný opis regulácie </w:t>
            </w:r>
            <w:r w:rsidRPr="00752303">
              <w:rPr>
                <w:rFonts w:ascii="Times New Roman" w:eastAsia="Times New Roman" w:hAnsi="Times New Roman" w:cs="Times New Roman"/>
                <w:b/>
                <w:bCs/>
                <w:color w:val="000000"/>
                <w:sz w:val="20"/>
                <w:szCs w:val="20"/>
                <w:lang w:eastAsia="sk-SK"/>
              </w:rPr>
              <w:br/>
              <w:t>(dôvod zvýšenia/zníženia nákladov na PP)</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Číslo normy</w:t>
            </w:r>
            <w:r w:rsidRPr="00752303">
              <w:rPr>
                <w:rFonts w:ascii="Times New Roman" w:eastAsia="Times New Roman" w:hAnsi="Times New Roman" w:cs="Times New Roman"/>
                <w:b/>
                <w:bCs/>
                <w:color w:val="000000"/>
                <w:sz w:val="20"/>
                <w:szCs w:val="20"/>
                <w:lang w:eastAsia="sk-SK"/>
              </w:rPr>
              <w:br/>
            </w:r>
            <w:r w:rsidRPr="00752303">
              <w:rPr>
                <w:rFonts w:ascii="Times New Roman" w:eastAsia="Times New Roman" w:hAnsi="Times New Roman" w:cs="Times New Roman"/>
                <w:color w:val="000000"/>
                <w:sz w:val="20"/>
                <w:szCs w:val="20"/>
                <w:lang w:eastAsia="sk-SK"/>
              </w:rPr>
              <w:t>(zákona, vyhlášky a pod.)</w:t>
            </w:r>
          </w:p>
        </w:tc>
        <w:tc>
          <w:tcPr>
            <w:tcW w:w="26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Lokalizácia</w:t>
            </w:r>
            <w:r w:rsidRPr="00752303">
              <w:rPr>
                <w:rFonts w:ascii="Times New Roman" w:eastAsia="Times New Roman" w:hAnsi="Times New Roman" w:cs="Times New Roman"/>
                <w:b/>
                <w:bCs/>
                <w:color w:val="000000"/>
                <w:sz w:val="20"/>
                <w:szCs w:val="20"/>
                <w:lang w:eastAsia="sk-SK"/>
              </w:rPr>
              <w:br/>
              <w:t>(§, ods.)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Pôvod regulácie: </w:t>
            </w:r>
            <w:r w:rsidRPr="00752303">
              <w:rPr>
                <w:rFonts w:ascii="Times New Roman" w:eastAsia="Times New Roman" w:hAnsi="Times New Roman" w:cs="Times New Roman"/>
                <w:b/>
                <w:bCs/>
                <w:color w:val="000000"/>
                <w:sz w:val="20"/>
                <w:szCs w:val="20"/>
                <w:lang w:eastAsia="sk-SK"/>
              </w:rPr>
              <w:br/>
            </w:r>
            <w:r w:rsidRPr="00752303">
              <w:rPr>
                <w:rFonts w:ascii="Times New Roman" w:eastAsia="Times New Roman" w:hAnsi="Times New Roman" w:cs="Times New Roman"/>
                <w:color w:val="000000"/>
                <w:sz w:val="20"/>
                <w:szCs w:val="20"/>
                <w:lang w:eastAsia="sk-SK"/>
              </w:rPr>
              <w:t xml:space="preserve">SR/EÚ úplná </w:t>
            </w:r>
            <w:proofErr w:type="spellStart"/>
            <w:r w:rsidRPr="00752303">
              <w:rPr>
                <w:rFonts w:ascii="Times New Roman" w:eastAsia="Times New Roman" w:hAnsi="Times New Roman" w:cs="Times New Roman"/>
                <w:color w:val="000000"/>
                <w:sz w:val="20"/>
                <w:szCs w:val="20"/>
                <w:lang w:eastAsia="sk-SK"/>
              </w:rPr>
              <w:t>harm</w:t>
            </w:r>
            <w:proofErr w:type="spellEnd"/>
            <w:r w:rsidRPr="00752303">
              <w:rPr>
                <w:rFonts w:ascii="Times New Roman" w:eastAsia="Times New Roman" w:hAnsi="Times New Roman" w:cs="Times New Roman"/>
                <w:color w:val="000000"/>
                <w:sz w:val="20"/>
                <w:szCs w:val="20"/>
                <w:lang w:eastAsia="sk-SK"/>
              </w:rPr>
              <w:t xml:space="preserve">./EÚ </w:t>
            </w:r>
            <w:proofErr w:type="spellStart"/>
            <w:r w:rsidRPr="00752303">
              <w:rPr>
                <w:rFonts w:ascii="Times New Roman" w:eastAsia="Times New Roman" w:hAnsi="Times New Roman" w:cs="Times New Roman"/>
                <w:color w:val="000000"/>
                <w:sz w:val="20"/>
                <w:szCs w:val="20"/>
                <w:lang w:eastAsia="sk-SK"/>
              </w:rPr>
              <w:t>harm</w:t>
            </w:r>
            <w:proofErr w:type="spellEnd"/>
            <w:r w:rsidRPr="00752303">
              <w:rPr>
                <w:rFonts w:ascii="Times New Roman" w:eastAsia="Times New Roman" w:hAnsi="Times New Roman" w:cs="Times New Roman"/>
                <w:color w:val="000000"/>
                <w:sz w:val="20"/>
                <w:szCs w:val="20"/>
                <w:lang w:eastAsia="sk-SK"/>
              </w:rPr>
              <w:t>. s možnosťou voľby</w:t>
            </w:r>
          </w:p>
        </w:tc>
        <w:tc>
          <w:tcPr>
            <w:tcW w:w="23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Účinnosť regulácie</w:t>
            </w:r>
          </w:p>
        </w:tc>
        <w:tc>
          <w:tcPr>
            <w:tcW w:w="106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Kategória </w:t>
            </w:r>
            <w:proofErr w:type="spellStart"/>
            <w:r w:rsidRPr="00752303">
              <w:rPr>
                <w:rFonts w:ascii="Times New Roman" w:eastAsia="Times New Roman" w:hAnsi="Times New Roman" w:cs="Times New Roman"/>
                <w:b/>
                <w:bCs/>
                <w:color w:val="000000"/>
                <w:sz w:val="20"/>
                <w:szCs w:val="20"/>
                <w:lang w:eastAsia="sk-SK"/>
              </w:rPr>
              <w:t>dotk</w:t>
            </w:r>
            <w:proofErr w:type="spellEnd"/>
            <w:r w:rsidRPr="00752303">
              <w:rPr>
                <w:rFonts w:ascii="Times New Roman" w:eastAsia="Times New Roman" w:hAnsi="Times New Roman" w:cs="Times New Roman"/>
                <w:b/>
                <w:bCs/>
                <w:color w:val="000000"/>
                <w:sz w:val="20"/>
                <w:szCs w:val="20"/>
                <w:lang w:eastAsia="sk-SK"/>
              </w:rPr>
              <w:t>. subjektov</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Počet subjektov spolu </w:t>
            </w:r>
          </w:p>
        </w:tc>
        <w:tc>
          <w:tcPr>
            <w:tcW w:w="32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Počet subjektov MSP</w:t>
            </w:r>
          </w:p>
        </w:tc>
        <w:tc>
          <w:tcPr>
            <w:tcW w:w="28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Vplyv na 1 podnik. v €</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Vplyv na kategóriu </w:t>
            </w:r>
            <w:proofErr w:type="spellStart"/>
            <w:r w:rsidRPr="00752303">
              <w:rPr>
                <w:rFonts w:ascii="Times New Roman" w:eastAsia="Times New Roman" w:hAnsi="Times New Roman" w:cs="Times New Roman"/>
                <w:b/>
                <w:bCs/>
                <w:color w:val="000000"/>
                <w:sz w:val="20"/>
                <w:szCs w:val="20"/>
                <w:lang w:eastAsia="sk-SK"/>
              </w:rPr>
              <w:t>dotk</w:t>
            </w:r>
            <w:proofErr w:type="spellEnd"/>
            <w:r w:rsidRPr="00752303">
              <w:rPr>
                <w:rFonts w:ascii="Times New Roman" w:eastAsia="Times New Roman" w:hAnsi="Times New Roman" w:cs="Times New Roman"/>
                <w:b/>
                <w:bCs/>
                <w:color w:val="000000"/>
                <w:sz w:val="20"/>
                <w:szCs w:val="20"/>
                <w:lang w:eastAsia="sk-SK"/>
              </w:rPr>
              <w:t>. subjektov v €</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Druh vplyvu</w:t>
            </w:r>
            <w:r w:rsidRPr="00752303">
              <w:rPr>
                <w:rFonts w:ascii="Times New Roman" w:eastAsia="Times New Roman" w:hAnsi="Times New Roman" w:cs="Times New Roman"/>
                <w:b/>
                <w:bCs/>
                <w:color w:val="000000"/>
                <w:sz w:val="20"/>
                <w:szCs w:val="20"/>
                <w:lang w:eastAsia="sk-SK"/>
              </w:rPr>
              <w:br/>
            </w:r>
            <w:r w:rsidRPr="00752303">
              <w:rPr>
                <w:rFonts w:ascii="Times New Roman" w:eastAsia="Times New Roman" w:hAnsi="Times New Roman" w:cs="Times New Roman"/>
                <w:color w:val="000000"/>
                <w:sz w:val="20"/>
                <w:szCs w:val="20"/>
                <w:lang w:eastAsia="sk-SK"/>
              </w:rPr>
              <w:t xml:space="preserve">In (zvyšuje náklady) / </w:t>
            </w:r>
            <w:r w:rsidRPr="00752303">
              <w:rPr>
                <w:rFonts w:ascii="Times New Roman" w:eastAsia="Times New Roman" w:hAnsi="Times New Roman" w:cs="Times New Roman"/>
                <w:color w:val="000000"/>
                <w:sz w:val="20"/>
                <w:szCs w:val="20"/>
                <w:lang w:eastAsia="sk-SK"/>
              </w:rPr>
              <w:br/>
            </w:r>
            <w:proofErr w:type="spellStart"/>
            <w:r w:rsidRPr="00752303">
              <w:rPr>
                <w:rFonts w:ascii="Times New Roman" w:eastAsia="Times New Roman" w:hAnsi="Times New Roman" w:cs="Times New Roman"/>
                <w:color w:val="000000"/>
                <w:sz w:val="20"/>
                <w:szCs w:val="20"/>
                <w:lang w:eastAsia="sk-SK"/>
              </w:rPr>
              <w:t>Out</w:t>
            </w:r>
            <w:proofErr w:type="spellEnd"/>
            <w:r w:rsidRPr="00752303">
              <w:rPr>
                <w:rFonts w:ascii="Times New Roman" w:eastAsia="Times New Roman" w:hAnsi="Times New Roman" w:cs="Times New Roman"/>
                <w:color w:val="000000"/>
                <w:sz w:val="20"/>
                <w:szCs w:val="20"/>
                <w:lang w:eastAsia="sk-SK"/>
              </w:rPr>
              <w:t xml:space="preserve"> (znižuje náklady)</w:t>
            </w:r>
          </w:p>
        </w:tc>
      </w:tr>
      <w:tr w:rsidR="00752303" w:rsidRPr="00752303" w:rsidTr="00752303">
        <w:trPr>
          <w:trHeight w:val="40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0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0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0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0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27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Zavedenie nových informačných povinností pre obchodníka v súvislosti s oznamovaním hlavných parametrov určujúcich poradie ponúk vo výsledku vyhľadávania spotrebiteľa na online trhu</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11 ods. 6 písm. b)</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01.07.23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14 300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14 286</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18 291</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25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Vypustenie povinnosti obchodníka vypracovať odborné posúdenie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01.07.23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79 688</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79 608</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339 763</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proofErr w:type="spellStart"/>
            <w:r w:rsidRPr="00752303">
              <w:rPr>
                <w:rFonts w:ascii="Times New Roman" w:eastAsia="Times New Roman" w:hAnsi="Times New Roman" w:cs="Times New Roman"/>
                <w:color w:val="000000"/>
                <w:sz w:val="20"/>
                <w:szCs w:val="20"/>
                <w:lang w:eastAsia="sk-SK"/>
              </w:rPr>
              <w:t>Out</w:t>
            </w:r>
            <w:proofErr w:type="spellEnd"/>
            <w:r w:rsidRPr="00752303">
              <w:rPr>
                <w:rFonts w:ascii="Times New Roman" w:eastAsia="Times New Roman" w:hAnsi="Times New Roman" w:cs="Times New Roman"/>
                <w:color w:val="000000"/>
                <w:sz w:val="20"/>
                <w:szCs w:val="20"/>
                <w:lang w:eastAsia="sk-SK"/>
              </w:rPr>
              <w:t xml:space="preserve"> (znižuje náklady)</w:t>
            </w:r>
          </w:p>
        </w:tc>
      </w:tr>
      <w:tr w:rsidR="00752303" w:rsidRPr="00752303" w:rsidTr="00752303">
        <w:trPr>
          <w:trHeight w:val="25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3</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Vypus</w:t>
            </w:r>
            <w:r w:rsidR="00DE19B7">
              <w:rPr>
                <w:rFonts w:ascii="Times New Roman" w:eastAsia="Times New Roman" w:hAnsi="Times New Roman" w:cs="Times New Roman"/>
                <w:color w:val="000000"/>
                <w:sz w:val="20"/>
                <w:szCs w:val="20"/>
                <w:lang w:eastAsia="sk-SK"/>
              </w:rPr>
              <w:t>t</w:t>
            </w:r>
            <w:r w:rsidRPr="00752303">
              <w:rPr>
                <w:rFonts w:ascii="Times New Roman" w:eastAsia="Times New Roman" w:hAnsi="Times New Roman" w:cs="Times New Roman"/>
                <w:color w:val="000000"/>
                <w:sz w:val="20"/>
                <w:szCs w:val="20"/>
                <w:lang w:eastAsia="sk-SK"/>
              </w:rPr>
              <w:t>enie povinnosti obchodníka preložiť odborné posúdenie</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01.07.23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79 688</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79 608</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135 905</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proofErr w:type="spellStart"/>
            <w:r w:rsidRPr="00752303">
              <w:rPr>
                <w:rFonts w:ascii="Times New Roman" w:eastAsia="Times New Roman" w:hAnsi="Times New Roman" w:cs="Times New Roman"/>
                <w:color w:val="000000"/>
                <w:sz w:val="20"/>
                <w:szCs w:val="20"/>
                <w:lang w:eastAsia="sk-SK"/>
              </w:rPr>
              <w:t>Out</w:t>
            </w:r>
            <w:proofErr w:type="spellEnd"/>
            <w:r w:rsidRPr="00752303">
              <w:rPr>
                <w:rFonts w:ascii="Times New Roman" w:eastAsia="Times New Roman" w:hAnsi="Times New Roman" w:cs="Times New Roman"/>
                <w:color w:val="000000"/>
                <w:sz w:val="20"/>
                <w:szCs w:val="20"/>
                <w:lang w:eastAsia="sk-SK"/>
              </w:rPr>
              <w:t xml:space="preserve"> (znižuje náklady)</w:t>
            </w:r>
          </w:p>
        </w:tc>
      </w:tr>
      <w:tr w:rsidR="00752303" w:rsidRPr="00752303" w:rsidTr="00752303">
        <w:trPr>
          <w:trHeight w:val="25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Zve</w:t>
            </w:r>
            <w:r w:rsidR="00422B77">
              <w:rPr>
                <w:rFonts w:ascii="Times New Roman" w:eastAsia="Times New Roman" w:hAnsi="Times New Roman" w:cs="Times New Roman"/>
                <w:color w:val="000000"/>
                <w:sz w:val="20"/>
                <w:szCs w:val="20"/>
                <w:lang w:eastAsia="sk-SK"/>
              </w:rPr>
              <w:t>rejňovanie porovnania cien palív</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8</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01.07.23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čerpacie stanice s alternatívnymi palivami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100</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2 964</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51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5</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Vypustenie </w:t>
            </w:r>
            <w:r w:rsidR="00DE19B7">
              <w:rPr>
                <w:rFonts w:ascii="Times New Roman" w:eastAsia="Times New Roman" w:hAnsi="Times New Roman" w:cs="Times New Roman"/>
                <w:color w:val="000000"/>
                <w:sz w:val="20"/>
                <w:szCs w:val="20"/>
                <w:lang w:eastAsia="sk-SK"/>
              </w:rPr>
              <w:t xml:space="preserve">horizontálnej </w:t>
            </w:r>
            <w:r w:rsidRPr="00752303">
              <w:rPr>
                <w:rFonts w:ascii="Times New Roman" w:eastAsia="Times New Roman" w:hAnsi="Times New Roman" w:cs="Times New Roman"/>
                <w:color w:val="000000"/>
                <w:sz w:val="20"/>
                <w:szCs w:val="20"/>
                <w:lang w:eastAsia="sk-SK"/>
              </w:rPr>
              <w:t xml:space="preserve">povinnosti obchodníka vydať doklad o vybavení reklamácie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01.07.23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DE19B7"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w:t>
            </w:r>
            <w:r w:rsidR="00752303" w:rsidRPr="00752303">
              <w:rPr>
                <w:rFonts w:ascii="Times New Roman" w:eastAsia="Times New Roman" w:hAnsi="Times New Roman" w:cs="Times New Roman"/>
                <w:color w:val="000000"/>
                <w:sz w:val="20"/>
                <w:szCs w:val="20"/>
                <w:lang w:eastAsia="sk-SK"/>
              </w:rPr>
              <w:t>bchodníci</w:t>
            </w:r>
            <w:r>
              <w:rPr>
                <w:rFonts w:ascii="Times New Roman" w:eastAsia="Times New Roman" w:hAnsi="Times New Roman" w:cs="Times New Roman"/>
                <w:color w:val="000000"/>
                <w:sz w:val="20"/>
                <w:szCs w:val="20"/>
                <w:lang w:eastAsia="sk-SK"/>
              </w:rPr>
              <w:t xml:space="preserve"> (okrem niektorých segmentov trhu s osobitnou právnou úpravou reklamácií)</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DE19B7"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130 825</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DE19B7"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129 517</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DE19B7">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111 </w:t>
            </w:r>
            <w:r w:rsidR="00DE19B7">
              <w:rPr>
                <w:rFonts w:ascii="Times New Roman" w:eastAsia="Times New Roman" w:hAnsi="Times New Roman" w:cs="Times New Roman"/>
                <w:color w:val="000000"/>
                <w:sz w:val="20"/>
                <w:szCs w:val="20"/>
                <w:lang w:eastAsia="sk-SK"/>
              </w:rPr>
              <w:t>559</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proofErr w:type="spellStart"/>
            <w:r w:rsidRPr="00752303">
              <w:rPr>
                <w:rFonts w:ascii="Times New Roman" w:eastAsia="Times New Roman" w:hAnsi="Times New Roman" w:cs="Times New Roman"/>
                <w:color w:val="000000"/>
                <w:sz w:val="20"/>
                <w:szCs w:val="20"/>
                <w:lang w:eastAsia="sk-SK"/>
              </w:rPr>
              <w:t>Out</w:t>
            </w:r>
            <w:proofErr w:type="spellEnd"/>
            <w:r w:rsidRPr="00752303">
              <w:rPr>
                <w:rFonts w:ascii="Times New Roman" w:eastAsia="Times New Roman" w:hAnsi="Times New Roman" w:cs="Times New Roman"/>
                <w:color w:val="000000"/>
                <w:sz w:val="20"/>
                <w:szCs w:val="20"/>
                <w:lang w:eastAsia="sk-SK"/>
              </w:rPr>
              <w:t xml:space="preserve"> (znižuje náklady)</w:t>
            </w:r>
          </w:p>
        </w:tc>
      </w:tr>
      <w:tr w:rsidR="00752303" w:rsidRPr="00752303" w:rsidTr="00752303">
        <w:trPr>
          <w:trHeight w:val="76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6</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Zrušenie informačných povinností pri dočasnom uzavretí </w:t>
            </w:r>
            <w:proofErr w:type="spellStart"/>
            <w:r w:rsidRPr="00752303">
              <w:rPr>
                <w:rFonts w:ascii="Times New Roman" w:eastAsia="Times New Roman" w:hAnsi="Times New Roman" w:cs="Times New Roman"/>
                <w:color w:val="000000"/>
                <w:sz w:val="20"/>
                <w:szCs w:val="20"/>
                <w:lang w:eastAsia="sk-SK"/>
              </w:rPr>
              <w:t>prevádzkárne</w:t>
            </w:r>
            <w:proofErr w:type="spellEnd"/>
            <w:r w:rsidRPr="00752303">
              <w:rPr>
                <w:rFonts w:ascii="Times New Roman" w:eastAsia="Times New Roman" w:hAnsi="Times New Roman" w:cs="Times New Roman"/>
                <w:color w:val="000000"/>
                <w:sz w:val="20"/>
                <w:szCs w:val="20"/>
                <w:lang w:eastAsia="sk-SK"/>
              </w:rPr>
              <w:t xml:space="preserve"> obchodníka</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01.07.23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103 339</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103 236</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44 060</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proofErr w:type="spellStart"/>
            <w:r w:rsidRPr="00752303">
              <w:rPr>
                <w:rFonts w:ascii="Times New Roman" w:eastAsia="Times New Roman" w:hAnsi="Times New Roman" w:cs="Times New Roman"/>
                <w:color w:val="000000"/>
                <w:sz w:val="20"/>
                <w:szCs w:val="20"/>
                <w:lang w:eastAsia="sk-SK"/>
              </w:rPr>
              <w:t>Out</w:t>
            </w:r>
            <w:proofErr w:type="spellEnd"/>
            <w:r w:rsidRPr="00752303">
              <w:rPr>
                <w:rFonts w:ascii="Times New Roman" w:eastAsia="Times New Roman" w:hAnsi="Times New Roman" w:cs="Times New Roman"/>
                <w:color w:val="000000"/>
                <w:sz w:val="20"/>
                <w:szCs w:val="20"/>
                <w:lang w:eastAsia="sk-SK"/>
              </w:rPr>
              <w:t xml:space="preserve"> (znižuje náklady)</w:t>
            </w:r>
          </w:p>
        </w:tc>
      </w:tr>
      <w:tr w:rsidR="00752303" w:rsidRPr="00752303" w:rsidTr="00752303">
        <w:trPr>
          <w:trHeight w:val="10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Zavedenie nových informačných povinností pre obchodníkov v súvislosti so zabezpečovaním autenticity spotrebiteľských hodnotení</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 11 ods. 6 </w:t>
            </w:r>
            <w:proofErr w:type="spellStart"/>
            <w:r w:rsidRPr="00752303">
              <w:rPr>
                <w:rFonts w:ascii="Times New Roman" w:eastAsia="Times New Roman" w:hAnsi="Times New Roman" w:cs="Times New Roman"/>
                <w:color w:val="000000"/>
                <w:sz w:val="20"/>
                <w:szCs w:val="20"/>
                <w:lang w:eastAsia="sk-SK"/>
              </w:rPr>
              <w:t>písm.a</w:t>
            </w:r>
            <w:proofErr w:type="spellEnd"/>
            <w:r w:rsidRPr="00752303">
              <w:rPr>
                <w:rFonts w:ascii="Times New Roman" w:eastAsia="Times New Roman" w:hAnsi="Times New Roman" w:cs="Times New Roman"/>
                <w:color w:val="000000"/>
                <w:sz w:val="20"/>
                <w:szCs w:val="20"/>
                <w:lang w:eastAsia="sk-SK"/>
              </w:rPr>
              <w:t>)</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01.07.23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14 300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14 286</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18 291</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51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8</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Zavedenie informačných povinností pre prevádzkovateľov online trhov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16</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01.07.23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prevádzkovatelia online trhov</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20</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26</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10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9</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Zavedenie povinnosti obchodníka predložiť prevádzkovateľovi online trhu vyhlásenie o tom, že je obchodník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11 ods. 4 písm. f), § 16 ods. 1 písm. b)</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01.07.23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10 900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10 891</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2 324</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10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Zvadenie povinnosti obchodníka vypracovať čestné vyhlásenie o tom, že je obchodník</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11 ods. 4 písm. f), § 16 ods. 1 písm. b)</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01.07.23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10 900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10 891</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9 295</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bl>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pPr>
    </w:p>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sectPr w:rsidR="002C5D27" w:rsidRPr="002C5D27" w:rsidSect="00B3302B">
          <w:headerReference w:type="default" r:id="rId9"/>
          <w:footerReference w:type="default" r:id="rId10"/>
          <w:pgSz w:w="16838" w:h="11906" w:orient="landscape"/>
          <w:pgMar w:top="1417" w:right="1417" w:bottom="1417" w:left="1417" w:header="708" w:footer="708" w:gutter="0"/>
          <w:cols w:space="708"/>
          <w:docGrid w:linePitch="360"/>
        </w:sectPr>
      </w:pPr>
    </w:p>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pPr>
      <w:r w:rsidRPr="002C5D27">
        <w:rPr>
          <w:rFonts w:ascii="Times New Roman" w:eastAsia="Calibri" w:hAnsi="Times New Roman" w:cs="Times New Roman"/>
          <w:b/>
          <w:bCs/>
          <w:i/>
          <w:sz w:val="24"/>
          <w:szCs w:val="24"/>
          <w:u w:val="single"/>
          <w:lang w:eastAsia="sk-SK"/>
        </w:rPr>
        <w:t xml:space="preserve">Doplňujúce informácie k spôsobu výpočtu vplyvov jednotlivých regulácií na zmenu nákladov </w:t>
      </w:r>
    </w:p>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pPr>
    </w:p>
    <w:p w:rsidR="002C5D27" w:rsidRPr="002C5D27" w:rsidRDefault="002C5D27" w:rsidP="00B96E3C">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 xml:space="preserve">Zavedenie nových informačných povinností pre obchodníka v súvislosti </w:t>
      </w:r>
      <w:r w:rsidR="00B96E3C">
        <w:rPr>
          <w:rFonts w:ascii="Times New Roman" w:eastAsia="Times New Roman" w:hAnsi="Times New Roman" w:cs="Times New Roman"/>
          <w:b/>
          <w:sz w:val="24"/>
          <w:szCs w:val="24"/>
          <w:lang w:eastAsia="sk-SK"/>
        </w:rPr>
        <w:br/>
      </w:r>
      <w:r w:rsidRPr="002C5D27">
        <w:rPr>
          <w:rFonts w:ascii="Times New Roman" w:eastAsia="Times New Roman" w:hAnsi="Times New Roman" w:cs="Times New Roman"/>
          <w:b/>
          <w:sz w:val="24"/>
          <w:szCs w:val="24"/>
          <w:lang w:eastAsia="sk-SK"/>
        </w:rPr>
        <w:t>s oznamovaním hlavných parametrov určujúcich poradie ponúk vo výsledku vyhľadávania spotrebiteľa na online trhu</w:t>
      </w:r>
    </w:p>
    <w:p w:rsidR="002C5D27" w:rsidRPr="002C5D27" w:rsidRDefault="002C5D27" w:rsidP="002C5D27">
      <w:pPr>
        <w:spacing w:after="0" w:line="240" w:lineRule="auto"/>
        <w:jc w:val="both"/>
        <w:rPr>
          <w:rFonts w:ascii="Times New Roman" w:eastAsia="Times New Roman" w:hAnsi="Times New Roman" w:cs="Times New Roman"/>
          <w:bCs/>
          <w:sz w:val="24"/>
          <w:szCs w:val="24"/>
          <w:lang w:eastAsia="sk-SK"/>
        </w:rPr>
      </w:pPr>
      <w:r w:rsidRPr="002C5D27">
        <w:rPr>
          <w:rFonts w:ascii="Times New Roman" w:eastAsia="Times New Roman" w:hAnsi="Times New Roman" w:cs="Times New Roman"/>
          <w:bCs/>
          <w:sz w:val="24"/>
          <w:szCs w:val="24"/>
          <w:lang w:eastAsia="sk-SK"/>
        </w:rPr>
        <w:t xml:space="preserve">Informácia o hlavných parametroch určujúcich poradie ponúk vo výsledku vyhľadávania sa považuje v zmysle návrhu zákona na účely posudzovania nekalých obchodných praktík za podstatnú informáciu a dotkne sa približne </w:t>
      </w:r>
      <w:r w:rsidR="006313ED">
        <w:rPr>
          <w:rFonts w:ascii="Times New Roman" w:eastAsia="Times New Roman" w:hAnsi="Times New Roman" w:cs="Times New Roman"/>
          <w:bCs/>
          <w:sz w:val="24"/>
          <w:szCs w:val="24"/>
          <w:lang w:eastAsia="sk-SK"/>
        </w:rPr>
        <w:t xml:space="preserve">14 300 </w:t>
      </w:r>
      <w:r w:rsidRPr="002C5D27">
        <w:rPr>
          <w:rFonts w:ascii="Times New Roman" w:eastAsia="Times New Roman" w:hAnsi="Times New Roman" w:cs="Times New Roman"/>
          <w:bCs/>
          <w:sz w:val="24"/>
          <w:szCs w:val="24"/>
          <w:lang w:eastAsia="sk-SK"/>
        </w:rPr>
        <w:t xml:space="preserve">obchodníkov, z ktorých približne </w:t>
      </w:r>
      <w:r w:rsidR="006313ED">
        <w:rPr>
          <w:rFonts w:ascii="Times New Roman" w:eastAsia="Times New Roman" w:hAnsi="Times New Roman" w:cs="Times New Roman"/>
          <w:bCs/>
          <w:sz w:val="24"/>
          <w:szCs w:val="24"/>
          <w:lang w:eastAsia="sk-SK"/>
        </w:rPr>
        <w:t xml:space="preserve">14 286 </w:t>
      </w:r>
      <w:r w:rsidRPr="002C5D27">
        <w:rPr>
          <w:rFonts w:ascii="Times New Roman" w:eastAsia="Times New Roman" w:hAnsi="Times New Roman" w:cs="Times New Roman"/>
          <w:bCs/>
          <w:sz w:val="24"/>
          <w:szCs w:val="24"/>
          <w:lang w:eastAsia="sk-SK"/>
        </w:rPr>
        <w:t xml:space="preserve">predstavuje MSP. Kvantifikácia dotknutých subjektov bola uskutočnená expertným odhadom na základe údajov </w:t>
      </w:r>
      <w:r w:rsidR="00E63AD3">
        <w:rPr>
          <w:rFonts w:ascii="Times New Roman" w:eastAsia="Times New Roman" w:hAnsi="Times New Roman" w:cs="Times New Roman"/>
          <w:bCs/>
          <w:sz w:val="24"/>
          <w:szCs w:val="24"/>
          <w:lang w:eastAsia="sk-SK"/>
        </w:rPr>
        <w:t xml:space="preserve">poskytnutých </w:t>
      </w:r>
      <w:r w:rsidR="006313ED">
        <w:rPr>
          <w:rFonts w:ascii="Times New Roman" w:eastAsia="Times New Roman" w:hAnsi="Times New Roman" w:cs="Times New Roman"/>
          <w:bCs/>
          <w:sz w:val="24"/>
          <w:szCs w:val="24"/>
          <w:lang w:eastAsia="sk-SK"/>
        </w:rPr>
        <w:t xml:space="preserve">CEO </w:t>
      </w:r>
      <w:proofErr w:type="spellStart"/>
      <w:r w:rsidR="006313ED">
        <w:rPr>
          <w:rFonts w:ascii="Times New Roman" w:eastAsia="Times New Roman" w:hAnsi="Times New Roman" w:cs="Times New Roman"/>
          <w:bCs/>
          <w:sz w:val="24"/>
          <w:szCs w:val="24"/>
          <w:lang w:eastAsia="sk-SK"/>
        </w:rPr>
        <w:t>Heureky</w:t>
      </w:r>
      <w:proofErr w:type="spellEnd"/>
      <w:r w:rsidR="006313ED">
        <w:rPr>
          <w:rFonts w:ascii="Times New Roman" w:eastAsia="Times New Roman" w:hAnsi="Times New Roman" w:cs="Times New Roman"/>
          <w:bCs/>
          <w:sz w:val="24"/>
          <w:szCs w:val="24"/>
          <w:lang w:eastAsia="sk-SK"/>
        </w:rPr>
        <w:t xml:space="preserve"> Group pre </w:t>
      </w:r>
      <w:r w:rsidR="00422E39">
        <w:rPr>
          <w:rFonts w:ascii="Times New Roman" w:eastAsia="Times New Roman" w:hAnsi="Times New Roman" w:cs="Times New Roman"/>
          <w:bCs/>
          <w:sz w:val="24"/>
          <w:szCs w:val="24"/>
          <w:lang w:eastAsia="sk-SK"/>
        </w:rPr>
        <w:t xml:space="preserve">článok </w:t>
      </w:r>
      <w:r w:rsidR="006313ED">
        <w:rPr>
          <w:rFonts w:ascii="Times New Roman" w:eastAsia="Times New Roman" w:hAnsi="Times New Roman" w:cs="Times New Roman"/>
          <w:bCs/>
          <w:sz w:val="24"/>
          <w:szCs w:val="24"/>
          <w:lang w:eastAsia="sk-SK"/>
        </w:rPr>
        <w:t>časopis</w:t>
      </w:r>
      <w:r w:rsidR="00422E39">
        <w:rPr>
          <w:rFonts w:ascii="Times New Roman" w:eastAsia="Times New Roman" w:hAnsi="Times New Roman" w:cs="Times New Roman"/>
          <w:bCs/>
          <w:sz w:val="24"/>
          <w:szCs w:val="24"/>
          <w:lang w:eastAsia="sk-SK"/>
        </w:rPr>
        <w:t>u</w:t>
      </w:r>
      <w:r w:rsidR="006313ED">
        <w:rPr>
          <w:rFonts w:ascii="Times New Roman" w:eastAsia="Times New Roman" w:hAnsi="Times New Roman" w:cs="Times New Roman"/>
          <w:bCs/>
          <w:sz w:val="24"/>
          <w:szCs w:val="24"/>
          <w:lang w:eastAsia="sk-SK"/>
        </w:rPr>
        <w:t xml:space="preserve"> Trend</w:t>
      </w:r>
      <w:r w:rsidR="00422E39">
        <w:rPr>
          <w:rFonts w:ascii="Times New Roman" w:eastAsia="Times New Roman" w:hAnsi="Times New Roman" w:cs="Times New Roman"/>
          <w:bCs/>
          <w:sz w:val="24"/>
          <w:szCs w:val="24"/>
          <w:lang w:eastAsia="sk-SK"/>
        </w:rPr>
        <w:t xml:space="preserve">, ktorý je dostupný na: </w:t>
      </w:r>
      <w:hyperlink r:id="rId11" w:history="1">
        <w:r w:rsidR="00422E39" w:rsidRPr="003A0922">
          <w:rPr>
            <w:rStyle w:val="Hypertextovprepojenie"/>
            <w:rFonts w:ascii="Times New Roman" w:eastAsia="Times New Roman" w:hAnsi="Times New Roman" w:cs="Times New Roman"/>
            <w:bCs/>
            <w:color w:val="auto"/>
            <w:sz w:val="24"/>
            <w:szCs w:val="24"/>
            <w:lang w:eastAsia="sk-SK"/>
          </w:rPr>
          <w:t>Slovenský e-</w:t>
        </w:r>
        <w:proofErr w:type="spellStart"/>
        <w:r w:rsidR="00422E39" w:rsidRPr="003A0922">
          <w:rPr>
            <w:rStyle w:val="Hypertextovprepojenie"/>
            <w:rFonts w:ascii="Times New Roman" w:eastAsia="Times New Roman" w:hAnsi="Times New Roman" w:cs="Times New Roman"/>
            <w:bCs/>
            <w:color w:val="auto"/>
            <w:sz w:val="24"/>
            <w:szCs w:val="24"/>
            <w:lang w:eastAsia="sk-SK"/>
          </w:rPr>
          <w:t>commerce</w:t>
        </w:r>
        <w:proofErr w:type="spellEnd"/>
        <w:r w:rsidR="00422E39" w:rsidRPr="003A0922">
          <w:rPr>
            <w:rStyle w:val="Hypertextovprepojenie"/>
            <w:rFonts w:ascii="Times New Roman" w:eastAsia="Times New Roman" w:hAnsi="Times New Roman" w:cs="Times New Roman"/>
            <w:bCs/>
            <w:color w:val="auto"/>
            <w:sz w:val="24"/>
            <w:szCs w:val="24"/>
            <w:lang w:eastAsia="sk-SK"/>
          </w:rPr>
          <w:t xml:space="preserve"> nezastaviteľne rastie. / TREND</w:t>
        </w:r>
      </w:hyperlink>
      <w:r w:rsidR="00E63AD3">
        <w:rPr>
          <w:rFonts w:ascii="Times New Roman" w:eastAsia="Times New Roman" w:hAnsi="Times New Roman" w:cs="Times New Roman"/>
          <w:bCs/>
          <w:sz w:val="24"/>
          <w:szCs w:val="24"/>
          <w:lang w:eastAsia="sk-SK"/>
        </w:rPr>
        <w:t>. Počet MPS</w:t>
      </w:r>
      <w:r w:rsidR="00422E39">
        <w:rPr>
          <w:rFonts w:ascii="Times New Roman" w:eastAsia="Times New Roman" w:hAnsi="Times New Roman" w:cs="Times New Roman"/>
          <w:bCs/>
          <w:sz w:val="24"/>
          <w:szCs w:val="24"/>
          <w:lang w:eastAsia="sk-SK"/>
        </w:rPr>
        <w:t xml:space="preserve"> bol určený na 99,9</w:t>
      </w:r>
      <w:r w:rsidR="00B005C3">
        <w:rPr>
          <w:rFonts w:ascii="Times New Roman" w:eastAsia="Times New Roman" w:hAnsi="Times New Roman" w:cs="Times New Roman"/>
          <w:bCs/>
          <w:sz w:val="24"/>
          <w:szCs w:val="24"/>
          <w:lang w:eastAsia="sk-SK"/>
        </w:rPr>
        <w:t xml:space="preserve"> </w:t>
      </w:r>
      <w:r w:rsidR="00422E39">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2" w:history="1">
        <w:r w:rsidR="00422E39" w:rsidRPr="003A0922">
          <w:rPr>
            <w:rStyle w:val="Hypertextovprepojenie"/>
            <w:rFonts w:ascii="Times New Roman" w:eastAsia="Times New Roman" w:hAnsi="Times New Roman" w:cs="Times New Roman"/>
            <w:bCs/>
            <w:color w:val="auto"/>
            <w:sz w:val="24"/>
            <w:szCs w:val="24"/>
            <w:lang w:eastAsia="sk-SK"/>
          </w:rPr>
          <w:t>Atlas MSP</w:t>
        </w:r>
      </w:hyperlink>
      <w:r w:rsidR="00E720EE">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 xml:space="preserve">v </w:t>
      </w:r>
      <w:r w:rsidR="00422E39">
        <w:rPr>
          <w:rFonts w:ascii="Times New Roman" w:eastAsia="Times New Roman" w:hAnsi="Times New Roman" w:cs="Times New Roman"/>
          <w:bCs/>
          <w:sz w:val="24"/>
          <w:szCs w:val="24"/>
          <w:lang w:eastAsia="sk-SK"/>
        </w:rPr>
        <w:t xml:space="preserve">zmysle ktorého MSP v roku </w:t>
      </w:r>
      <w:r w:rsidR="00E720EE">
        <w:rPr>
          <w:rFonts w:ascii="Times New Roman" w:eastAsia="Times New Roman" w:hAnsi="Times New Roman" w:cs="Times New Roman"/>
          <w:bCs/>
          <w:sz w:val="24"/>
          <w:szCs w:val="24"/>
          <w:lang w:eastAsia="sk-SK"/>
        </w:rPr>
        <w:t>2021 tvorili 99,9 % podiel z celkového p</w:t>
      </w:r>
      <w:r w:rsidR="00E63AD3">
        <w:rPr>
          <w:rFonts w:ascii="Times New Roman" w:eastAsia="Times New Roman" w:hAnsi="Times New Roman" w:cs="Times New Roman"/>
          <w:bCs/>
          <w:sz w:val="24"/>
          <w:szCs w:val="24"/>
          <w:lang w:eastAsia="sk-SK"/>
        </w:rPr>
        <w:t>očtu podnikateľských subjektov.</w:t>
      </w:r>
      <w:r w:rsidR="00422E39">
        <w:rPr>
          <w:rFonts w:ascii="Times New Roman" w:eastAsia="Times New Roman" w:hAnsi="Times New Roman" w:cs="Times New Roman"/>
          <w:bCs/>
          <w:sz w:val="24"/>
          <w:szCs w:val="24"/>
          <w:lang w:eastAsia="sk-SK"/>
        </w:rPr>
        <w:t xml:space="preserve"> </w:t>
      </w:r>
      <w:r w:rsidRPr="002C5D27">
        <w:rPr>
          <w:rFonts w:ascii="Times New Roman" w:eastAsia="Times New Roman" w:hAnsi="Times New Roman" w:cs="Times New Roman"/>
          <w:bCs/>
          <w:sz w:val="24"/>
          <w:szCs w:val="24"/>
          <w:lang w:eastAsia="sk-SK"/>
        </w:rPr>
        <w:t xml:space="preserve">Predmetná úprava je transpozíciou legislatívy EÚ a predstavuje pre podnikateľské prostredie zvýšenie administratívnych nákladov v hodnote odhadovanej na </w:t>
      </w:r>
      <w:r w:rsidR="00422B77">
        <w:rPr>
          <w:rFonts w:ascii="Times New Roman" w:eastAsia="Times New Roman" w:hAnsi="Times New Roman" w:cs="Times New Roman"/>
          <w:bCs/>
          <w:sz w:val="24"/>
          <w:szCs w:val="24"/>
          <w:lang w:eastAsia="sk-SK"/>
        </w:rPr>
        <w:t>18 291</w:t>
      </w:r>
      <w:r w:rsidR="00E720EE">
        <w:rPr>
          <w:rFonts w:ascii="Times New Roman" w:eastAsia="Times New Roman" w:hAnsi="Times New Roman" w:cs="Times New Roman"/>
          <w:bCs/>
          <w:sz w:val="24"/>
          <w:szCs w:val="24"/>
          <w:lang w:eastAsia="sk-SK"/>
        </w:rPr>
        <w:t xml:space="preserve"> </w:t>
      </w:r>
      <w:r w:rsidRPr="002C5D27">
        <w:rPr>
          <w:rFonts w:ascii="Times New Roman" w:eastAsia="Times New Roman" w:hAnsi="Times New Roman" w:cs="Times New Roman"/>
          <w:bCs/>
          <w:sz w:val="24"/>
          <w:szCs w:val="24"/>
          <w:lang w:eastAsia="sk-SK"/>
        </w:rPr>
        <w:t>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Vypustenie povinnosti obchodníka vypracovať odborné posúdenie</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Návrh zákona upúšťa od povinnosti nechať si vypracovať odborné posúdenie, ktorú má obchodník podľa účinnej právnej úpravy v prípade zamietnutia reklamácie v prvých 12 mesiacoch od kúpy. Táto povinnosť sa dotýka len obchodníkov, ktorí predávajú spotrebiteľom výrobky, ktorých počet bol kvantifikovaný na 79 688, z ktorých </w:t>
      </w:r>
      <w:r w:rsidR="003A0922">
        <w:rPr>
          <w:rFonts w:ascii="Times New Roman" w:eastAsia="Times New Roman" w:hAnsi="Times New Roman" w:cs="Times New Roman"/>
          <w:sz w:val="24"/>
          <w:szCs w:val="24"/>
          <w:lang w:eastAsia="sk-SK"/>
        </w:rPr>
        <w:t>79 608</w:t>
      </w:r>
      <w:r w:rsidRPr="002C5D27">
        <w:rPr>
          <w:rFonts w:ascii="Times New Roman" w:eastAsia="Times New Roman" w:hAnsi="Times New Roman" w:cs="Times New Roman"/>
          <w:sz w:val="24"/>
          <w:szCs w:val="24"/>
          <w:lang w:eastAsia="sk-SK"/>
        </w:rPr>
        <w:t xml:space="preserve"> predstavuje MSP. Kvantifikácia dotknutých subjektov bola uskutočnená expertným odhadom na základe údajov z registra účtovných závierok vyselektovaných podľa ekonomických činností, ktorých sa povinnosť týka. Platné účtovné jednotky boli vyfiltrované podľa kódu SK NACE 47 a 45. Z týchto kategórií boli špecifikované </w:t>
      </w:r>
      <w:proofErr w:type="spellStart"/>
      <w:r w:rsidRPr="002C5D27">
        <w:rPr>
          <w:rFonts w:ascii="Times New Roman" w:eastAsia="Times New Roman" w:hAnsi="Times New Roman" w:cs="Times New Roman"/>
          <w:sz w:val="24"/>
          <w:szCs w:val="24"/>
          <w:lang w:eastAsia="sk-SK"/>
        </w:rPr>
        <w:t>subkategórie</w:t>
      </w:r>
      <w:proofErr w:type="spellEnd"/>
      <w:r w:rsidRPr="002C5D27">
        <w:rPr>
          <w:rFonts w:ascii="Times New Roman" w:eastAsia="Times New Roman" w:hAnsi="Times New Roman" w:cs="Times New Roman"/>
          <w:sz w:val="24"/>
          <w:szCs w:val="24"/>
          <w:lang w:eastAsia="sk-SK"/>
        </w:rPr>
        <w:t xml:space="preserve">, pri ktorých podľa expertného odhadu prevláda pre danú ekonomickú činnosť vzťah obchodník-spotrebiteľ. Počet MSP </w:t>
      </w:r>
      <w:r w:rsidR="003A0922">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3A0922">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3" w:history="1">
        <w:r w:rsidR="003A0922" w:rsidRPr="003A0922">
          <w:rPr>
            <w:rStyle w:val="Hypertextovprepojenie"/>
            <w:rFonts w:ascii="Times New Roman" w:eastAsia="Times New Roman" w:hAnsi="Times New Roman" w:cs="Times New Roman"/>
            <w:bCs/>
            <w:color w:val="auto"/>
            <w:sz w:val="24"/>
            <w:szCs w:val="24"/>
            <w:lang w:eastAsia="sk-SK"/>
          </w:rPr>
          <w:t>Atlas MSP</w:t>
        </w:r>
      </w:hyperlink>
      <w:r w:rsidR="00E63AD3">
        <w:rPr>
          <w:rFonts w:ascii="Times New Roman" w:eastAsia="Times New Roman" w:hAnsi="Times New Roman" w:cs="Times New Roman"/>
          <w:bCs/>
          <w:sz w:val="24"/>
          <w:szCs w:val="24"/>
          <w:lang w:eastAsia="sk-SK"/>
        </w:rPr>
        <w:t xml:space="preserve">, v </w:t>
      </w:r>
      <w:r w:rsidR="003A0922">
        <w:rPr>
          <w:rFonts w:ascii="Times New Roman" w:eastAsia="Times New Roman" w:hAnsi="Times New Roman" w:cs="Times New Roman"/>
          <w:bCs/>
          <w:sz w:val="24"/>
          <w:szCs w:val="24"/>
          <w:lang w:eastAsia="sk-SK"/>
        </w:rPr>
        <w:t>zmysle ktorého MSP v roku 2021 tvorili 99,9 % podiel z celkového počtu podnikateľských subjektov</w:t>
      </w:r>
      <w:r w:rsidRPr="002C5D27">
        <w:rPr>
          <w:rFonts w:ascii="Times New Roman" w:eastAsia="Times New Roman" w:hAnsi="Times New Roman" w:cs="Times New Roman"/>
          <w:sz w:val="24"/>
          <w:szCs w:val="24"/>
          <w:lang w:eastAsia="sk-SK"/>
        </w:rPr>
        <w:t xml:space="preserve">. Predmetná úprava ušetrí obchodníkom administratívne náklady v hodnote odhadovanej </w:t>
      </w:r>
      <w:r w:rsidR="00422B77">
        <w:rPr>
          <w:rFonts w:ascii="Times New Roman" w:eastAsia="Times New Roman" w:hAnsi="Times New Roman" w:cs="Times New Roman"/>
          <w:sz w:val="24"/>
          <w:szCs w:val="24"/>
          <w:lang w:eastAsia="sk-SK"/>
        </w:rPr>
        <w:br/>
      </w:r>
      <w:r w:rsidRPr="002C5D27">
        <w:rPr>
          <w:rFonts w:ascii="Times New Roman" w:eastAsia="Times New Roman" w:hAnsi="Times New Roman" w:cs="Times New Roman"/>
          <w:sz w:val="24"/>
          <w:szCs w:val="24"/>
          <w:lang w:eastAsia="sk-SK"/>
        </w:rPr>
        <w:t xml:space="preserve">na </w:t>
      </w:r>
      <w:r w:rsidR="00422B77">
        <w:rPr>
          <w:rFonts w:ascii="Times New Roman" w:eastAsia="Times New Roman" w:hAnsi="Times New Roman" w:cs="Times New Roman"/>
          <w:sz w:val="24"/>
          <w:szCs w:val="24"/>
          <w:lang w:eastAsia="sk-SK"/>
        </w:rPr>
        <w:t>339 763</w:t>
      </w:r>
      <w:r w:rsidR="00CA41B1">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Vypustenie povinnosti obchodníka predložiť odborné posúdenie</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Vzhľadom na vypustenie povinnosti vypracovať v prípade zamietnutia reklamácie v prvých 12 mesiacoch od kúpy odborné posúdenie sa vypúšťa aj korešpondujúca povinnosť obchodníkov toto odborné posúdenie odôvodňujúce zamietnutie reklamácie poskytnúť najneskôr do 14 dní od zamietnutia reklamácie spotrebiteľovi. Návrh sa dotýka rovnakého okruhu subjektov, aký bol identifikovaný na účely bodu 2, teda 79 688 obchodníkov, z ktorých </w:t>
      </w:r>
      <w:r w:rsidR="00CA41B1">
        <w:rPr>
          <w:rFonts w:ascii="Times New Roman" w:eastAsia="Times New Roman" w:hAnsi="Times New Roman" w:cs="Times New Roman"/>
          <w:sz w:val="24"/>
          <w:szCs w:val="24"/>
          <w:lang w:eastAsia="sk-SK"/>
        </w:rPr>
        <w:t>79 608</w:t>
      </w:r>
      <w:r w:rsidRPr="002C5D27">
        <w:rPr>
          <w:rFonts w:ascii="Times New Roman" w:eastAsia="Times New Roman" w:hAnsi="Times New Roman" w:cs="Times New Roman"/>
          <w:sz w:val="24"/>
          <w:szCs w:val="24"/>
          <w:lang w:eastAsia="sk-SK"/>
        </w:rPr>
        <w:t xml:space="preserve"> predstavuje MSP. Kvantifikácia dotknutých subjektov bola uskutočnená expertným odhadom na základe údajov z registra účtovných závierok vyselektovaných podľa ekonomických činností, ktorých sa povinnosť týka. Platné účtovné jednotky boli vyfiltrované podľa kódu SK NACE 47 a 45. Z týchto kategórií boli špecifikované </w:t>
      </w:r>
      <w:proofErr w:type="spellStart"/>
      <w:r w:rsidRPr="002C5D27">
        <w:rPr>
          <w:rFonts w:ascii="Times New Roman" w:eastAsia="Times New Roman" w:hAnsi="Times New Roman" w:cs="Times New Roman"/>
          <w:sz w:val="24"/>
          <w:szCs w:val="24"/>
          <w:lang w:eastAsia="sk-SK"/>
        </w:rPr>
        <w:t>subkategórie</w:t>
      </w:r>
      <w:proofErr w:type="spellEnd"/>
      <w:r w:rsidRPr="002C5D27">
        <w:rPr>
          <w:rFonts w:ascii="Times New Roman" w:eastAsia="Times New Roman" w:hAnsi="Times New Roman" w:cs="Times New Roman"/>
          <w:sz w:val="24"/>
          <w:szCs w:val="24"/>
          <w:lang w:eastAsia="sk-SK"/>
        </w:rPr>
        <w:t xml:space="preserve">, pri ktorých podľa expertného odhadu prevláda pre danú ekonomickú činnosť vzťah obchodník-spotrebiteľ. Počet MSP </w:t>
      </w:r>
      <w:r w:rsidR="00CA41B1" w:rsidRPr="002C5D27">
        <w:rPr>
          <w:rFonts w:ascii="Times New Roman" w:eastAsia="Times New Roman" w:hAnsi="Times New Roman" w:cs="Times New Roman"/>
          <w:sz w:val="24"/>
          <w:szCs w:val="24"/>
          <w:lang w:eastAsia="sk-SK"/>
        </w:rPr>
        <w:t xml:space="preserve">Počet MSP </w:t>
      </w:r>
      <w:r w:rsidR="00CA41B1">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CA41B1">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4" w:history="1">
        <w:r w:rsidR="00CA41B1" w:rsidRPr="003A0922">
          <w:rPr>
            <w:rStyle w:val="Hypertextovprepojenie"/>
            <w:rFonts w:ascii="Times New Roman" w:eastAsia="Times New Roman" w:hAnsi="Times New Roman" w:cs="Times New Roman"/>
            <w:bCs/>
            <w:color w:val="auto"/>
            <w:sz w:val="24"/>
            <w:szCs w:val="24"/>
            <w:lang w:eastAsia="sk-SK"/>
          </w:rPr>
          <w:t>Atlas MSP</w:t>
        </w:r>
      </w:hyperlink>
      <w:r w:rsidR="00E63AD3">
        <w:rPr>
          <w:rFonts w:ascii="Times New Roman" w:eastAsia="Times New Roman" w:hAnsi="Times New Roman" w:cs="Times New Roman"/>
          <w:bCs/>
          <w:sz w:val="24"/>
          <w:szCs w:val="24"/>
          <w:lang w:eastAsia="sk-SK"/>
        </w:rPr>
        <w:t>, v</w:t>
      </w:r>
      <w:r w:rsidR="00CA41B1">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 xml:space="preserve">. Predmetná úprava ušetrí obchodníkom administratívne náklady v hodnote odhadovanej na </w:t>
      </w:r>
      <w:r w:rsidR="00422B77">
        <w:rPr>
          <w:rFonts w:ascii="Times New Roman" w:eastAsia="Times New Roman" w:hAnsi="Times New Roman" w:cs="Times New Roman"/>
          <w:sz w:val="24"/>
          <w:szCs w:val="24"/>
          <w:lang w:eastAsia="sk-SK"/>
        </w:rPr>
        <w:t>135 905</w:t>
      </w:r>
      <w:r w:rsidR="00CA41B1" w:rsidRPr="002C5D27">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422B77" w:rsidRDefault="00422B77" w:rsidP="002C5D27">
      <w:pPr>
        <w:numPr>
          <w:ilvl w:val="0"/>
          <w:numId w:val="3"/>
        </w:numPr>
        <w:spacing w:after="0" w:line="240" w:lineRule="auto"/>
        <w:contextualSpacing/>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Zverejňovanie porovnania cien palív</w:t>
      </w:r>
    </w:p>
    <w:p w:rsidR="00422B77" w:rsidRDefault="00422B77" w:rsidP="00C71257">
      <w:pPr>
        <w:spacing w:after="0"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dopĺňa informačnú povinnosť pre čerpacie stanice, ktoré ponúkajú okrem motorovej nafty a automobilového benzínu aj alternatívne palivo. Všetky tieto čerpacie stanice budú povinné zverejňovať porovnanie cien palív (podľa informácie zverejnenej na webovom sídle Ministerstva hospodárstva SR: </w:t>
      </w:r>
      <w:hyperlink r:id="rId15" w:history="1">
        <w:r w:rsidRPr="00422B77">
          <w:rPr>
            <w:rStyle w:val="Hypertextovprepojenie"/>
            <w:rFonts w:ascii="Times New Roman" w:hAnsi="Times New Roman" w:cs="Times New Roman"/>
            <w:color w:val="auto"/>
            <w:sz w:val="24"/>
          </w:rPr>
          <w:t>Porovnanie cien palív | E-mobilita a alternatívne palivá | Priemysel | MHSR (gov.sk)</w:t>
        </w:r>
      </w:hyperlink>
      <w:r>
        <w:rPr>
          <w:rFonts w:ascii="Times New Roman" w:hAnsi="Times New Roman" w:cs="Times New Roman"/>
          <w:sz w:val="24"/>
        </w:rPr>
        <w:t xml:space="preserve">) </w:t>
      </w:r>
      <w:r>
        <w:rPr>
          <w:rFonts w:ascii="Times New Roman" w:eastAsia="Times New Roman" w:hAnsi="Times New Roman" w:cs="Times New Roman"/>
          <w:sz w:val="24"/>
          <w:szCs w:val="24"/>
          <w:lang w:eastAsia="sk-SK"/>
        </w:rPr>
        <w:t xml:space="preserve">a vo štvrťročnom intervale ho aktualizovať. </w:t>
      </w:r>
      <w:r w:rsidR="00DE19B7">
        <w:rPr>
          <w:rFonts w:ascii="Times New Roman" w:eastAsia="Times New Roman" w:hAnsi="Times New Roman" w:cs="Times New Roman"/>
          <w:sz w:val="24"/>
          <w:szCs w:val="24"/>
          <w:lang w:eastAsia="sk-SK"/>
        </w:rPr>
        <w:t xml:space="preserve">Úprava predstavuje transpozíciu a implementáciu EÚ regulácie. </w:t>
      </w:r>
      <w:r>
        <w:rPr>
          <w:rFonts w:ascii="Times New Roman" w:eastAsia="Times New Roman" w:hAnsi="Times New Roman" w:cs="Times New Roman"/>
          <w:sz w:val="24"/>
          <w:szCs w:val="24"/>
          <w:lang w:eastAsia="sk-SK"/>
        </w:rPr>
        <w:t xml:space="preserve">Počet dotknutých subjektov </w:t>
      </w:r>
      <w:r w:rsidR="00DE19B7">
        <w:rPr>
          <w:rFonts w:ascii="Times New Roman" w:eastAsia="Times New Roman" w:hAnsi="Times New Roman" w:cs="Times New Roman"/>
          <w:sz w:val="24"/>
          <w:szCs w:val="24"/>
          <w:lang w:eastAsia="sk-SK"/>
        </w:rPr>
        <w:t xml:space="preserve">(400) a z toho počet MSP (100) </w:t>
      </w:r>
      <w:r>
        <w:rPr>
          <w:rFonts w:ascii="Times New Roman" w:eastAsia="Times New Roman" w:hAnsi="Times New Roman" w:cs="Times New Roman"/>
          <w:sz w:val="24"/>
          <w:szCs w:val="24"/>
          <w:lang w:eastAsia="sk-SK"/>
        </w:rPr>
        <w:t>vychádza z odhadu. Základ odhadu tvoril počet LPG staníc na Slovensku</w:t>
      </w:r>
      <w:r w:rsidR="00DE19B7">
        <w:rPr>
          <w:rFonts w:ascii="Times New Roman" w:eastAsia="Times New Roman" w:hAnsi="Times New Roman" w:cs="Times New Roman"/>
          <w:sz w:val="24"/>
          <w:szCs w:val="24"/>
          <w:lang w:eastAsia="sk-SK"/>
        </w:rPr>
        <w:t xml:space="preserve"> </w:t>
      </w:r>
      <w:r w:rsidR="00DE19B7">
        <w:rPr>
          <w:rFonts w:ascii="Times New Roman" w:eastAsia="Times New Roman" w:hAnsi="Times New Roman" w:cs="Times New Roman"/>
          <w:sz w:val="24"/>
          <w:szCs w:val="24"/>
          <w:lang w:eastAsia="sk-SK"/>
        </w:rPr>
        <w:t>(380)</w:t>
      </w:r>
      <w:r>
        <w:rPr>
          <w:rFonts w:ascii="Times New Roman" w:eastAsia="Times New Roman" w:hAnsi="Times New Roman" w:cs="Times New Roman"/>
          <w:sz w:val="24"/>
          <w:szCs w:val="24"/>
          <w:lang w:eastAsia="sk-SK"/>
        </w:rPr>
        <w:t>, ktorý pochádza z vnútorných štatistík Ministerstva hospodárstva SR. Predpokladané náklady na jednu vytlačenú A4</w:t>
      </w:r>
      <w:r w:rsidR="00C71257">
        <w:rPr>
          <w:rFonts w:ascii="Times New Roman" w:eastAsia="Times New Roman" w:hAnsi="Times New Roman" w:cs="Times New Roman"/>
          <w:sz w:val="24"/>
          <w:szCs w:val="24"/>
          <w:lang w:eastAsia="sk-SK"/>
        </w:rPr>
        <w:t xml:space="preserve"> s porovnaním cien palív sú 1 euro a 5 minút času zamestnanca. </w:t>
      </w:r>
    </w:p>
    <w:p w:rsidR="00C71257" w:rsidRPr="00422B77" w:rsidRDefault="00C71257" w:rsidP="00C71257">
      <w:pPr>
        <w:spacing w:after="0" w:line="240" w:lineRule="auto"/>
        <w:contextualSpacing/>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Vypustenie povinnosti obchodníka vydať doklad o vybavení reklamácie</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Návrh zákona taktiež upúšťa od </w:t>
      </w:r>
      <w:r w:rsidR="00DE19B7">
        <w:rPr>
          <w:rFonts w:ascii="Times New Roman" w:eastAsia="Times New Roman" w:hAnsi="Times New Roman" w:cs="Times New Roman"/>
          <w:sz w:val="24"/>
          <w:szCs w:val="24"/>
          <w:lang w:eastAsia="sk-SK"/>
        </w:rPr>
        <w:t xml:space="preserve">plošnej/generálnej </w:t>
      </w:r>
      <w:r w:rsidRPr="002C5D27">
        <w:rPr>
          <w:rFonts w:ascii="Times New Roman" w:eastAsia="Times New Roman" w:hAnsi="Times New Roman" w:cs="Times New Roman"/>
          <w:sz w:val="24"/>
          <w:szCs w:val="24"/>
          <w:lang w:eastAsia="sk-SK"/>
        </w:rPr>
        <w:t xml:space="preserve">povinnosti obchodníka vydať spotrebiteľovi o vybavení reklamácie písomný doklad, čím sa šetria podnikateľskému prostrediu administratívne náklady v hodnote odhadovanej na </w:t>
      </w:r>
      <w:r w:rsidR="00DE19B7">
        <w:rPr>
          <w:rFonts w:ascii="Times New Roman" w:eastAsia="Times New Roman" w:hAnsi="Times New Roman" w:cs="Times New Roman"/>
          <w:sz w:val="24"/>
          <w:szCs w:val="24"/>
          <w:lang w:eastAsia="sk-SK"/>
        </w:rPr>
        <w:t>111 559</w:t>
      </w:r>
      <w:r w:rsidR="00CA41B1" w:rsidRPr="002C5D27">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 xml:space="preserve">eur. Predmetná zmena sa dotkne </w:t>
      </w:r>
      <w:r w:rsidR="00DE19B7">
        <w:rPr>
          <w:rFonts w:ascii="Times New Roman" w:eastAsia="Times New Roman" w:hAnsi="Times New Roman" w:cs="Times New Roman"/>
          <w:sz w:val="24"/>
          <w:szCs w:val="24"/>
          <w:lang w:eastAsia="sk-SK"/>
        </w:rPr>
        <w:t xml:space="preserve">približne </w:t>
      </w:r>
      <w:r w:rsidRPr="002C5D27">
        <w:rPr>
          <w:rFonts w:ascii="Times New Roman" w:eastAsia="Times New Roman" w:hAnsi="Times New Roman" w:cs="Times New Roman"/>
          <w:sz w:val="24"/>
          <w:szCs w:val="24"/>
          <w:lang w:eastAsia="sk-SK"/>
        </w:rPr>
        <w:t xml:space="preserve">130 </w:t>
      </w:r>
      <w:r w:rsidR="00DE19B7">
        <w:rPr>
          <w:rFonts w:ascii="Times New Roman" w:eastAsia="Times New Roman" w:hAnsi="Times New Roman" w:cs="Times New Roman"/>
          <w:sz w:val="24"/>
          <w:szCs w:val="24"/>
          <w:lang w:eastAsia="sk-SK"/>
        </w:rPr>
        <w:t>825</w:t>
      </w:r>
      <w:r w:rsidRPr="002C5D27">
        <w:rPr>
          <w:rFonts w:ascii="Times New Roman" w:eastAsia="Times New Roman" w:hAnsi="Times New Roman" w:cs="Times New Roman"/>
          <w:sz w:val="24"/>
          <w:szCs w:val="24"/>
          <w:lang w:eastAsia="sk-SK"/>
        </w:rPr>
        <w:t xml:space="preserve"> obchodníkov, z ktorých </w:t>
      </w:r>
      <w:r w:rsidR="00DE19B7">
        <w:rPr>
          <w:rFonts w:ascii="Times New Roman" w:eastAsia="Times New Roman" w:hAnsi="Times New Roman" w:cs="Times New Roman"/>
          <w:sz w:val="24"/>
          <w:szCs w:val="24"/>
          <w:lang w:eastAsia="sk-SK"/>
        </w:rPr>
        <w:t>129 517</w:t>
      </w:r>
      <w:r w:rsidR="00CA41B1" w:rsidRPr="002C5D27">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predstavuje MSP. Kvantifikácia dotknutých subjektov bola uskutočnená expertným odhadom na základe údajov z registra účtovných závierok vyselektovaných podľa ekonomických činností, ktorých sa povinnosť týka. Platné účtovné jednotky boli v</w:t>
      </w:r>
      <w:r w:rsidR="00E63AD3">
        <w:rPr>
          <w:rFonts w:ascii="Times New Roman" w:eastAsia="Times New Roman" w:hAnsi="Times New Roman" w:cs="Times New Roman"/>
          <w:sz w:val="24"/>
          <w:szCs w:val="24"/>
          <w:lang w:eastAsia="sk-SK"/>
        </w:rPr>
        <w:t xml:space="preserve">yfiltrované podľa kódu SK NACE </w:t>
      </w:r>
      <w:r w:rsidRPr="002C5D27">
        <w:rPr>
          <w:rFonts w:ascii="Times New Roman" w:eastAsia="Times New Roman" w:hAnsi="Times New Roman" w:cs="Times New Roman"/>
          <w:sz w:val="24"/>
          <w:szCs w:val="24"/>
          <w:lang w:eastAsia="sk-SK"/>
        </w:rPr>
        <w:t xml:space="preserve">47, 49.1, 49.3, 50.3, 51.1, 53, 55, 56, 93 a 96. Z týchto kategórií boli špecifikované </w:t>
      </w:r>
      <w:proofErr w:type="spellStart"/>
      <w:r w:rsidRPr="002C5D27">
        <w:rPr>
          <w:rFonts w:ascii="Times New Roman" w:eastAsia="Times New Roman" w:hAnsi="Times New Roman" w:cs="Times New Roman"/>
          <w:sz w:val="24"/>
          <w:szCs w:val="24"/>
          <w:lang w:eastAsia="sk-SK"/>
        </w:rPr>
        <w:t>subkategórie</w:t>
      </w:r>
      <w:proofErr w:type="spellEnd"/>
      <w:r w:rsidRPr="002C5D27">
        <w:rPr>
          <w:rFonts w:ascii="Times New Roman" w:eastAsia="Times New Roman" w:hAnsi="Times New Roman" w:cs="Times New Roman"/>
          <w:sz w:val="24"/>
          <w:szCs w:val="24"/>
          <w:lang w:eastAsia="sk-SK"/>
        </w:rPr>
        <w:t xml:space="preserve">, pri ktorých podľa expertného odhadu prevláda pre danú ekonomickú činnosť vzťah obchodník-spotrebiteľ. </w:t>
      </w:r>
      <w:r w:rsidR="00CA41B1" w:rsidRPr="002C5D27">
        <w:rPr>
          <w:rFonts w:ascii="Times New Roman" w:eastAsia="Times New Roman" w:hAnsi="Times New Roman" w:cs="Times New Roman"/>
          <w:sz w:val="24"/>
          <w:szCs w:val="24"/>
          <w:lang w:eastAsia="sk-SK"/>
        </w:rPr>
        <w:t xml:space="preserve">Počet MSP </w:t>
      </w:r>
      <w:r w:rsidR="00CA41B1">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CA41B1">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6" w:history="1">
        <w:r w:rsidR="00CA41B1" w:rsidRPr="003A0922">
          <w:rPr>
            <w:rStyle w:val="Hypertextovprepojenie"/>
            <w:rFonts w:ascii="Times New Roman" w:eastAsia="Times New Roman" w:hAnsi="Times New Roman" w:cs="Times New Roman"/>
            <w:bCs/>
            <w:color w:val="auto"/>
            <w:sz w:val="24"/>
            <w:szCs w:val="24"/>
            <w:lang w:eastAsia="sk-SK"/>
          </w:rPr>
          <w:t>Atlas MSP</w:t>
        </w:r>
      </w:hyperlink>
      <w:r w:rsidR="00CA41B1">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CA41B1">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Zrušenie informačných povinností pri dočasnom uzavretí prevádzkarne obchodníka</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Doterajšia úprava vyžaduje od obchodníka pri dočasnom uzavretí prevádzkarne dlhšom ako </w:t>
      </w:r>
      <w:r w:rsidR="00C71257">
        <w:rPr>
          <w:rFonts w:ascii="Times New Roman" w:eastAsia="Times New Roman" w:hAnsi="Times New Roman" w:cs="Times New Roman"/>
          <w:sz w:val="24"/>
          <w:szCs w:val="24"/>
          <w:lang w:eastAsia="sk-SK"/>
        </w:rPr>
        <w:br/>
      </w:r>
      <w:r w:rsidRPr="002C5D27">
        <w:rPr>
          <w:rFonts w:ascii="Times New Roman" w:eastAsia="Times New Roman" w:hAnsi="Times New Roman" w:cs="Times New Roman"/>
          <w:sz w:val="24"/>
          <w:szCs w:val="24"/>
          <w:lang w:eastAsia="sk-SK"/>
        </w:rPr>
        <w:t xml:space="preserve">1 deň informovať spotrebiteľov o začiatku a konci uzavretia ich vyznačením na mieste, kde je uvedená prevádzková doba. Predmetná zmena sa dotkne 103 339 obchodníkov, z ktorých </w:t>
      </w:r>
      <w:r w:rsidR="00B3302B">
        <w:rPr>
          <w:rFonts w:ascii="Times New Roman" w:eastAsia="Times New Roman" w:hAnsi="Times New Roman" w:cs="Times New Roman"/>
          <w:sz w:val="24"/>
          <w:szCs w:val="24"/>
          <w:lang w:eastAsia="sk-SK"/>
        </w:rPr>
        <w:t>103 236</w:t>
      </w:r>
      <w:r w:rsidRPr="002C5D27">
        <w:rPr>
          <w:rFonts w:ascii="Times New Roman" w:eastAsia="Times New Roman" w:hAnsi="Times New Roman" w:cs="Times New Roman"/>
          <w:sz w:val="24"/>
          <w:szCs w:val="24"/>
          <w:lang w:eastAsia="sk-SK"/>
        </w:rPr>
        <w:t xml:space="preserve"> predstavuje MSP. Kvantifikácia dotknutých subjektov bola uskutočnená expertným odhadom na základe údajov z registra účtovných závierok vyselektovaných podľa ekonomických činností, ktorých sa povinnosť týka. Platné účtovné jednotky boli vyfiltrované podľa kódu SK NACE 47, 35.14, 35.23, 49.1, 49.3, 50.3, 51.1, 53, 55, 56, 93 a 96. Z týchto kategórie boli špecifikované </w:t>
      </w:r>
      <w:proofErr w:type="spellStart"/>
      <w:r w:rsidRPr="002C5D27">
        <w:rPr>
          <w:rFonts w:ascii="Times New Roman" w:eastAsia="Times New Roman" w:hAnsi="Times New Roman" w:cs="Times New Roman"/>
          <w:sz w:val="24"/>
          <w:szCs w:val="24"/>
          <w:lang w:eastAsia="sk-SK"/>
        </w:rPr>
        <w:t>subkategórie</w:t>
      </w:r>
      <w:proofErr w:type="spellEnd"/>
      <w:r w:rsidRPr="002C5D27">
        <w:rPr>
          <w:rFonts w:ascii="Times New Roman" w:eastAsia="Times New Roman" w:hAnsi="Times New Roman" w:cs="Times New Roman"/>
          <w:sz w:val="24"/>
          <w:szCs w:val="24"/>
          <w:lang w:eastAsia="sk-SK"/>
        </w:rPr>
        <w:t xml:space="preserve">, pri ktorých podľa expertného odhadu prevláda pre danú ekonomickú činnosť vzťah obchodník-spotrebiteľ. Od takto kvantifikovaného okruhu dotknutých subjektov potom bol odčítaný počet obchodníkov, ktorí nemajú prevádzkarne, a to opäť využitím SK NACE kódov 47910, 47990, 47890, 47810 a 47820. Počet MSP </w:t>
      </w:r>
      <w:r w:rsidR="00B3302B">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7" w:history="1">
        <w:r w:rsidR="00B3302B" w:rsidRPr="003A0922">
          <w:rPr>
            <w:rStyle w:val="Hypertextovprepojenie"/>
            <w:rFonts w:ascii="Times New Roman" w:eastAsia="Times New Roman" w:hAnsi="Times New Roman" w:cs="Times New Roman"/>
            <w:bCs/>
            <w:color w:val="auto"/>
            <w:sz w:val="24"/>
            <w:szCs w:val="24"/>
            <w:lang w:eastAsia="sk-SK"/>
          </w:rPr>
          <w:t>Atlas MSP</w:t>
        </w:r>
      </w:hyperlink>
      <w:r w:rsidR="00E63AD3">
        <w:rPr>
          <w:rFonts w:ascii="Times New Roman" w:eastAsia="Times New Roman" w:hAnsi="Times New Roman" w:cs="Times New Roman"/>
          <w:bCs/>
          <w:sz w:val="24"/>
          <w:szCs w:val="24"/>
          <w:lang w:eastAsia="sk-SK"/>
        </w:rPr>
        <w:t>, v</w:t>
      </w:r>
      <w:r w:rsidR="00B3302B">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w:t>
      </w:r>
      <w:r w:rsidR="00B3302B">
        <w:rPr>
          <w:rFonts w:ascii="Times New Roman" w:eastAsia="Times New Roman" w:hAnsi="Times New Roman" w:cs="Times New Roman"/>
          <w:sz w:val="24"/>
          <w:szCs w:val="24"/>
          <w:lang w:eastAsia="sk-SK"/>
        </w:rPr>
        <w:t xml:space="preserve"> Predmetná úprava ušetrí podnikateľskému prostrediu administratívne náklady vo výške odhadovanej na </w:t>
      </w:r>
      <w:r w:rsidR="00C71257">
        <w:rPr>
          <w:rFonts w:ascii="Times New Roman" w:eastAsia="Times New Roman" w:hAnsi="Times New Roman" w:cs="Times New Roman"/>
          <w:sz w:val="24"/>
          <w:szCs w:val="24"/>
          <w:lang w:eastAsia="sk-SK"/>
        </w:rPr>
        <w:t>44 060</w:t>
      </w:r>
      <w:r w:rsidR="00B3302B">
        <w:rPr>
          <w:rFonts w:ascii="Times New Roman" w:eastAsia="Times New Roman" w:hAnsi="Times New Roman" w:cs="Times New Roman"/>
          <w:sz w:val="24"/>
          <w:szCs w:val="24"/>
          <w:lang w:eastAsia="sk-SK"/>
        </w:rPr>
        <w:t xml:space="preserve"> 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 xml:space="preserve">Zavedenie nových informačných povinností pre obchodníka v súvislosti </w:t>
      </w:r>
      <w:r w:rsidR="00DE19B7">
        <w:rPr>
          <w:rFonts w:ascii="Times New Roman" w:eastAsia="Times New Roman" w:hAnsi="Times New Roman" w:cs="Times New Roman"/>
          <w:b/>
          <w:sz w:val="24"/>
          <w:szCs w:val="24"/>
          <w:lang w:eastAsia="sk-SK"/>
        </w:rPr>
        <w:br/>
      </w:r>
      <w:r w:rsidRPr="002C5D27">
        <w:rPr>
          <w:rFonts w:ascii="Times New Roman" w:eastAsia="Times New Roman" w:hAnsi="Times New Roman" w:cs="Times New Roman"/>
          <w:b/>
          <w:sz w:val="24"/>
          <w:szCs w:val="24"/>
          <w:lang w:eastAsia="sk-SK"/>
        </w:rPr>
        <w:t>so zabezpečovaním autenticity spotrebiteľských hodnotení</w:t>
      </w:r>
    </w:p>
    <w:p w:rsidR="002C5D27" w:rsidRPr="002C5D27" w:rsidRDefault="002C5D27" w:rsidP="002C5D27">
      <w:pPr>
        <w:spacing w:after="0" w:line="240" w:lineRule="auto"/>
        <w:jc w:val="both"/>
        <w:rPr>
          <w:rFonts w:ascii="Times New Roman" w:eastAsia="Times New Roman" w:hAnsi="Times New Roman" w:cs="Times New Roman"/>
          <w:bCs/>
          <w:sz w:val="24"/>
          <w:szCs w:val="24"/>
          <w:lang w:eastAsia="sk-SK"/>
        </w:rPr>
      </w:pPr>
      <w:r w:rsidRPr="002C5D27">
        <w:rPr>
          <w:rFonts w:ascii="Times New Roman" w:eastAsia="Times New Roman" w:hAnsi="Times New Roman" w:cs="Times New Roman"/>
          <w:bCs/>
          <w:sz w:val="24"/>
          <w:szCs w:val="24"/>
          <w:lang w:eastAsia="sk-SK"/>
        </w:rPr>
        <w:t xml:space="preserve">Návrh zákona na účely posudzovania nekalých obchodných praktík zavádza medzi podstatné informácie aj informácie o tom, či a akým spôsobom obchodník zabezpečuje, že hodnotenia spotrebiteľov, ak k nim poskytuje spotrebiteľom prístup, skutočne pochádzajú od spotrebiteľov, ktorí si produkt naozaj kúpili alebo ho použili. Počet dotknutých obchodníkov bol kvantifikovaný na </w:t>
      </w:r>
      <w:r w:rsidR="00B3302B">
        <w:rPr>
          <w:rFonts w:ascii="Times New Roman" w:eastAsia="Times New Roman" w:hAnsi="Times New Roman" w:cs="Times New Roman"/>
          <w:bCs/>
          <w:sz w:val="24"/>
          <w:szCs w:val="24"/>
          <w:lang w:eastAsia="sk-SK"/>
        </w:rPr>
        <w:t>14 300</w:t>
      </w:r>
      <w:r w:rsidRPr="002C5D27">
        <w:rPr>
          <w:rFonts w:ascii="Times New Roman" w:eastAsia="Times New Roman" w:hAnsi="Times New Roman" w:cs="Times New Roman"/>
          <w:bCs/>
          <w:sz w:val="24"/>
          <w:szCs w:val="24"/>
          <w:lang w:eastAsia="sk-SK"/>
        </w:rPr>
        <w:t xml:space="preserve">, z ktorých </w:t>
      </w:r>
      <w:r w:rsidR="00B3302B">
        <w:rPr>
          <w:rFonts w:ascii="Times New Roman" w:eastAsia="Times New Roman" w:hAnsi="Times New Roman" w:cs="Times New Roman"/>
          <w:bCs/>
          <w:sz w:val="24"/>
          <w:szCs w:val="24"/>
          <w:lang w:eastAsia="sk-SK"/>
        </w:rPr>
        <w:t>14 286</w:t>
      </w:r>
      <w:r w:rsidRPr="002C5D27">
        <w:rPr>
          <w:rFonts w:ascii="Times New Roman" w:eastAsia="Times New Roman" w:hAnsi="Times New Roman" w:cs="Times New Roman"/>
          <w:bCs/>
          <w:sz w:val="24"/>
          <w:szCs w:val="24"/>
          <w:lang w:eastAsia="sk-SK"/>
        </w:rPr>
        <w:t xml:space="preserve"> predstavuje MSP. </w:t>
      </w:r>
      <w:r w:rsidR="00B3302B" w:rsidRPr="002C5D27">
        <w:rPr>
          <w:rFonts w:ascii="Times New Roman" w:eastAsia="Times New Roman" w:hAnsi="Times New Roman" w:cs="Times New Roman"/>
          <w:bCs/>
          <w:sz w:val="24"/>
          <w:szCs w:val="24"/>
          <w:lang w:eastAsia="sk-SK"/>
        </w:rPr>
        <w:t xml:space="preserve">Kvantifikácia dotknutých subjektov bola uskutočnená expertným odhadom na základe údajov </w:t>
      </w:r>
      <w:r w:rsidR="00B3302B">
        <w:rPr>
          <w:rFonts w:ascii="Times New Roman" w:eastAsia="Times New Roman" w:hAnsi="Times New Roman" w:cs="Times New Roman"/>
          <w:bCs/>
          <w:sz w:val="24"/>
          <w:szCs w:val="24"/>
          <w:lang w:eastAsia="sk-SK"/>
        </w:rPr>
        <w:t>poskytnutých</w:t>
      </w:r>
      <w:r w:rsidR="00E63AD3">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CEO </w:t>
      </w:r>
      <w:proofErr w:type="spellStart"/>
      <w:r w:rsidR="00B3302B">
        <w:rPr>
          <w:rFonts w:ascii="Times New Roman" w:eastAsia="Times New Roman" w:hAnsi="Times New Roman" w:cs="Times New Roman"/>
          <w:bCs/>
          <w:sz w:val="24"/>
          <w:szCs w:val="24"/>
          <w:lang w:eastAsia="sk-SK"/>
        </w:rPr>
        <w:t>Heureky</w:t>
      </w:r>
      <w:proofErr w:type="spellEnd"/>
      <w:r w:rsidR="00B3302B">
        <w:rPr>
          <w:rFonts w:ascii="Times New Roman" w:eastAsia="Times New Roman" w:hAnsi="Times New Roman" w:cs="Times New Roman"/>
          <w:bCs/>
          <w:sz w:val="24"/>
          <w:szCs w:val="24"/>
          <w:lang w:eastAsia="sk-SK"/>
        </w:rPr>
        <w:t xml:space="preserve"> Group pre článok časopisu Trend, ktorý je dostupný na: </w:t>
      </w:r>
      <w:hyperlink r:id="rId18" w:history="1">
        <w:r w:rsidR="00B3302B" w:rsidRPr="003A0922">
          <w:rPr>
            <w:rStyle w:val="Hypertextovprepojenie"/>
            <w:rFonts w:ascii="Times New Roman" w:eastAsia="Times New Roman" w:hAnsi="Times New Roman" w:cs="Times New Roman"/>
            <w:bCs/>
            <w:color w:val="auto"/>
            <w:sz w:val="24"/>
            <w:szCs w:val="24"/>
            <w:lang w:eastAsia="sk-SK"/>
          </w:rPr>
          <w:t>Slovenský e-</w:t>
        </w:r>
        <w:proofErr w:type="spellStart"/>
        <w:r w:rsidR="00B3302B" w:rsidRPr="003A0922">
          <w:rPr>
            <w:rStyle w:val="Hypertextovprepojenie"/>
            <w:rFonts w:ascii="Times New Roman" w:eastAsia="Times New Roman" w:hAnsi="Times New Roman" w:cs="Times New Roman"/>
            <w:bCs/>
            <w:color w:val="auto"/>
            <w:sz w:val="24"/>
            <w:szCs w:val="24"/>
            <w:lang w:eastAsia="sk-SK"/>
          </w:rPr>
          <w:t>commerce</w:t>
        </w:r>
        <w:proofErr w:type="spellEnd"/>
        <w:r w:rsidR="00B3302B" w:rsidRPr="003A0922">
          <w:rPr>
            <w:rStyle w:val="Hypertextovprepojenie"/>
            <w:rFonts w:ascii="Times New Roman" w:eastAsia="Times New Roman" w:hAnsi="Times New Roman" w:cs="Times New Roman"/>
            <w:bCs/>
            <w:color w:val="auto"/>
            <w:sz w:val="24"/>
            <w:szCs w:val="24"/>
            <w:lang w:eastAsia="sk-SK"/>
          </w:rPr>
          <w:t xml:space="preserve"> nezastaviteľne rastie. / TREND</w:t>
        </w:r>
      </w:hyperlink>
      <w:r w:rsidR="00E63AD3">
        <w:rPr>
          <w:rFonts w:ascii="Times New Roman" w:eastAsia="Times New Roman" w:hAnsi="Times New Roman" w:cs="Times New Roman"/>
          <w:bCs/>
          <w:sz w:val="24"/>
          <w:szCs w:val="24"/>
          <w:lang w:eastAsia="sk-SK"/>
        </w:rPr>
        <w:t>. Počet MPS</w:t>
      </w:r>
      <w:r w:rsidR="00B3302B">
        <w:rPr>
          <w:rFonts w:ascii="Times New Roman" w:eastAsia="Times New Roman" w:hAnsi="Times New Roman" w:cs="Times New Roman"/>
          <w:bCs/>
          <w:sz w:val="24"/>
          <w:szCs w:val="24"/>
          <w:lang w:eastAsia="sk-SK"/>
        </w:rPr>
        <w:t xml:space="preserve"> bol určený na 99,9</w:t>
      </w:r>
      <w:r w:rsidR="007D22CE">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9" w:history="1">
        <w:r w:rsidR="00B3302B" w:rsidRPr="003A0922">
          <w:rPr>
            <w:rStyle w:val="Hypertextovprepojenie"/>
            <w:rFonts w:ascii="Times New Roman" w:eastAsia="Times New Roman" w:hAnsi="Times New Roman" w:cs="Times New Roman"/>
            <w:bCs/>
            <w:color w:val="auto"/>
            <w:sz w:val="24"/>
            <w:szCs w:val="24"/>
            <w:lang w:eastAsia="sk-SK"/>
          </w:rPr>
          <w:t>Atlas MSP</w:t>
        </w:r>
      </w:hyperlink>
      <w:r w:rsidR="00B3302B">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B3302B">
        <w:rPr>
          <w:rFonts w:ascii="Times New Roman" w:eastAsia="Times New Roman" w:hAnsi="Times New Roman" w:cs="Times New Roman"/>
          <w:bCs/>
          <w:sz w:val="24"/>
          <w:szCs w:val="24"/>
          <w:lang w:eastAsia="sk-SK"/>
        </w:rPr>
        <w:t> zmysle ktorého MSP v roku 2021 tvorili 99,9 % podiel z celkového počtu podnikateľských sub</w:t>
      </w:r>
      <w:r w:rsidR="00E63AD3">
        <w:rPr>
          <w:rFonts w:ascii="Times New Roman" w:eastAsia="Times New Roman" w:hAnsi="Times New Roman" w:cs="Times New Roman"/>
          <w:bCs/>
          <w:sz w:val="24"/>
          <w:szCs w:val="24"/>
          <w:lang w:eastAsia="sk-SK"/>
        </w:rPr>
        <w:t xml:space="preserve">jektov. </w:t>
      </w:r>
      <w:r w:rsidR="00B3302B" w:rsidRPr="002C5D27">
        <w:rPr>
          <w:rFonts w:ascii="Times New Roman" w:eastAsia="Times New Roman" w:hAnsi="Times New Roman" w:cs="Times New Roman"/>
          <w:bCs/>
          <w:sz w:val="24"/>
          <w:szCs w:val="24"/>
          <w:lang w:eastAsia="sk-SK"/>
        </w:rPr>
        <w:t>Predmetná úprava je transpozíciou legislatívy EÚ a predstavuje pre podnikateľské prostredie zvýšenie administratívnych nákladov v hodnote odhadovanej na</w:t>
      </w:r>
      <w:r w:rsidR="00B3302B">
        <w:rPr>
          <w:rFonts w:ascii="Times New Roman" w:eastAsia="Times New Roman" w:hAnsi="Times New Roman" w:cs="Times New Roman"/>
          <w:bCs/>
          <w:sz w:val="24"/>
          <w:szCs w:val="24"/>
          <w:lang w:eastAsia="sk-SK"/>
        </w:rPr>
        <w:t xml:space="preserve"> </w:t>
      </w:r>
      <w:r w:rsidR="00DE19B7">
        <w:rPr>
          <w:rFonts w:ascii="Times New Roman" w:eastAsia="Times New Roman" w:hAnsi="Times New Roman" w:cs="Times New Roman"/>
          <w:bCs/>
          <w:sz w:val="24"/>
          <w:szCs w:val="24"/>
          <w:lang w:eastAsia="sk-SK"/>
        </w:rPr>
        <w:t>18 291</w:t>
      </w:r>
      <w:r w:rsidR="00B3302B">
        <w:rPr>
          <w:rFonts w:ascii="Times New Roman" w:eastAsia="Times New Roman" w:hAnsi="Times New Roman" w:cs="Times New Roman"/>
          <w:bCs/>
          <w:sz w:val="24"/>
          <w:szCs w:val="24"/>
          <w:lang w:eastAsia="sk-SK"/>
        </w:rPr>
        <w:t xml:space="preserve"> eur</w:t>
      </w:r>
      <w:r w:rsidRPr="002C5D27">
        <w:rPr>
          <w:rFonts w:ascii="Times New Roman" w:eastAsia="Times New Roman" w:hAnsi="Times New Roman" w:cs="Times New Roman"/>
          <w:bCs/>
          <w:sz w:val="24"/>
          <w:szCs w:val="24"/>
          <w:lang w:eastAsia="sk-SK"/>
        </w:rPr>
        <w:t>.</w:t>
      </w:r>
    </w:p>
    <w:p w:rsidR="002C5D27" w:rsidRPr="002C5D27" w:rsidRDefault="002C5D27" w:rsidP="002C5D27">
      <w:pPr>
        <w:spacing w:after="0" w:line="240" w:lineRule="auto"/>
        <w:jc w:val="both"/>
        <w:rPr>
          <w:rFonts w:ascii="Times New Roman" w:eastAsia="Times New Roman" w:hAnsi="Times New Roman" w:cs="Times New Roman"/>
          <w:b/>
          <w:sz w:val="24"/>
          <w:szCs w:val="24"/>
          <w:lang w:eastAsia="sk-SK"/>
        </w:rPr>
      </w:pPr>
    </w:p>
    <w:p w:rsidR="00C47071" w:rsidRPr="002C5D27" w:rsidRDefault="00C47071" w:rsidP="00C47071">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Zavedenie informačných povinností pre prevádzkovateľa online trhu</w:t>
      </w:r>
    </w:p>
    <w:p w:rsidR="002C5D27" w:rsidRPr="00E63AD3" w:rsidRDefault="00C47071" w:rsidP="00C47071">
      <w:pPr>
        <w:spacing w:after="0" w:line="240" w:lineRule="auto"/>
        <w:jc w:val="both"/>
        <w:rPr>
          <w:rFonts w:ascii="Times New Roman" w:eastAsia="Times New Roman" w:hAnsi="Times New Roman" w:cs="Times New Roman"/>
          <w:bCs/>
          <w:sz w:val="24"/>
          <w:szCs w:val="24"/>
          <w:lang w:eastAsia="sk-SK"/>
        </w:rPr>
      </w:pPr>
      <w:r w:rsidRPr="002C5D27">
        <w:rPr>
          <w:rFonts w:ascii="Times New Roman" w:eastAsia="Times New Roman" w:hAnsi="Times New Roman" w:cs="Times New Roman"/>
          <w:sz w:val="24"/>
          <w:szCs w:val="24"/>
          <w:lang w:eastAsia="sk-SK"/>
        </w:rPr>
        <w:t xml:space="preserve">Návrh zákona prináša nové informačné povinnosti prevádzkovateľa online trhu, ktorými sú oznamovanie hlavných parametrov určujúcich poradie ponúk vo výsledku vyhľadávania spotrebiteľa na online trhu a ich významu vo vzťahu k iným parametrom vyhľadávania, oznamovanie toho, či osoba ponúkajúca produkt na online trhu je obchodníkom podľa vyhlásenia, ktoré prevádzkovateľovi online trhu poskytla, poskytnutie poučenia, že v takom prípade sa na zmluvu nebudú vzťahovať predpisy na ochranu spotrebiteľa a oznámenie o deľbe so zmluvou súvisiacich povinností, ak k nej dochádza. Kvantifikácia dotknutých obchodníkov bola uskutočnená </w:t>
      </w:r>
      <w:r w:rsidR="007B0658">
        <w:rPr>
          <w:rFonts w:ascii="Times New Roman" w:eastAsia="Times New Roman" w:hAnsi="Times New Roman" w:cs="Times New Roman"/>
          <w:sz w:val="24"/>
          <w:szCs w:val="24"/>
          <w:lang w:eastAsia="sk-SK"/>
        </w:rPr>
        <w:t>na modelovom príklade</w:t>
      </w:r>
      <w:r w:rsidRPr="002C5D27">
        <w:rPr>
          <w:rFonts w:ascii="Times New Roman" w:eastAsia="Times New Roman" w:hAnsi="Times New Roman" w:cs="Times New Roman"/>
          <w:sz w:val="24"/>
          <w:szCs w:val="24"/>
          <w:lang w:eastAsia="sk-SK"/>
        </w:rPr>
        <w:t xml:space="preserve"> </w:t>
      </w:r>
      <w:r w:rsidR="00B3302B">
        <w:rPr>
          <w:rFonts w:ascii="Times New Roman" w:eastAsia="Times New Roman" w:hAnsi="Times New Roman" w:cs="Times New Roman"/>
          <w:sz w:val="24"/>
          <w:szCs w:val="24"/>
          <w:lang w:eastAsia="sk-SK"/>
        </w:rPr>
        <w:t>20</w:t>
      </w:r>
      <w:r w:rsidRPr="002C5D27">
        <w:rPr>
          <w:rFonts w:ascii="Times New Roman" w:eastAsia="Times New Roman" w:hAnsi="Times New Roman" w:cs="Times New Roman"/>
          <w:sz w:val="24"/>
          <w:szCs w:val="24"/>
          <w:lang w:eastAsia="sk-SK"/>
        </w:rPr>
        <w:t xml:space="preserve"> podnikateľský</w:t>
      </w:r>
      <w:r w:rsidR="00B3302B">
        <w:rPr>
          <w:rFonts w:ascii="Times New Roman" w:eastAsia="Times New Roman" w:hAnsi="Times New Roman" w:cs="Times New Roman"/>
          <w:sz w:val="24"/>
          <w:szCs w:val="24"/>
          <w:lang w:eastAsia="sk-SK"/>
        </w:rPr>
        <w:t>ch</w:t>
      </w:r>
      <w:r w:rsidRPr="002C5D27">
        <w:rPr>
          <w:rFonts w:ascii="Times New Roman" w:eastAsia="Times New Roman" w:hAnsi="Times New Roman" w:cs="Times New Roman"/>
          <w:sz w:val="24"/>
          <w:szCs w:val="24"/>
          <w:lang w:eastAsia="sk-SK"/>
        </w:rPr>
        <w:t xml:space="preserve"> subjekt</w:t>
      </w:r>
      <w:r w:rsidR="00B3302B">
        <w:rPr>
          <w:rFonts w:ascii="Times New Roman" w:eastAsia="Times New Roman" w:hAnsi="Times New Roman" w:cs="Times New Roman"/>
          <w:sz w:val="24"/>
          <w:szCs w:val="24"/>
          <w:lang w:eastAsia="sk-SK"/>
        </w:rPr>
        <w:t>ov</w:t>
      </w:r>
      <w:r w:rsidRPr="002C5D27">
        <w:rPr>
          <w:rFonts w:ascii="Times New Roman" w:eastAsia="Times New Roman" w:hAnsi="Times New Roman" w:cs="Times New Roman"/>
          <w:sz w:val="24"/>
          <w:szCs w:val="24"/>
          <w:lang w:eastAsia="sk-SK"/>
        </w:rPr>
        <w:t xml:space="preserve">, </w:t>
      </w:r>
      <w:r w:rsidRPr="007B0658">
        <w:rPr>
          <w:rFonts w:ascii="Times New Roman" w:eastAsia="Times New Roman" w:hAnsi="Times New Roman" w:cs="Times New Roman"/>
          <w:sz w:val="24"/>
          <w:szCs w:val="24"/>
          <w:lang w:eastAsia="sk-SK"/>
        </w:rPr>
        <w:t xml:space="preserve">nakoľko nie je možné </w:t>
      </w:r>
      <w:r w:rsidR="007B0658" w:rsidRPr="007B0658">
        <w:rPr>
          <w:rFonts w:ascii="Times New Roman" w:eastAsia="Times New Roman" w:hAnsi="Times New Roman" w:cs="Times New Roman"/>
          <w:sz w:val="24"/>
          <w:szCs w:val="24"/>
          <w:lang w:eastAsia="sk-SK"/>
        </w:rPr>
        <w:t>určiť</w:t>
      </w:r>
      <w:r w:rsidRPr="007B0658">
        <w:rPr>
          <w:rFonts w:ascii="Times New Roman" w:eastAsia="Times New Roman" w:hAnsi="Times New Roman" w:cs="Times New Roman"/>
          <w:sz w:val="24"/>
          <w:szCs w:val="24"/>
          <w:lang w:eastAsia="sk-SK"/>
        </w:rPr>
        <w:t xml:space="preserve"> </w:t>
      </w:r>
      <w:r w:rsidR="007B0658" w:rsidRPr="007B0658">
        <w:rPr>
          <w:rFonts w:ascii="Times New Roman" w:eastAsia="Times New Roman" w:hAnsi="Times New Roman" w:cs="Times New Roman"/>
          <w:sz w:val="24"/>
          <w:szCs w:val="24"/>
          <w:lang w:eastAsia="sk-SK"/>
        </w:rPr>
        <w:t xml:space="preserve">konkrétny </w:t>
      </w:r>
      <w:r w:rsidRPr="007B0658">
        <w:rPr>
          <w:rFonts w:ascii="Times New Roman" w:eastAsia="Times New Roman" w:hAnsi="Times New Roman" w:cs="Times New Roman"/>
          <w:sz w:val="24"/>
          <w:szCs w:val="24"/>
          <w:lang w:eastAsia="sk-SK"/>
        </w:rPr>
        <w:t>počet dotknutých subjektov, ktorý</w:t>
      </w:r>
      <w:r w:rsidR="007B0658">
        <w:rPr>
          <w:rFonts w:ascii="Times New Roman" w:eastAsia="Times New Roman" w:hAnsi="Times New Roman" w:cs="Times New Roman"/>
          <w:sz w:val="24"/>
          <w:szCs w:val="24"/>
          <w:lang w:eastAsia="sk-SK"/>
        </w:rPr>
        <w:t xml:space="preserve"> by sa však mal v zmysle dostupných informácií pohybovať v desiatkach. </w:t>
      </w:r>
      <w:r w:rsidR="00E63AD3">
        <w:rPr>
          <w:rFonts w:ascii="Times New Roman" w:eastAsia="Times New Roman" w:hAnsi="Times New Roman" w:cs="Times New Roman"/>
          <w:bCs/>
          <w:sz w:val="24"/>
          <w:szCs w:val="24"/>
          <w:lang w:eastAsia="sk-SK"/>
        </w:rPr>
        <w:t>Počet MPS</w:t>
      </w:r>
      <w:r w:rsidR="00B3302B">
        <w:rPr>
          <w:rFonts w:ascii="Times New Roman" w:eastAsia="Times New Roman" w:hAnsi="Times New Roman" w:cs="Times New Roman"/>
          <w:bCs/>
          <w:sz w:val="24"/>
          <w:szCs w:val="24"/>
          <w:lang w:eastAsia="sk-SK"/>
        </w:rPr>
        <w:t xml:space="preserve"> bol </w:t>
      </w:r>
      <w:r w:rsidR="007B0658">
        <w:rPr>
          <w:rFonts w:ascii="Times New Roman" w:eastAsia="Times New Roman" w:hAnsi="Times New Roman" w:cs="Times New Roman"/>
          <w:bCs/>
          <w:sz w:val="24"/>
          <w:szCs w:val="24"/>
          <w:lang w:eastAsia="sk-SK"/>
        </w:rPr>
        <w:t xml:space="preserve">aj v tomto modelovom príklade </w:t>
      </w:r>
      <w:r w:rsidR="00B3302B">
        <w:rPr>
          <w:rFonts w:ascii="Times New Roman" w:eastAsia="Times New Roman" w:hAnsi="Times New Roman" w:cs="Times New Roman"/>
          <w:bCs/>
          <w:sz w:val="24"/>
          <w:szCs w:val="24"/>
          <w:lang w:eastAsia="sk-SK"/>
        </w:rPr>
        <w:t>určený na 99,9</w:t>
      </w:r>
      <w:r w:rsidR="007B0658">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20" w:history="1">
        <w:r w:rsidR="00B3302B" w:rsidRPr="003A0922">
          <w:rPr>
            <w:rStyle w:val="Hypertextovprepojenie"/>
            <w:rFonts w:ascii="Times New Roman" w:eastAsia="Times New Roman" w:hAnsi="Times New Roman" w:cs="Times New Roman"/>
            <w:bCs/>
            <w:color w:val="auto"/>
            <w:sz w:val="24"/>
            <w:szCs w:val="24"/>
            <w:lang w:eastAsia="sk-SK"/>
          </w:rPr>
          <w:t>Atlas MSP</w:t>
        </w:r>
      </w:hyperlink>
      <w:r w:rsidR="00B3302B">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B3302B">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 xml:space="preserve"> Toto ustanovenie zvýši podnikateľskému prostrediu administratívne náklady v hodnote odhadovanej na </w:t>
      </w:r>
      <w:r w:rsidR="00DE19B7">
        <w:rPr>
          <w:rFonts w:ascii="Times New Roman" w:eastAsia="Times New Roman" w:hAnsi="Times New Roman" w:cs="Times New Roman"/>
          <w:sz w:val="24"/>
          <w:szCs w:val="24"/>
          <w:lang w:eastAsia="sk-SK"/>
        </w:rPr>
        <w:t>26</w:t>
      </w:r>
      <w:r w:rsidR="00B3302B">
        <w:rPr>
          <w:rFonts w:ascii="Times New Roman" w:eastAsia="Times New Roman" w:hAnsi="Times New Roman" w:cs="Times New Roman"/>
          <w:sz w:val="24"/>
          <w:szCs w:val="24"/>
          <w:lang w:eastAsia="sk-SK"/>
        </w:rPr>
        <w:t xml:space="preserve"> eur.</w:t>
      </w:r>
    </w:p>
    <w:p w:rsidR="00C47071" w:rsidRDefault="00C47071" w:rsidP="00C47071">
      <w:pPr>
        <w:spacing w:after="0" w:line="240" w:lineRule="auto"/>
        <w:jc w:val="both"/>
        <w:rPr>
          <w:rFonts w:ascii="Times New Roman" w:eastAsia="Times New Roman" w:hAnsi="Times New Roman" w:cs="Times New Roman"/>
          <w:sz w:val="24"/>
          <w:szCs w:val="24"/>
          <w:lang w:eastAsia="sk-SK"/>
        </w:rPr>
      </w:pPr>
    </w:p>
    <w:p w:rsidR="00C47071" w:rsidRPr="002C5D27" w:rsidRDefault="00C47071" w:rsidP="00C47071">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Zavedenie povinnosti obchodníka predložiť prevádzkovateľovi online trhu vyhlásenie o tom, že je obchodník</w:t>
      </w:r>
    </w:p>
    <w:p w:rsidR="00C47071" w:rsidRPr="002C5D27" w:rsidRDefault="00C47071" w:rsidP="00C47071">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Návrh zákona stanovuje obchodníkom povinnosť predložiť prevádzkovateľovi online trhu vyhlásenie o tom, že je obchodníkom. Úprava je transpozíciou EÚ legislatívy. </w:t>
      </w:r>
      <w:r w:rsidR="009337D9">
        <w:rPr>
          <w:rFonts w:ascii="Times New Roman" w:eastAsia="Times New Roman" w:hAnsi="Times New Roman" w:cs="Times New Roman"/>
          <w:sz w:val="24"/>
          <w:szCs w:val="24"/>
          <w:lang w:eastAsia="sk-SK"/>
        </w:rPr>
        <w:t>Počet dotknutých subjektov bol expertným odhadom kvantifikovaný na 10 900 obchodníkov. Tento odhad je založený na počte internetových obchodov, ktoré možno nájsť na najväčšom online</w:t>
      </w:r>
      <w:r w:rsidR="00994808">
        <w:rPr>
          <w:rFonts w:ascii="Times New Roman" w:eastAsia="Times New Roman" w:hAnsi="Times New Roman" w:cs="Times New Roman"/>
          <w:sz w:val="24"/>
          <w:szCs w:val="24"/>
          <w:lang w:eastAsia="sk-SK"/>
        </w:rPr>
        <w:t xml:space="preserve"> trhu na Slovensku, ktorým je </w:t>
      </w:r>
      <w:hyperlink r:id="rId21" w:history="1">
        <w:proofErr w:type="spellStart"/>
        <w:r w:rsidR="00994808" w:rsidRPr="00994808">
          <w:rPr>
            <w:rStyle w:val="Hypertextovprepojenie"/>
            <w:rFonts w:ascii="Times New Roman" w:eastAsia="Times New Roman" w:hAnsi="Times New Roman" w:cs="Times New Roman"/>
            <w:color w:val="auto"/>
            <w:sz w:val="24"/>
            <w:szCs w:val="24"/>
            <w:lang w:eastAsia="sk-SK"/>
          </w:rPr>
          <w:t>Heureka</w:t>
        </w:r>
        <w:proofErr w:type="spellEnd"/>
        <w:r w:rsidR="00994808" w:rsidRPr="00994808">
          <w:rPr>
            <w:rStyle w:val="Hypertextovprepojenie"/>
            <w:rFonts w:ascii="Times New Roman" w:eastAsia="Times New Roman" w:hAnsi="Times New Roman" w:cs="Times New Roman"/>
            <w:sz w:val="24"/>
            <w:szCs w:val="24"/>
            <w:lang w:eastAsia="sk-SK"/>
          </w:rPr>
          <w:t>.</w:t>
        </w:r>
      </w:hyperlink>
      <w:r w:rsidR="00994808">
        <w:rPr>
          <w:rFonts w:ascii="Times New Roman" w:eastAsia="Times New Roman" w:hAnsi="Times New Roman" w:cs="Times New Roman"/>
          <w:sz w:val="24"/>
          <w:szCs w:val="24"/>
          <w:lang w:eastAsia="sk-SK"/>
        </w:rPr>
        <w:t xml:space="preserve"> </w:t>
      </w:r>
      <w:r w:rsidR="00E63AD3">
        <w:rPr>
          <w:rFonts w:ascii="Times New Roman" w:eastAsia="Times New Roman" w:hAnsi="Times New Roman" w:cs="Times New Roman"/>
          <w:bCs/>
          <w:sz w:val="24"/>
          <w:szCs w:val="24"/>
          <w:lang w:eastAsia="sk-SK"/>
        </w:rPr>
        <w:t xml:space="preserve">Počet MPS </w:t>
      </w:r>
      <w:r w:rsidR="00994808">
        <w:rPr>
          <w:rFonts w:ascii="Times New Roman" w:eastAsia="Times New Roman" w:hAnsi="Times New Roman" w:cs="Times New Roman"/>
          <w:bCs/>
          <w:sz w:val="24"/>
          <w:szCs w:val="24"/>
          <w:lang w:eastAsia="sk-SK"/>
        </w:rPr>
        <w:t>bol určený na 99,9</w:t>
      </w:r>
      <w:r w:rsidR="007D22CE">
        <w:rPr>
          <w:rFonts w:ascii="Times New Roman" w:eastAsia="Times New Roman" w:hAnsi="Times New Roman" w:cs="Times New Roman"/>
          <w:bCs/>
          <w:sz w:val="24"/>
          <w:szCs w:val="24"/>
          <w:lang w:eastAsia="sk-SK"/>
        </w:rPr>
        <w:t xml:space="preserve"> </w:t>
      </w:r>
      <w:r w:rsidR="00994808">
        <w:rPr>
          <w:rFonts w:ascii="Times New Roman" w:eastAsia="Times New Roman" w:hAnsi="Times New Roman" w:cs="Times New Roman"/>
          <w:bCs/>
          <w:sz w:val="24"/>
          <w:szCs w:val="24"/>
          <w:lang w:eastAsia="sk-SK"/>
        </w:rPr>
        <w:t xml:space="preserve">% z kvantifikovaného celkového počtu dotknutých subjektov, čo je v tomto prípade 10 891 subjektov. Percentuálne určenie vychádza zo záverov SBA publikovaných v Atlase MSP, ktorý je dostupný na: </w:t>
      </w:r>
      <w:hyperlink r:id="rId22" w:history="1">
        <w:r w:rsidR="00994808" w:rsidRPr="003A0922">
          <w:rPr>
            <w:rStyle w:val="Hypertextovprepojenie"/>
            <w:rFonts w:ascii="Times New Roman" w:eastAsia="Times New Roman" w:hAnsi="Times New Roman" w:cs="Times New Roman"/>
            <w:bCs/>
            <w:color w:val="auto"/>
            <w:sz w:val="24"/>
            <w:szCs w:val="24"/>
            <w:lang w:eastAsia="sk-SK"/>
          </w:rPr>
          <w:t>Atlas MSP</w:t>
        </w:r>
      </w:hyperlink>
      <w:r w:rsidR="00994808">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994808">
        <w:rPr>
          <w:rFonts w:ascii="Times New Roman" w:eastAsia="Times New Roman" w:hAnsi="Times New Roman" w:cs="Times New Roman"/>
          <w:bCs/>
          <w:sz w:val="24"/>
          <w:szCs w:val="24"/>
          <w:lang w:eastAsia="sk-SK"/>
        </w:rPr>
        <w:t> zmysle ktorého MSP v roku 2021 tvorili 99,9 % podiel z celkového počtu podnikateľských subjektov.</w:t>
      </w:r>
      <w:r w:rsidR="007D22CE">
        <w:rPr>
          <w:rFonts w:ascii="Times New Roman" w:eastAsia="Times New Roman" w:hAnsi="Times New Roman" w:cs="Times New Roman"/>
          <w:bCs/>
          <w:sz w:val="24"/>
          <w:szCs w:val="24"/>
          <w:lang w:eastAsia="sk-SK"/>
        </w:rPr>
        <w:t xml:space="preserve"> Predmetná úprava </w:t>
      </w:r>
      <w:r w:rsidR="00994808">
        <w:rPr>
          <w:rFonts w:ascii="Times New Roman" w:eastAsia="Times New Roman" w:hAnsi="Times New Roman" w:cs="Times New Roman"/>
          <w:bCs/>
          <w:sz w:val="24"/>
          <w:szCs w:val="24"/>
          <w:lang w:eastAsia="sk-SK"/>
        </w:rPr>
        <w:t xml:space="preserve">predstavuje pre podnikateľské prostredie zvýšenie nákladov v hodnote odhadovanej na </w:t>
      </w:r>
      <w:r w:rsidR="00DE19B7">
        <w:rPr>
          <w:rFonts w:ascii="Times New Roman" w:eastAsia="Times New Roman" w:hAnsi="Times New Roman" w:cs="Times New Roman"/>
          <w:bCs/>
          <w:sz w:val="24"/>
          <w:szCs w:val="24"/>
          <w:lang w:eastAsia="sk-SK"/>
        </w:rPr>
        <w:t>2 324</w:t>
      </w:r>
      <w:r w:rsidR="00994808">
        <w:rPr>
          <w:rFonts w:ascii="Times New Roman" w:eastAsia="Times New Roman" w:hAnsi="Times New Roman" w:cs="Times New Roman"/>
          <w:bCs/>
          <w:sz w:val="24"/>
          <w:szCs w:val="24"/>
          <w:lang w:eastAsia="sk-SK"/>
        </w:rPr>
        <w:t xml:space="preserve"> eur.</w:t>
      </w:r>
    </w:p>
    <w:p w:rsidR="00C47071" w:rsidRPr="002C5D27" w:rsidRDefault="00C47071" w:rsidP="00C47071">
      <w:pPr>
        <w:spacing w:after="0" w:line="240" w:lineRule="auto"/>
        <w:jc w:val="both"/>
        <w:rPr>
          <w:rFonts w:ascii="Times New Roman" w:eastAsia="Times New Roman" w:hAnsi="Times New Roman" w:cs="Times New Roman"/>
          <w:sz w:val="24"/>
          <w:szCs w:val="24"/>
          <w:lang w:eastAsia="sk-SK"/>
        </w:rPr>
      </w:pPr>
    </w:p>
    <w:p w:rsidR="00C47071" w:rsidRPr="002C5D27" w:rsidRDefault="00C47071" w:rsidP="00C47071">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Zavedenie povinnosti obchodníka vypracovať čestné vyhlásenie o tom, že je obchodník</w:t>
      </w:r>
    </w:p>
    <w:p w:rsidR="00C47071" w:rsidRPr="002C5D27" w:rsidRDefault="00C47071" w:rsidP="00C47071">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Predmetná povinnosť je predpokladom pre splnenie po</w:t>
      </w:r>
      <w:r w:rsidR="00994808">
        <w:rPr>
          <w:rFonts w:ascii="Times New Roman" w:eastAsia="Times New Roman" w:hAnsi="Times New Roman" w:cs="Times New Roman"/>
          <w:sz w:val="24"/>
          <w:szCs w:val="24"/>
          <w:lang w:eastAsia="sk-SK"/>
        </w:rPr>
        <w:t>vinnosti špecifikovanej v bode 9</w:t>
      </w:r>
      <w:r w:rsidRPr="002C5D27">
        <w:rPr>
          <w:rFonts w:ascii="Times New Roman" w:eastAsia="Times New Roman" w:hAnsi="Times New Roman" w:cs="Times New Roman"/>
          <w:sz w:val="24"/>
          <w:szCs w:val="24"/>
          <w:lang w:eastAsia="sk-SK"/>
        </w:rPr>
        <w:t>, a preto okruh dotknutých obchodníkov bude totožný s okruhom dotknu</w:t>
      </w:r>
      <w:r w:rsidR="00994808">
        <w:rPr>
          <w:rFonts w:ascii="Times New Roman" w:eastAsia="Times New Roman" w:hAnsi="Times New Roman" w:cs="Times New Roman"/>
          <w:sz w:val="24"/>
          <w:szCs w:val="24"/>
          <w:lang w:eastAsia="sk-SK"/>
        </w:rPr>
        <w:t>tých obchodníkov na účely bodu 9</w:t>
      </w:r>
      <w:r w:rsidRPr="002C5D27">
        <w:rPr>
          <w:rFonts w:ascii="Times New Roman" w:eastAsia="Times New Roman" w:hAnsi="Times New Roman" w:cs="Times New Roman"/>
          <w:sz w:val="24"/>
          <w:szCs w:val="24"/>
          <w:lang w:eastAsia="sk-SK"/>
        </w:rPr>
        <w:t xml:space="preserve">. </w:t>
      </w:r>
      <w:r w:rsidR="00994808">
        <w:rPr>
          <w:rFonts w:ascii="Times New Roman" w:eastAsia="Times New Roman" w:hAnsi="Times New Roman" w:cs="Times New Roman"/>
          <w:sz w:val="24"/>
          <w:szCs w:val="24"/>
          <w:lang w:eastAsia="sk-SK"/>
        </w:rPr>
        <w:t xml:space="preserve">Počet dotknutých subjektov bol expertným odhadom kvantifikovaný na 10 900 obchodníkov. Tento odhad je založený na počte internetových obchodov, ktoré možno nájsť na najväčšom online trhu na Slovensku, ktorým je </w:t>
      </w:r>
      <w:hyperlink r:id="rId23" w:history="1">
        <w:proofErr w:type="spellStart"/>
        <w:r w:rsidR="00994808" w:rsidRPr="00994808">
          <w:rPr>
            <w:rStyle w:val="Hypertextovprepojenie"/>
            <w:rFonts w:ascii="Times New Roman" w:eastAsia="Times New Roman" w:hAnsi="Times New Roman" w:cs="Times New Roman"/>
            <w:color w:val="auto"/>
            <w:sz w:val="24"/>
            <w:szCs w:val="24"/>
            <w:lang w:eastAsia="sk-SK"/>
          </w:rPr>
          <w:t>Heureka</w:t>
        </w:r>
        <w:proofErr w:type="spellEnd"/>
        <w:r w:rsidR="00994808" w:rsidRPr="00994808">
          <w:rPr>
            <w:rStyle w:val="Hypertextovprepojenie"/>
            <w:rFonts w:ascii="Times New Roman" w:eastAsia="Times New Roman" w:hAnsi="Times New Roman" w:cs="Times New Roman"/>
            <w:sz w:val="24"/>
            <w:szCs w:val="24"/>
            <w:lang w:eastAsia="sk-SK"/>
          </w:rPr>
          <w:t>.</w:t>
        </w:r>
      </w:hyperlink>
      <w:r w:rsidR="00994808">
        <w:rPr>
          <w:rFonts w:ascii="Times New Roman" w:eastAsia="Times New Roman" w:hAnsi="Times New Roman" w:cs="Times New Roman"/>
          <w:sz w:val="24"/>
          <w:szCs w:val="24"/>
          <w:lang w:eastAsia="sk-SK"/>
        </w:rPr>
        <w:t xml:space="preserve"> </w:t>
      </w:r>
      <w:r w:rsidR="00E63AD3">
        <w:rPr>
          <w:rFonts w:ascii="Times New Roman" w:eastAsia="Times New Roman" w:hAnsi="Times New Roman" w:cs="Times New Roman"/>
          <w:bCs/>
          <w:sz w:val="24"/>
          <w:szCs w:val="24"/>
          <w:lang w:eastAsia="sk-SK"/>
        </w:rPr>
        <w:t>Počet MPS</w:t>
      </w:r>
      <w:r w:rsidR="00994808">
        <w:rPr>
          <w:rFonts w:ascii="Times New Roman" w:eastAsia="Times New Roman" w:hAnsi="Times New Roman" w:cs="Times New Roman"/>
          <w:bCs/>
          <w:sz w:val="24"/>
          <w:szCs w:val="24"/>
          <w:lang w:eastAsia="sk-SK"/>
        </w:rPr>
        <w:t xml:space="preserve"> bol určený na 99,9 % z kvantifikovaného celkového počtu dotknutých subjektov, čo je v tomto prípade 10 891 subjektov. Percentuálne určenie vychádza zo záverov SBA publikovaných v Atlase MSP, ktorý je dostupný na: </w:t>
      </w:r>
      <w:hyperlink r:id="rId24" w:history="1">
        <w:r w:rsidR="00994808" w:rsidRPr="003A0922">
          <w:rPr>
            <w:rStyle w:val="Hypertextovprepojenie"/>
            <w:rFonts w:ascii="Times New Roman" w:eastAsia="Times New Roman" w:hAnsi="Times New Roman" w:cs="Times New Roman"/>
            <w:bCs/>
            <w:color w:val="auto"/>
            <w:sz w:val="24"/>
            <w:szCs w:val="24"/>
            <w:lang w:eastAsia="sk-SK"/>
          </w:rPr>
          <w:t>Atlas MSP</w:t>
        </w:r>
      </w:hyperlink>
      <w:r w:rsidR="00994808">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994808">
        <w:rPr>
          <w:rFonts w:ascii="Times New Roman" w:eastAsia="Times New Roman" w:hAnsi="Times New Roman" w:cs="Times New Roman"/>
          <w:bCs/>
          <w:sz w:val="24"/>
          <w:szCs w:val="24"/>
          <w:lang w:eastAsia="sk-SK"/>
        </w:rPr>
        <w:t xml:space="preserve"> zmysle ktorého MSP v roku 2021 tvorili 99,9 % podiel z celkového počtu podnikateľských subjektov. Predmetná úprava je transpozíciou legislatívy EÚ a predstavuje pre podnikateľské prostredie zvýšenie nákladov v hodnote odhadovanej </w:t>
      </w:r>
      <w:r w:rsidR="00DE19B7">
        <w:rPr>
          <w:rFonts w:ascii="Times New Roman" w:eastAsia="Times New Roman" w:hAnsi="Times New Roman" w:cs="Times New Roman"/>
          <w:bCs/>
          <w:sz w:val="24"/>
          <w:szCs w:val="24"/>
          <w:lang w:eastAsia="sk-SK"/>
        </w:rPr>
        <w:br/>
      </w:r>
      <w:r w:rsidR="00994808">
        <w:rPr>
          <w:rFonts w:ascii="Times New Roman" w:eastAsia="Times New Roman" w:hAnsi="Times New Roman" w:cs="Times New Roman"/>
          <w:bCs/>
          <w:sz w:val="24"/>
          <w:szCs w:val="24"/>
          <w:lang w:eastAsia="sk-SK"/>
        </w:rPr>
        <w:t xml:space="preserve">na </w:t>
      </w:r>
      <w:r w:rsidR="00DE19B7">
        <w:rPr>
          <w:rFonts w:ascii="Times New Roman" w:eastAsia="Times New Roman" w:hAnsi="Times New Roman" w:cs="Times New Roman"/>
          <w:bCs/>
          <w:sz w:val="24"/>
          <w:szCs w:val="24"/>
          <w:lang w:eastAsia="sk-SK"/>
        </w:rPr>
        <w:t>9 295</w:t>
      </w:r>
      <w:r w:rsidR="00994808">
        <w:rPr>
          <w:rFonts w:ascii="Times New Roman" w:eastAsia="Times New Roman" w:hAnsi="Times New Roman" w:cs="Times New Roman"/>
          <w:bCs/>
          <w:sz w:val="24"/>
          <w:szCs w:val="24"/>
          <w:lang w:eastAsia="sk-SK"/>
        </w:rPr>
        <w:t xml:space="preserve"> eur</w:t>
      </w:r>
      <w:r w:rsidRPr="002C5D27">
        <w:rPr>
          <w:rFonts w:ascii="Times New Roman" w:eastAsia="Times New Roman" w:hAnsi="Times New Roman" w:cs="Times New Roman"/>
          <w:sz w:val="24"/>
          <w:szCs w:val="24"/>
          <w:lang w:eastAsia="sk-SK"/>
        </w:rPr>
        <w:t>.</w:t>
      </w:r>
    </w:p>
    <w:p w:rsidR="00C47071" w:rsidRPr="002C5D27" w:rsidRDefault="00C47071" w:rsidP="00C47071">
      <w:pPr>
        <w:spacing w:after="0" w:line="240" w:lineRule="auto"/>
        <w:jc w:val="both"/>
        <w:rPr>
          <w:rFonts w:ascii="Times New Roman" w:eastAsia="Times New Roman" w:hAnsi="Times New Roman" w:cs="Times New Roman"/>
          <w:bCs/>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3.2 Vyhodnotenie konzultácií s podnikateľskými subjektmi pred predbežným pripomienkovým konaním</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Uveďte formu konzultácií vrátane zdôvodnenia jej výberu a trvanie konzultácií, termíny stretnutí. Uveďte spôsob oslovenia dotknutých subjektov, zoznam konzultujúcich subjektov, tiež </w:t>
      </w:r>
      <w:proofErr w:type="spellStart"/>
      <w:r w:rsidRPr="002C5D27">
        <w:rPr>
          <w:rFonts w:ascii="Times New Roman" w:eastAsia="Calibri" w:hAnsi="Times New Roman" w:cs="Times New Roman"/>
          <w:i/>
          <w:sz w:val="24"/>
          <w:szCs w:val="24"/>
          <w:lang w:eastAsia="sk-SK"/>
        </w:rPr>
        <w:t>link</w:t>
      </w:r>
      <w:proofErr w:type="spellEnd"/>
      <w:r w:rsidRPr="002C5D27">
        <w:rPr>
          <w:rFonts w:ascii="Times New Roman" w:eastAsia="Calibri" w:hAnsi="Times New Roman" w:cs="Times New Roman"/>
          <w:i/>
          <w:sz w:val="24"/>
          <w:szCs w:val="24"/>
          <w:lang w:eastAsia="sk-SK"/>
        </w:rPr>
        <w:t xml:space="preserve"> na webovú stránku, na ktorej boli konzultácie zverejnené.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Uveďte hlavné body konzultácií a ich závery.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Alternatívne namiesto vypĺňania bodu 3.2 môžete uviesť ako samostatnú prílohu tejto analýzy Záznam z konzultácií obsahujúci požadované informácie.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K návrhu zákona o ochrane spotrebiteľa bola zverejnená predbežná informácia na stránke Slov-lex.sk (</w:t>
      </w:r>
      <w:hyperlink r:id="rId25" w:history="1">
        <w:r w:rsidRPr="002C5D27">
          <w:rPr>
            <w:rFonts w:ascii="Times New Roman" w:eastAsia="Calibri" w:hAnsi="Times New Roman" w:cs="Times New Roman"/>
            <w:color w:val="0000FF"/>
            <w:sz w:val="24"/>
            <w:szCs w:val="24"/>
            <w:u w:val="single"/>
            <w:lang w:eastAsia="sk-SK"/>
          </w:rPr>
          <w:t>https://www.slov-lex.sk/legislativne-procesy/SK/PI/2020/32</w:t>
        </w:r>
      </w:hyperlink>
      <w:r w:rsidRPr="002C5D27">
        <w:rPr>
          <w:rFonts w:ascii="Times New Roman" w:eastAsia="Calibri" w:hAnsi="Times New Roman" w:cs="Times New Roman"/>
          <w:sz w:val="24"/>
          <w:szCs w:val="24"/>
          <w:lang w:eastAsia="sk-SK"/>
        </w:rPr>
        <w:t xml:space="preserve">) dňa 19. 2. 2020 s možnosťou pre verejnosť podávať podnety do 31. 3. 2020. Na základe prejaveného záujmu bola zriadená pracovná skupina zo zástupcov podnikateľských subjektov, spotrebiteľských organizácií a štátnych orgánov. Pracovnej skupine bol zaslaný prvý návrh zákona o ochrane spotrebiteľa v júli 2020. Pripomienky boli priebežne vyhodnocované a zapracovávané. Najzásadnejší rozpor vznikol na úrovni štátnych orgánov. Týkal sa systematiky novej právnej úpravy. K ustanoveniam, ktoré boli predmetom rozporu (vymedzenie spotrebiteľských zmlúv a reklamácie), bolo predložených najviac pripomienok od členov pracovnej skupiny. K rozporu boli oslovení aj ostatní členovia pracovnej skupiny so žiadosťou o zaujatie stanoviska. Rozpor bol odstránený dohodou o ponechaní úpravy niektorých spotrebiteľských inštitútov v Občianskom zákonníku s tým, že na rozdiel od súčasnosti pôjde o komplexnú úpravu a úprava sa nebude deliť medzi zákon o ochrane spotrebiteľa a Občiansky zákonník (z dôvodu prehľadnosti a zjednodušenia orientácie tak podnikateľov, ako aj spotrebiteľov). Po vyriešení rozporu bola vypracovaná revidovaná verzia návrhu zákona, ktorá sa predkladá do legislatívneho procesu. </w:t>
      </w:r>
      <w:r w:rsidR="00657D34">
        <w:rPr>
          <w:rFonts w:ascii="Times New Roman" w:eastAsia="Calibri" w:hAnsi="Times New Roman" w:cs="Times New Roman"/>
          <w:sz w:val="24"/>
          <w:szCs w:val="24"/>
          <w:lang w:eastAsia="sk-SK"/>
        </w:rPr>
        <w:t>Intenzívne konzultácie pokračovali</w:t>
      </w:r>
      <w:r w:rsidRPr="002C5D27">
        <w:rPr>
          <w:rFonts w:ascii="Times New Roman" w:eastAsia="Calibri" w:hAnsi="Times New Roman" w:cs="Times New Roman"/>
          <w:sz w:val="24"/>
          <w:szCs w:val="24"/>
          <w:lang w:eastAsia="sk-SK"/>
        </w:rPr>
        <w:t xml:space="preserve"> v priebehu medzirezortného pripomienkového konania.</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 </w:t>
      </w: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bookmarkStart w:id="0" w:name="_Hlk47698091"/>
      <w:r w:rsidRPr="002C5D27">
        <w:rPr>
          <w:rFonts w:ascii="Times New Roman" w:eastAsia="Calibri" w:hAnsi="Times New Roman" w:cs="Times New Roman"/>
          <w:b/>
          <w:sz w:val="24"/>
          <w:szCs w:val="24"/>
          <w:lang w:eastAsia="sk-SK"/>
        </w:rPr>
        <w:t>3.3 Vplyvy na konkurencieschopnosť a produktivitu</w:t>
      </w:r>
    </w:p>
    <w:bookmarkEnd w:id="0"/>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Dochádza k vytvoreniu resp. k zmene bariér na trhu?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Bude sa s niektorými podnikmi alebo produktmi zaobchádzať v porovnateľnej situácii rôzne (napr. špeciálne režimy pre </w:t>
      </w:r>
      <w:proofErr w:type="spellStart"/>
      <w:r w:rsidRPr="002C5D27">
        <w:rPr>
          <w:rFonts w:ascii="Times New Roman" w:eastAsia="Calibri" w:hAnsi="Times New Roman" w:cs="Times New Roman"/>
          <w:i/>
          <w:sz w:val="24"/>
          <w:szCs w:val="24"/>
          <w:lang w:eastAsia="sk-SK"/>
        </w:rPr>
        <w:t>mikro</w:t>
      </w:r>
      <w:proofErr w:type="spellEnd"/>
      <w:r w:rsidRPr="002C5D27">
        <w:rPr>
          <w:rFonts w:ascii="Times New Roman" w:eastAsia="Calibri" w:hAnsi="Times New Roman" w:cs="Times New Roman"/>
          <w:i/>
          <w:sz w:val="24"/>
          <w:szCs w:val="24"/>
          <w:lang w:eastAsia="sk-SK"/>
        </w:rPr>
        <w:t xml:space="preserve">, malé a stredné podniky tzv. MSP)?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Ovplyvňuje zmena regulácie cezhraničné investície (príliv/odliv zahraničných investícií resp. uplatnenie slovenských podnikov na zahraničných trhoch)?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Ovplyvní dostupnosť základných zdrojov (e, pracovná sila, suroviny, mechanizmy, energie atď.)?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Ovplyvňuje zmena regulácie inovácie, vedu a výskum?</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iCs/>
          <w:sz w:val="24"/>
          <w:szCs w:val="24"/>
          <w:lang w:eastAsia="sk-SK"/>
        </w:rPr>
        <w:t>Ako prispieva zmena regulácie k cieľu Slovenska mať najlepšie podnikateľské prostredie spomedzi susediacich krajín EÚ?</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i/>
          <w:sz w:val="24"/>
          <w:szCs w:val="24"/>
          <w:lang w:eastAsia="sk-SK"/>
        </w:rPr>
      </w:pPr>
      <w:r w:rsidRPr="002C5D27">
        <w:rPr>
          <w:rFonts w:ascii="Times New Roman" w:eastAsia="Calibri" w:hAnsi="Times New Roman" w:cs="Times New Roman"/>
          <w:b/>
          <w:i/>
          <w:sz w:val="24"/>
          <w:szCs w:val="24"/>
          <w:lang w:eastAsia="sk-SK"/>
        </w:rPr>
        <w:t>Konkurencieschopnosť:</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Na základe uvedených odpovedí zaškrtnite a popíšte, či materiál konkurencieschopnosť:</w:t>
      </w:r>
    </w:p>
    <w:p w:rsidR="002C5D27" w:rsidRPr="002C5D27" w:rsidRDefault="009B712D" w:rsidP="002C5D27">
      <w:pPr>
        <w:spacing w:after="0" w:line="240" w:lineRule="auto"/>
        <w:jc w:val="both"/>
        <w:rPr>
          <w:rFonts w:ascii="Times New Roman" w:eastAsia="Calibri" w:hAnsi="Times New Roman" w:cs="Times New Roman"/>
          <w:i/>
          <w:sz w:val="24"/>
          <w:szCs w:val="24"/>
          <w:lang w:eastAsia="sk-SK"/>
        </w:rPr>
      </w:pPr>
      <w:sdt>
        <w:sdtPr>
          <w:rPr>
            <w:rFonts w:ascii="Times New Roman" w:eastAsia="Calibri" w:hAnsi="Times New Roman" w:cs="Times New Roman"/>
            <w:i/>
            <w:sz w:val="24"/>
            <w:szCs w:val="24"/>
            <w:lang w:eastAsia="sk-SK"/>
          </w:rPr>
          <w:id w:val="798576880"/>
        </w:sdtPr>
        <w:sdtEndPr/>
        <w:sdtContent>
          <w:sdt>
            <w:sdtPr>
              <w:rPr>
                <w:rFonts w:ascii="Times New Roman" w:eastAsia="Calibri" w:hAnsi="Times New Roman" w:cs="Times New Roman"/>
                <w:i/>
                <w:sz w:val="24"/>
                <w:szCs w:val="24"/>
                <w:lang w:eastAsia="sk-SK"/>
              </w:rPr>
              <w:id w:val="1729873660"/>
            </w:sdtPr>
            <w:sdtEndPr/>
            <w:sdtContent>
              <w:r w:rsidR="002C5D27" w:rsidRPr="002C5D27">
                <w:rPr>
                  <w:rFonts w:ascii="Segoe UI Symbol" w:eastAsia="MS Gothic" w:hAnsi="Segoe UI Symbol" w:cs="Segoe UI Symbol"/>
                  <w:b/>
                  <w:bCs/>
                  <w:sz w:val="24"/>
                  <w:szCs w:val="24"/>
                  <w:lang w:eastAsia="sk-SK"/>
                </w:rPr>
                <w:t>☒</w:t>
              </w:r>
              <w:r w:rsidR="002C5D27" w:rsidRPr="002C5D27">
                <w:rPr>
                  <w:rFonts w:ascii="Times New Roman" w:eastAsia="MS Gothic" w:hAnsi="Times New Roman" w:cs="Times New Roman"/>
                  <w:b/>
                  <w:bCs/>
                  <w:sz w:val="24"/>
                  <w:szCs w:val="24"/>
                  <w:lang w:eastAsia="sk-SK"/>
                </w:rPr>
                <w:t xml:space="preserve"> </w:t>
              </w:r>
            </w:sdtContent>
          </w:sdt>
        </w:sdtContent>
      </w:sdt>
      <w:r w:rsidR="002C5D27" w:rsidRPr="002C5D27">
        <w:rPr>
          <w:rFonts w:ascii="Times New Roman" w:eastAsia="Calibri" w:hAnsi="Times New Roman" w:cs="Times New Roman"/>
          <w:i/>
          <w:sz w:val="24"/>
          <w:szCs w:val="24"/>
          <w:lang w:eastAsia="sk-SK"/>
        </w:rPr>
        <w:t xml:space="preserve">zvyšuje  </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410579887"/>
        </w:sdtPr>
        <w:sdtEndPr/>
        <w:sdtContent>
          <w:sdt>
            <w:sdtPr>
              <w:rPr>
                <w:rFonts w:ascii="Times New Roman" w:eastAsia="Calibri" w:hAnsi="Times New Roman" w:cs="Times New Roman"/>
                <w:i/>
                <w:sz w:val="24"/>
                <w:szCs w:val="24"/>
                <w:lang w:eastAsia="sk-SK"/>
              </w:rPr>
              <w:id w:val="-80300261"/>
            </w:sdtPr>
            <w:sdtEndPr/>
            <w:sdtContent>
              <w:r w:rsidR="002C5D27" w:rsidRPr="002C5D27">
                <w:rPr>
                  <w:rFonts w:ascii="Segoe UI Symbol" w:eastAsia="Calibri" w:hAnsi="Segoe UI Symbol" w:cs="Segoe UI Symbol"/>
                  <w:i/>
                  <w:sz w:val="24"/>
                  <w:szCs w:val="24"/>
                  <w:lang w:eastAsia="sk-SK"/>
                </w:rPr>
                <w:t>☐</w:t>
              </w:r>
            </w:sdtContent>
          </w:sdt>
        </w:sdtContent>
      </w:sdt>
      <w:r w:rsidR="002C5D27" w:rsidRPr="002C5D27">
        <w:rPr>
          <w:rFonts w:ascii="Times New Roman" w:eastAsia="Calibri" w:hAnsi="Times New Roman" w:cs="Times New Roman"/>
          <w:i/>
          <w:sz w:val="24"/>
          <w:szCs w:val="24"/>
          <w:lang w:eastAsia="sk-SK"/>
        </w:rPr>
        <w:t xml:space="preserve"> nemení</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474604883"/>
        </w:sdtPr>
        <w:sdtEndPr/>
        <w:sdtContent>
          <w:sdt>
            <w:sdtPr>
              <w:rPr>
                <w:rFonts w:ascii="Times New Roman" w:eastAsia="Calibri" w:hAnsi="Times New Roman" w:cs="Times New Roman"/>
                <w:i/>
                <w:sz w:val="24"/>
                <w:szCs w:val="24"/>
                <w:lang w:eastAsia="sk-SK"/>
              </w:rPr>
              <w:id w:val="-1706551548"/>
            </w:sdtPr>
            <w:sdtEndPr/>
            <w:sdtContent>
              <w:r w:rsidR="002C5D27" w:rsidRPr="002C5D27">
                <w:rPr>
                  <w:rFonts w:ascii="Segoe UI Symbol" w:eastAsia="Calibri" w:hAnsi="Segoe UI Symbol" w:cs="Segoe UI Symbol"/>
                  <w:i/>
                  <w:sz w:val="24"/>
                  <w:szCs w:val="24"/>
                  <w:lang w:eastAsia="sk-SK"/>
                </w:rPr>
                <w:t>☐</w:t>
              </w:r>
            </w:sdtContent>
          </w:sdt>
        </w:sdtContent>
      </w:sdt>
      <w:r w:rsidR="002C5D27" w:rsidRPr="002C5D27">
        <w:rPr>
          <w:rFonts w:ascii="Times New Roman" w:eastAsia="Calibri" w:hAnsi="Times New Roman" w:cs="Times New Roman"/>
          <w:i/>
          <w:sz w:val="24"/>
          <w:szCs w:val="24"/>
          <w:lang w:eastAsia="sk-SK"/>
        </w:rPr>
        <w:t xml:space="preserve"> znižuje</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Cs/>
          <w:iCs/>
          <w:sz w:val="24"/>
          <w:szCs w:val="24"/>
          <w:lang w:eastAsia="sk-SK"/>
        </w:rPr>
      </w:pPr>
      <w:r w:rsidRPr="002C5D27">
        <w:rPr>
          <w:rFonts w:ascii="Times New Roman" w:eastAsia="Calibri" w:hAnsi="Times New Roman" w:cs="Times New Roman"/>
          <w:bCs/>
          <w:iCs/>
          <w:sz w:val="24"/>
          <w:szCs w:val="24"/>
          <w:lang w:eastAsia="sk-SK"/>
        </w:rPr>
        <w:t xml:space="preserve">Návrhom zákona sa zvyšuje konkurencieschopnosť podnikateľského prostredia, nakoľko sa znižuje administratívna záťaž podnikateľov. </w:t>
      </w:r>
    </w:p>
    <w:p w:rsidR="002C5D27" w:rsidRPr="002C5D27" w:rsidRDefault="002C5D27" w:rsidP="002C5D27">
      <w:pPr>
        <w:spacing w:after="0" w:line="240" w:lineRule="auto"/>
        <w:jc w:val="both"/>
        <w:rPr>
          <w:rFonts w:ascii="Times New Roman" w:eastAsia="Calibri" w:hAnsi="Times New Roman" w:cs="Times New Roman"/>
          <w:b/>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i/>
          <w:sz w:val="24"/>
          <w:szCs w:val="24"/>
          <w:lang w:eastAsia="sk-SK"/>
        </w:rPr>
      </w:pPr>
      <w:r w:rsidRPr="002C5D27">
        <w:rPr>
          <w:rFonts w:ascii="Times New Roman" w:eastAsia="Calibri" w:hAnsi="Times New Roman" w:cs="Times New Roman"/>
          <w:b/>
          <w:i/>
          <w:sz w:val="24"/>
          <w:szCs w:val="24"/>
          <w:lang w:eastAsia="sk-SK"/>
        </w:rPr>
        <w:t>Produktivita:</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Aký má materiál vplyv na zmenu pomeru medzi produkciou podnikov a ich nákladmi?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Na základe uvedenej odpovede zaškrtnite a popíšte, či materiál produktivitu:</w:t>
      </w:r>
    </w:p>
    <w:p w:rsidR="002C5D27" w:rsidRPr="002C5D27" w:rsidRDefault="009B712D" w:rsidP="002C5D27">
      <w:pPr>
        <w:spacing w:after="0" w:line="240" w:lineRule="auto"/>
        <w:jc w:val="both"/>
        <w:rPr>
          <w:rFonts w:ascii="Times New Roman" w:eastAsia="Calibri" w:hAnsi="Times New Roman" w:cs="Times New Roman"/>
          <w:i/>
          <w:sz w:val="24"/>
          <w:szCs w:val="24"/>
          <w:lang w:eastAsia="sk-SK"/>
        </w:rPr>
      </w:pPr>
      <w:sdt>
        <w:sdtPr>
          <w:rPr>
            <w:rFonts w:ascii="Times New Roman" w:eastAsia="Calibri" w:hAnsi="Times New Roman" w:cs="Times New Roman"/>
            <w:i/>
            <w:sz w:val="24"/>
            <w:szCs w:val="24"/>
            <w:lang w:eastAsia="sk-SK"/>
          </w:rPr>
          <w:id w:val="1852833364"/>
        </w:sdtPr>
        <w:sdtEndPr/>
        <w:sdtContent>
          <w:r w:rsidR="002C5D27" w:rsidRPr="002C5D27">
            <w:rPr>
              <w:rFonts w:ascii="Segoe UI Symbol" w:eastAsia="Calibri" w:hAnsi="Segoe UI Symbol" w:cs="Segoe UI Symbol"/>
              <w:i/>
              <w:sz w:val="24"/>
              <w:szCs w:val="24"/>
              <w:lang w:eastAsia="sk-SK"/>
            </w:rPr>
            <w:t>☐</w:t>
          </w:r>
        </w:sdtContent>
      </w:sdt>
      <w:r w:rsidR="002C5D27" w:rsidRPr="002C5D27" w:rsidDel="00CF3B1A">
        <w:rPr>
          <w:rFonts w:ascii="Segoe UI Symbol" w:eastAsia="MS Gothic" w:hAnsi="Segoe UI Symbol" w:cs="Segoe UI Symbol"/>
          <w:b/>
          <w:bCs/>
          <w:sz w:val="24"/>
          <w:szCs w:val="24"/>
          <w:lang w:eastAsia="sk-SK"/>
        </w:rPr>
        <w:t xml:space="preserve"> </w:t>
      </w:r>
      <w:r w:rsidR="002C5D27" w:rsidRPr="002C5D27">
        <w:rPr>
          <w:rFonts w:ascii="Times New Roman" w:eastAsia="MS Gothic" w:hAnsi="Times New Roman" w:cs="Times New Roman"/>
          <w:b/>
          <w:bCs/>
          <w:sz w:val="24"/>
          <w:szCs w:val="24"/>
          <w:lang w:eastAsia="sk-SK"/>
        </w:rPr>
        <w:t xml:space="preserve"> </w:t>
      </w:r>
      <w:r w:rsidR="002C5D27" w:rsidRPr="002C5D27">
        <w:rPr>
          <w:rFonts w:ascii="Times New Roman" w:eastAsia="Calibri" w:hAnsi="Times New Roman" w:cs="Times New Roman"/>
          <w:i/>
          <w:sz w:val="24"/>
          <w:szCs w:val="24"/>
          <w:lang w:eastAsia="sk-SK"/>
        </w:rPr>
        <w:t xml:space="preserve"> zvyšuje  </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353966921"/>
        </w:sdtPr>
        <w:sdtEndPr/>
        <w:sdtContent>
          <w:sdt>
            <w:sdtPr>
              <w:rPr>
                <w:rFonts w:ascii="Times New Roman" w:eastAsia="Calibri" w:hAnsi="Times New Roman" w:cs="Times New Roman"/>
                <w:i/>
                <w:sz w:val="24"/>
                <w:szCs w:val="24"/>
                <w:lang w:eastAsia="sk-SK"/>
              </w:rPr>
              <w:id w:val="-1222205104"/>
            </w:sdtPr>
            <w:sdtEndPr/>
            <w:sdtContent>
              <w:r w:rsidR="002C5D27" w:rsidRPr="002C5D27">
                <w:rPr>
                  <w:rFonts w:ascii="Segoe UI Symbol" w:eastAsia="MS Gothic" w:hAnsi="Segoe UI Symbol" w:cs="Segoe UI Symbol"/>
                  <w:b/>
                  <w:bCs/>
                  <w:sz w:val="24"/>
                  <w:szCs w:val="24"/>
                  <w:lang w:eastAsia="sk-SK"/>
                </w:rPr>
                <w:t>☒</w:t>
              </w:r>
              <w:r w:rsidR="002C5D27" w:rsidRPr="002C5D27">
                <w:rPr>
                  <w:rFonts w:ascii="Times New Roman" w:eastAsia="MS Gothic" w:hAnsi="Times New Roman" w:cs="Times New Roman"/>
                  <w:b/>
                  <w:bCs/>
                  <w:sz w:val="24"/>
                  <w:szCs w:val="24"/>
                  <w:lang w:eastAsia="sk-SK"/>
                </w:rPr>
                <w:t xml:space="preserve"> </w:t>
              </w:r>
            </w:sdtContent>
          </w:sdt>
        </w:sdtContent>
      </w:sdt>
      <w:r w:rsidR="002C5D27" w:rsidRPr="002C5D27">
        <w:rPr>
          <w:rFonts w:ascii="Times New Roman" w:eastAsia="Calibri" w:hAnsi="Times New Roman" w:cs="Times New Roman"/>
          <w:i/>
          <w:sz w:val="24"/>
          <w:szCs w:val="24"/>
          <w:lang w:eastAsia="sk-SK"/>
        </w:rPr>
        <w:t xml:space="preserve"> nemení</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1457723544"/>
        </w:sdtPr>
        <w:sdtEndPr/>
        <w:sdtContent>
          <w:sdt>
            <w:sdtPr>
              <w:rPr>
                <w:rFonts w:ascii="Times New Roman" w:eastAsia="Calibri" w:hAnsi="Times New Roman" w:cs="Times New Roman"/>
                <w:i/>
                <w:sz w:val="24"/>
                <w:szCs w:val="24"/>
                <w:lang w:eastAsia="sk-SK"/>
              </w:rPr>
              <w:id w:val="-623767955"/>
            </w:sdtPr>
            <w:sdtEndPr/>
            <w:sdtContent>
              <w:r w:rsidR="002C5D27" w:rsidRPr="002C5D27">
                <w:rPr>
                  <w:rFonts w:ascii="Segoe UI Symbol" w:eastAsia="Calibri" w:hAnsi="Segoe UI Symbol" w:cs="Segoe UI Symbol"/>
                  <w:i/>
                  <w:sz w:val="24"/>
                  <w:szCs w:val="24"/>
                  <w:lang w:eastAsia="sk-SK"/>
                </w:rPr>
                <w:t>☐</w:t>
              </w:r>
            </w:sdtContent>
          </w:sdt>
        </w:sdtContent>
      </w:sdt>
      <w:r w:rsidR="002C5D27" w:rsidRPr="002C5D27">
        <w:rPr>
          <w:rFonts w:ascii="Times New Roman" w:eastAsia="Calibri" w:hAnsi="Times New Roman" w:cs="Times New Roman"/>
          <w:i/>
          <w:sz w:val="24"/>
          <w:szCs w:val="24"/>
          <w:lang w:eastAsia="sk-SK"/>
        </w:rPr>
        <w:t xml:space="preserve"> znižuje</w:t>
      </w:r>
    </w:p>
    <w:p w:rsidR="002C5D27" w:rsidRPr="002C5D27" w:rsidRDefault="002C5D27" w:rsidP="002C5D27">
      <w:pPr>
        <w:spacing w:after="0" w:line="240" w:lineRule="auto"/>
        <w:jc w:val="both"/>
        <w:rPr>
          <w:rFonts w:ascii="Times New Roman" w:eastAsia="Calibri" w:hAnsi="Times New Roman" w:cs="Times New Roman"/>
          <w:iCs/>
          <w:sz w:val="24"/>
          <w:szCs w:val="24"/>
          <w:lang w:eastAsia="sk-SK"/>
        </w:rPr>
      </w:pPr>
    </w:p>
    <w:p w:rsidR="002C5D27" w:rsidRPr="002C5D27" w:rsidRDefault="002C5D27" w:rsidP="002C5D27">
      <w:pPr>
        <w:keepNext/>
        <w:spacing w:after="240" w:line="360" w:lineRule="auto"/>
        <w:jc w:val="center"/>
        <w:outlineLvl w:val="0"/>
        <w:rPr>
          <w:rFonts w:ascii="Times New Roman" w:eastAsia="Calibri" w:hAnsi="Times New Roman" w:cs="Times New Roman"/>
          <w:b/>
          <w:bCs/>
          <w:u w:val="single"/>
          <w:lang w:eastAsia="sk-SK"/>
        </w:rPr>
      </w:pPr>
      <w:r w:rsidRPr="002C5D27">
        <w:rPr>
          <w:rFonts w:ascii="Times New Roman" w:eastAsia="Calibri" w:hAnsi="Times New Roman" w:cs="Times New Roman"/>
          <w:b/>
          <w:bCs/>
          <w:u w:val="single"/>
          <w:lang w:eastAsia="sk-SK"/>
        </w:rPr>
        <w:t>3.4 Iné vplyvy na podnikateľské prostredie</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Ak má materiál vplyvy na PP, ktoré nemožno zaradiť do predchádzajúcich častí, či už pozitívne alebo negatívne, tu ich uveďte. Patria sem: </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sankcie alebo pokuty, ako dôsledok porušenia právne záväzných ustanovení;</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regulované ceny podľa zákona č. 18/1996 Z. z. o cenách;</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iné vplyvy, ktoré predpokladá materiál, ale nemožno ich zaradiť do častí 3.1 a 3.3. </w:t>
      </w:r>
    </w:p>
    <w:p w:rsidR="002C5D27" w:rsidRPr="002C5D27" w:rsidRDefault="002C5D27" w:rsidP="002C5D27">
      <w:pPr>
        <w:spacing w:after="0" w:line="240" w:lineRule="auto"/>
        <w:rPr>
          <w:rFonts w:ascii="Times New Roman" w:eastAsia="Times New Roman"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Vypustenie zákazu ukladať spotrebiteľom povinnosti bez právneho dôvodu</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zákona upúšťa od zákazu ukladať spotrebiteľovi povinnosti bez právneho dôvodu. Okruh dotknutých subjektov bol expertným odhadom kvantifikovaný na 130 935 obchodníkov, z ktorých </w:t>
      </w:r>
      <w:r w:rsidR="007D22CE">
        <w:rPr>
          <w:rFonts w:ascii="Times New Roman" w:eastAsia="Calibri" w:hAnsi="Times New Roman" w:cs="Times New Roman"/>
          <w:sz w:val="24"/>
          <w:szCs w:val="24"/>
          <w:lang w:eastAsia="sk-SK"/>
        </w:rPr>
        <w:t>130 804</w:t>
      </w:r>
      <w:r w:rsidRPr="002C5D27">
        <w:rPr>
          <w:rFonts w:ascii="Times New Roman" w:eastAsia="Calibri" w:hAnsi="Times New Roman" w:cs="Times New Roman"/>
          <w:sz w:val="24"/>
          <w:szCs w:val="24"/>
          <w:lang w:eastAsia="sk-SK"/>
        </w:rPr>
        <w:t xml:space="preserve"> je MSP. Toto ustanovenie predstavuje pomerne široký základ pre ukladanie sankcií orgánom dohľadu. V zmysle údajov poskytnutých Slovenskou obchodnou inšpekciou bolo za roky </w:t>
      </w:r>
      <w:r w:rsidR="00657D34">
        <w:rPr>
          <w:rFonts w:ascii="Times New Roman" w:eastAsia="Calibri" w:hAnsi="Times New Roman" w:cs="Times New Roman"/>
          <w:sz w:val="24"/>
          <w:szCs w:val="24"/>
          <w:lang w:eastAsia="sk-SK"/>
        </w:rPr>
        <w:t xml:space="preserve">2020 a 2021 </w:t>
      </w:r>
      <w:r w:rsidRPr="002C5D27">
        <w:rPr>
          <w:rFonts w:ascii="Times New Roman" w:eastAsia="Calibri" w:hAnsi="Times New Roman" w:cs="Times New Roman"/>
          <w:sz w:val="24"/>
          <w:szCs w:val="24"/>
          <w:lang w:eastAsia="sk-SK"/>
        </w:rPr>
        <w:t xml:space="preserve">porušenie uvedeného ustanovenia konštatované spolu 116-krát a za tieto porušenia boli uložené sankcie vo výške úhrnne minimálne 36 450 eur. Uvedené porušenia boli však podľa údajov Slovenskej obchodnej inšpekcie vždy konštatované spolu s porušením iných ustanovení na ochranu spotrebiteľa, a preto nie je možná presná kvantifikácia. </w:t>
      </w:r>
      <w:bookmarkStart w:id="1" w:name="_Hlk90221153"/>
      <w:r w:rsidRPr="002C5D27">
        <w:rPr>
          <w:rFonts w:ascii="Times New Roman" w:eastAsia="Calibri" w:hAnsi="Times New Roman" w:cs="Times New Roman"/>
          <w:sz w:val="24"/>
          <w:szCs w:val="24"/>
          <w:lang w:eastAsia="sk-SK"/>
        </w:rPr>
        <w:t>V zmysle návrhu zákona zostávajú spotrebitelia adekvátne chránení a zároveň sa odstránením predmetného ustanovenia posilňuje princíp právnej istoty dotknutých subjektov a jasnejšie vymedzuje právny základ ukladania sankcií pre príslušné orgány dohľadu.</w:t>
      </w:r>
    </w:p>
    <w:bookmarkEnd w:id="1"/>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Vypustenie zákazu odmietnuť predať spotrebiteľovi </w:t>
      </w:r>
      <w:r w:rsidR="00664D4E">
        <w:rPr>
          <w:rFonts w:ascii="Times New Roman" w:eastAsia="Calibri" w:hAnsi="Times New Roman" w:cs="Times New Roman"/>
          <w:b/>
          <w:sz w:val="24"/>
          <w:szCs w:val="24"/>
          <w:lang w:eastAsia="sk-SK"/>
        </w:rPr>
        <w:t>vystavený výrobok</w:t>
      </w:r>
    </w:p>
    <w:p w:rsid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zákona upúšťa od zákazu odmietnuť predať spotrebiteľovi výrobok, ktorý má vystavený alebo inak pripravený na predaj, alebo odmietnuť poskytnutie služby, ktorá je v jeho prevádzkových možnostiach. Okruh dotknutých subjektov bol expertným odhadom kvantifikovaný na 130 935 obchodníkov, z ktorých </w:t>
      </w:r>
      <w:r w:rsidR="007D22CE">
        <w:rPr>
          <w:rFonts w:ascii="Times New Roman" w:eastAsia="Calibri" w:hAnsi="Times New Roman" w:cs="Times New Roman"/>
          <w:sz w:val="24"/>
          <w:szCs w:val="24"/>
          <w:lang w:eastAsia="sk-SK"/>
        </w:rPr>
        <w:t>130 804</w:t>
      </w:r>
      <w:r w:rsidRPr="002C5D27">
        <w:rPr>
          <w:rFonts w:ascii="Times New Roman" w:eastAsia="Calibri" w:hAnsi="Times New Roman" w:cs="Times New Roman"/>
          <w:sz w:val="24"/>
          <w:szCs w:val="24"/>
          <w:lang w:eastAsia="sk-SK"/>
        </w:rPr>
        <w:t xml:space="preserve"> je MSP. Uvedené ustanovenie predstavuje pomerne široký základ pre ukladanie sankcií orgánom dohľadu. V zmysle údajov poskytnutých Slovenskou obchodnou inšpekciou bolo porušenie predmetného ustanovenia za roky </w:t>
      </w:r>
      <w:r w:rsidR="00657D34">
        <w:rPr>
          <w:rFonts w:ascii="Times New Roman" w:eastAsia="Calibri" w:hAnsi="Times New Roman" w:cs="Times New Roman"/>
          <w:sz w:val="24"/>
          <w:szCs w:val="24"/>
          <w:lang w:eastAsia="sk-SK"/>
        </w:rPr>
        <w:t xml:space="preserve">2020 a 2021 </w:t>
      </w:r>
      <w:r w:rsidRPr="002C5D27">
        <w:rPr>
          <w:rFonts w:ascii="Times New Roman" w:eastAsia="Calibri" w:hAnsi="Times New Roman" w:cs="Times New Roman"/>
          <w:sz w:val="24"/>
          <w:szCs w:val="24"/>
          <w:lang w:eastAsia="sk-SK"/>
        </w:rPr>
        <w:t>konštatované 12-krát a za tieto porušenia boli uložené sankcie v úhrnnej výške 4 850 eur. V zmysle návrhu zákona zostávajú spotrebitelia adekvátne chránení a zároveň sa odstránením predmetného ustanovenia posilňuje princíp právnej istoty dotknutých subjektov a jasnejšie vymedzuje právny základ ukladania sankcií pre príslušné orgány dohľadu.</w:t>
      </w:r>
    </w:p>
    <w:p w:rsidR="009B712D" w:rsidRPr="002C5D27" w:rsidRDefault="009B712D"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Zavedenie opatrenia o blokovaní </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zákona implementuje nariadenie (EÚ) 2017/2394 o spolupráci medzi národnými orgánmi zodpovednými za presadzovanie právnych predpisov na ochranu spotrebiteľa a o zrušení nariadenia (ES) č. 2006/2004 v platnom znení. Na zabezpečenie správneho uplatňovania tohto nariadenia návrh zákona zavádza oprávnenie orgánu dohľadu vydať za splnenie návrhom zákona predpokladaných kritérií opatrenie o blokovaní, ktorým sa dohliadanej osobe ukladá povinnosť odstrániť alebo zmeniť obsah v online priestore, obmedziť alebo zamedziť spotrebiteľom prístup k online priestoru, niektorým alebo všetkým funkciám online priestoru alebo zverejniť upozornenie pre spotrebiteľov, ktorí pristupujú k online priestoru. Vzhľadom na fakt, že mieru porušovania ustanovení návrhu zákona v spojení s potenciálnou možnosťou využitia tohto oprávnenia orgánom dohľadu nie je možné </w:t>
      </w:r>
      <w:proofErr w:type="spellStart"/>
      <w:r w:rsidRPr="002C5D27">
        <w:rPr>
          <w:rFonts w:ascii="Times New Roman" w:eastAsia="Calibri" w:hAnsi="Times New Roman" w:cs="Times New Roman"/>
          <w:sz w:val="24"/>
          <w:szCs w:val="24"/>
          <w:lang w:eastAsia="sk-SK"/>
        </w:rPr>
        <w:t>predikovať</w:t>
      </w:r>
      <w:proofErr w:type="spellEnd"/>
      <w:r w:rsidRPr="002C5D27">
        <w:rPr>
          <w:rFonts w:ascii="Times New Roman" w:eastAsia="Calibri" w:hAnsi="Times New Roman" w:cs="Times New Roman"/>
          <w:sz w:val="24"/>
          <w:szCs w:val="24"/>
          <w:lang w:eastAsia="sk-SK"/>
        </w:rPr>
        <w:t>, nie nie možné určiť okruh dotknutých subjektov ani kvantifikovať vplyvy.</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Posilnenie individualizácie sankcie</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Návrh zákona implementuje nariadenie (EÚ) 2017/2394 o spolupráci medzi národnými orgánmi zodpovednými za presadzovanie právnych predpisov na ochranu spotrebiteľa a o zrušení nariadenia (ES) č. 2006/2004 v platnom znení, pod vplyvom ktorého návrh zákona oproti doterajšej úprave kladie oveľa väčší dôraz na individualizáciu správnej sankcie. Rozširuje sa inštitút dobrovoľného opatrenia (tzv. druhá šanca), pri ukladaní sankcie sa prihliada na súčinnosť a ochotu dohliadaného subjektu odstrániť alebo zmierniť negatívne dôsledky porušenia povinnosti vo vzťahu k spotrebiteľom a pri určovaní výšky ukladanej pokuty sa berie do úvahy ročný obrat dohliadanej osoby. Osobitne sa ustanovuje, že orgán dohľadu nezačne správne konanie a neuloží pokutu, ak obchodník pred začatím správneho konania preukáže, že sa s dotknutým spotrebiteľom dohodol alebo že voči nemu už bola vyvodená disciplinárna zodpovednosť záujmovým združením, ktorého je členom, alebo tvorcom kódexu správania, ktorý sa podnikateľ zaviazal dodržiavať. Zavádza sa teda niekoľko inštitútov na zmiernenie sankčného postihu alebo úplne upustenie od uloženia sankcie za predpokladu dosiahnutia nápravy aj bez potreby administratívnoprávnej sankcie. Tieto zmeny majú na podnikateľské prostredie pozitívny vplyv. Je možné predpokladať, že prihliadanie na obrat dohliadanej osoby pri určovaní výšky pokuty bude mať pozitívny vplyv najmä na MSP. Z údajov Slovenskej obchodnej inšpekcie za rok 2020 vyplýva, že uložila spolu 714 pokút v celkovej sume 584 055 eur (pozn.: poriadkové pokuty nie sú započítané). Priemerná výška pokuty bola 818 eur. Ak by aspoň 50% sankcionovaných subjektov využilo inštitúty smerujúce k upusteniu od sankcie, pozitívny vplyv týchto inštitútov by bolo možné vyčísliť na hodnotu 292 026 eur.</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Návrh zákona však súčasne v čl. I § 70 zvyšuje sadzby pokút za porušenie povinností podľa tohto zákona, a to najmä pod vplyvom harmonizácie sankčných ustanovení v smernici 93/13/EHS, smernici 98/6/ES, smernici 2005/29/ES a smernici 2011/83/EÚ v znení smernice (EÚ) 2019/2161, ktorá požaduje ustanoviť za porušenie povinností obsiahnutých v týchto štyroch smerniciach hornú hranicu sadzby pokuty na úrovni aspoň 4 % ročného obratu obchodníka v dotknutom členskom štáte alebo dotknutých členských štátoch a ak informácie o ročnom obrate nie sú známe, tak minimálne vo výške 2 mil. eur. V druhom prípade, ak nebude možné zistiť obrat obchodníka, ide v podmienkach SR o výrazné zvýšenie sadzieb pokút. Táto horná hranica sa uplatňuje v striktnom súlade s požiadavkami smernice (EÚ) 2019/2161 len na prípady s cezhraničným aspektom. K zmierneniu týchto negatívnych vplyvov majú dopomôcť aj vyššie prezentované inštitúty. Súčasne je potrebné uviesť, že sankčné mechanizmy sa aktivujú len v prípade obchodníkov, ktorí porušia zákonnú povinnosť a nejde o štandardné náklady podnikateľského prostredia.</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Predĺženie lehoty na odstúpenie od zmluvy uzavretej pri nevyžiadanej návšteve alebo v súvislosti s ňou alebo na predajnej akcii alebo v súvislosti s ňou</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Návrh zákona využíva možnosť, ktorú poskytuje smernica 2011/83/EÚ v znení smernice 2019/2161 predĺžiť lehotu, v ktorej môže spotrebiteľ odstúpiť od zmluvy uzavretej pri nevyžiadanej návšteve alebo v súvislosti s ňou alebo na predajnej akcii alebo v súvislosti s ňou zo 14 na 30 dní. Celkový okruh dotknutých subjektov nie je možné kvantifikovať a vzhľadom na absenciu dát o počte nevyžiadaných návštev nie je možné celkový okruh dotknutých subjektov ani odhadnúť. Organizátori predajnej akcie však majú voči Slovenskej obchodnej inšpekcii informačnú povinnosť, a preto je možné operovať aspoň s týmito údajmi. Za rok 2020 evidovala Slovenská inšpekcia 392 takýchto oznámení. Uvedené predĺženie lehoty na odstúpenie od zmluvy môže mať na dotknutých obchodníkov negatívny vplyv.</w:t>
      </w: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Zavedenie oslobodenia od určitých povinností pri zmluve uzatvorenej mimo prevádzkových priestorov, ak cena nepresiahne </w:t>
      </w:r>
      <w:r w:rsidR="009B712D">
        <w:rPr>
          <w:rFonts w:ascii="Times New Roman" w:eastAsia="Calibri" w:hAnsi="Times New Roman" w:cs="Times New Roman"/>
          <w:b/>
          <w:sz w:val="24"/>
          <w:szCs w:val="24"/>
          <w:lang w:eastAsia="sk-SK"/>
        </w:rPr>
        <w:t>25</w:t>
      </w:r>
      <w:r w:rsidRPr="002C5D27">
        <w:rPr>
          <w:rFonts w:ascii="Times New Roman" w:eastAsia="Calibri" w:hAnsi="Times New Roman" w:cs="Times New Roman"/>
          <w:b/>
          <w:sz w:val="24"/>
          <w:szCs w:val="24"/>
          <w:lang w:eastAsia="sk-SK"/>
        </w:rPr>
        <w:t xml:space="preserve"> eur</w:t>
      </w:r>
    </w:p>
    <w:p w:rsidR="002C5D27" w:rsidRPr="00B005C3"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zákona využíva možnosť, ktorú poskytuje smernica 2011/83/EÚ neuplatňovať niektoré ustanovenia o povinnostiach obchodníka pre prípad zmluvy uzatvorenej mimo prevádzkových priestorov obchodníka, ak celková cena, ktorú má spotrebiteľ zaplatiť, nepresiahne </w:t>
      </w:r>
      <w:r w:rsidR="009B712D">
        <w:rPr>
          <w:rFonts w:ascii="Times New Roman" w:eastAsia="Calibri" w:hAnsi="Times New Roman" w:cs="Times New Roman"/>
          <w:sz w:val="24"/>
          <w:szCs w:val="24"/>
          <w:lang w:eastAsia="sk-SK"/>
        </w:rPr>
        <w:t>stanovenú hodnotu,</w:t>
      </w:r>
      <w:r w:rsidRPr="002C5D27">
        <w:rPr>
          <w:rFonts w:ascii="Times New Roman" w:eastAsia="Calibri" w:hAnsi="Times New Roman" w:cs="Times New Roman"/>
          <w:sz w:val="24"/>
          <w:szCs w:val="24"/>
          <w:lang w:eastAsia="sk-SK"/>
        </w:rPr>
        <w:t xml:space="preserve"> a ak o tom obchodník pred uzavretím zmluvy spotrebiteľa informuje. Kvantifikácia okruhu dotknutých subjektov nie je možná, nakoľko nie je možné určiť počet obchodníkov, ktorí so spotrebiteľmi uzatvárajú zmluvy mimo prevádzkových priestorov s cenou do </w:t>
      </w:r>
      <w:r w:rsidR="009B712D">
        <w:rPr>
          <w:rFonts w:ascii="Times New Roman" w:eastAsia="Calibri" w:hAnsi="Times New Roman" w:cs="Times New Roman"/>
          <w:sz w:val="24"/>
          <w:szCs w:val="24"/>
          <w:lang w:eastAsia="sk-SK"/>
        </w:rPr>
        <w:t>stanovenej hodnoty</w:t>
      </w:r>
      <w:bookmarkStart w:id="2" w:name="_GoBack"/>
      <w:bookmarkEnd w:id="2"/>
      <w:r w:rsidRPr="002C5D27">
        <w:rPr>
          <w:rFonts w:ascii="Times New Roman" w:eastAsia="Calibri" w:hAnsi="Times New Roman" w:cs="Times New Roman"/>
          <w:sz w:val="24"/>
          <w:szCs w:val="24"/>
          <w:lang w:eastAsia="sk-SK"/>
        </w:rPr>
        <w:t>. Z tohto dôvodu bola kvantifikácia uskutočnená na 1 podnikateľský subjekt. Táto nová úprava má na podnikateľské prostredie pozitívny vplyv a zníži podnikateľskému prostrediu administratívne náklady v hodnote odhadovanej na 0,80 eur na 1 podni</w:t>
      </w:r>
      <w:r w:rsidR="00B005C3">
        <w:rPr>
          <w:rFonts w:ascii="Times New Roman" w:eastAsia="Calibri" w:hAnsi="Times New Roman" w:cs="Times New Roman"/>
          <w:sz w:val="24"/>
          <w:szCs w:val="24"/>
          <w:lang w:eastAsia="sk-SK"/>
        </w:rPr>
        <w:t>kateľa.</w:t>
      </w:r>
    </w:p>
    <w:p w:rsidR="00375AC7" w:rsidRDefault="00375AC7"/>
    <w:sectPr w:rsidR="00375A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2B" w:rsidRDefault="00B3302B">
      <w:pPr>
        <w:spacing w:after="0" w:line="240" w:lineRule="auto"/>
      </w:pPr>
      <w:r>
        <w:separator/>
      </w:r>
    </w:p>
  </w:endnote>
  <w:endnote w:type="continuationSeparator" w:id="0">
    <w:p w:rsidR="00B3302B" w:rsidRDefault="00B3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FF7125" w:rsidRDefault="00B3302B" w:rsidP="00B3302B">
    <w:pPr>
      <w:pStyle w:val="Pta"/>
      <w:rPr>
        <w:sz w:val="24"/>
        <w:szCs w:val="24"/>
      </w:rPr>
    </w:pPr>
  </w:p>
  <w:p w:rsidR="00B3302B" w:rsidRDefault="00B3302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FF7125" w:rsidRDefault="00B3302B" w:rsidP="00B3302B">
    <w:pPr>
      <w:pStyle w:val="Pta"/>
      <w:rPr>
        <w:sz w:val="24"/>
        <w:szCs w:val="24"/>
      </w:rPr>
    </w:pPr>
  </w:p>
  <w:p w:rsidR="00B3302B" w:rsidRDefault="00B330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2B" w:rsidRDefault="00B3302B">
      <w:pPr>
        <w:spacing w:after="0" w:line="240" w:lineRule="auto"/>
      </w:pPr>
      <w:r>
        <w:separator/>
      </w:r>
    </w:p>
  </w:footnote>
  <w:footnote w:type="continuationSeparator" w:id="0">
    <w:p w:rsidR="00B3302B" w:rsidRDefault="00B3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6045CB" w:rsidRDefault="00B3302B" w:rsidP="00B3302B">
    <w:pPr>
      <w:tabs>
        <w:tab w:val="center" w:pos="4536"/>
        <w:tab w:val="right" w:pos="9072"/>
      </w:tabs>
      <w:jc w:val="right"/>
    </w:pPr>
    <w:r w:rsidRPr="006045CB">
      <w:t xml:space="preserve">Príloha č. </w:t>
    </w:r>
    <w:r>
      <w:t>3a</w:t>
    </w:r>
  </w:p>
  <w:p w:rsidR="00B3302B" w:rsidRPr="006045CB" w:rsidRDefault="00B3302B" w:rsidP="00B3302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6045CB" w:rsidRDefault="00B3302B" w:rsidP="00B3302B">
    <w:pPr>
      <w:tabs>
        <w:tab w:val="center" w:pos="4536"/>
        <w:tab w:val="right" w:pos="9072"/>
      </w:tabs>
      <w:jc w:val="right"/>
    </w:pPr>
    <w:r w:rsidRPr="006045CB">
      <w:t xml:space="preserve">Príloha č. </w:t>
    </w:r>
    <w:r>
      <w:t>3a</w:t>
    </w:r>
  </w:p>
  <w:p w:rsidR="00B3302B" w:rsidRPr="006045CB" w:rsidRDefault="00B3302B" w:rsidP="00B3302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8B"/>
    <w:multiLevelType w:val="hybridMultilevel"/>
    <w:tmpl w:val="0B7E502E"/>
    <w:lvl w:ilvl="0" w:tplc="A4524C00">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139B6719"/>
    <w:multiLevelType w:val="hybridMultilevel"/>
    <w:tmpl w:val="1312D6FC"/>
    <w:lvl w:ilvl="0" w:tplc="8042FAB0">
      <w:start w:val="7"/>
      <w:numFmt w:val="decimal"/>
      <w:lvlText w:val="%1."/>
      <w:lvlJc w:val="left"/>
      <w:pPr>
        <w:ind w:left="106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FC2A49"/>
    <w:multiLevelType w:val="hybridMultilevel"/>
    <w:tmpl w:val="228464A6"/>
    <w:lvl w:ilvl="0" w:tplc="D88031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AC01C0B"/>
    <w:multiLevelType w:val="hybridMultilevel"/>
    <w:tmpl w:val="1312D6FC"/>
    <w:lvl w:ilvl="0" w:tplc="8042FAB0">
      <w:start w:val="7"/>
      <w:numFmt w:val="decimal"/>
      <w:lvlText w:val="%1."/>
      <w:lvlJc w:val="left"/>
      <w:pPr>
        <w:ind w:left="106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7"/>
    <w:rsid w:val="001046E1"/>
    <w:rsid w:val="002C5D27"/>
    <w:rsid w:val="00375AC7"/>
    <w:rsid w:val="003A0922"/>
    <w:rsid w:val="00422B77"/>
    <w:rsid w:val="00422E39"/>
    <w:rsid w:val="00535986"/>
    <w:rsid w:val="006313ED"/>
    <w:rsid w:val="00657D34"/>
    <w:rsid w:val="00664D4E"/>
    <w:rsid w:val="00752303"/>
    <w:rsid w:val="007B0658"/>
    <w:rsid w:val="007D22CE"/>
    <w:rsid w:val="00842B8B"/>
    <w:rsid w:val="009337D9"/>
    <w:rsid w:val="00947C6A"/>
    <w:rsid w:val="00951F8D"/>
    <w:rsid w:val="00994808"/>
    <w:rsid w:val="009B712D"/>
    <w:rsid w:val="00B005C3"/>
    <w:rsid w:val="00B3302B"/>
    <w:rsid w:val="00B96E3C"/>
    <w:rsid w:val="00C47071"/>
    <w:rsid w:val="00C71257"/>
    <w:rsid w:val="00CA41B1"/>
    <w:rsid w:val="00CF3C71"/>
    <w:rsid w:val="00D84CB8"/>
    <w:rsid w:val="00DB1E20"/>
    <w:rsid w:val="00DE19B7"/>
    <w:rsid w:val="00E63AD3"/>
    <w:rsid w:val="00E720EE"/>
    <w:rsid w:val="00EA7635"/>
    <w:rsid w:val="00FC3A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9BC1"/>
  <w15:chartTrackingRefBased/>
  <w15:docId w15:val="{B155B8C6-6BBC-44FB-B33C-88F97565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2C5D2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C5D27"/>
  </w:style>
  <w:style w:type="paragraph" w:styleId="Pta">
    <w:name w:val="footer"/>
    <w:basedOn w:val="Normlny"/>
    <w:link w:val="PtaChar"/>
    <w:uiPriority w:val="99"/>
    <w:semiHidden/>
    <w:unhideWhenUsed/>
    <w:rsid w:val="002C5D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C5D27"/>
  </w:style>
  <w:style w:type="table" w:customStyle="1" w:styleId="Mriekatabuky2">
    <w:name w:val="Mriežka tabuľky2"/>
    <w:basedOn w:val="Normlnatabuka"/>
    <w:next w:val="Mriekatabuky"/>
    <w:uiPriority w:val="59"/>
    <w:rsid w:val="002C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2C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22E39"/>
    <w:rPr>
      <w:color w:val="0563C1" w:themeColor="hyperlink"/>
      <w:u w:val="single"/>
    </w:rPr>
  </w:style>
  <w:style w:type="character" w:styleId="PouitHypertextovPrepojenie">
    <w:name w:val="FollowedHyperlink"/>
    <w:basedOn w:val="Predvolenpsmoodseku"/>
    <w:uiPriority w:val="99"/>
    <w:semiHidden/>
    <w:unhideWhenUsed/>
    <w:rsid w:val="00422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88438">
      <w:bodyDiv w:val="1"/>
      <w:marLeft w:val="0"/>
      <w:marRight w:val="0"/>
      <w:marTop w:val="0"/>
      <w:marBottom w:val="0"/>
      <w:divBdr>
        <w:top w:val="none" w:sz="0" w:space="0" w:color="auto"/>
        <w:left w:val="none" w:sz="0" w:space="0" w:color="auto"/>
        <w:bottom w:val="none" w:sz="0" w:space="0" w:color="auto"/>
        <w:right w:val="none" w:sz="0" w:space="0" w:color="auto"/>
      </w:divBdr>
    </w:div>
    <w:div w:id="18194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18" Type="http://schemas.openxmlformats.org/officeDocument/2006/relationships/hyperlink" Target="https://www.trend.sk/trend-archiv/slovensky-e-commerce-nezastavitelne-rastie-doplacaju-to-kamenne-obchod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ureka.sk/" TargetMode="External"/><Relationship Id="rId7" Type="http://schemas.openxmlformats.org/officeDocument/2006/relationships/header" Target="header1.xml"/><Relationship Id="rId12"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17"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5" Type="http://schemas.openxmlformats.org/officeDocument/2006/relationships/hyperlink" Target="https://www.slov-lex.sk/legislativne-procesy/SK/PI/2020/32"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0"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nd.sk/trend-archiv/slovensky-e-commerce-nezastavitelne-rastie-doplacaju-to-kamenne-obchody" TargetMode="External"/><Relationship Id="rId24"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5" Type="http://schemas.openxmlformats.org/officeDocument/2006/relationships/footnotes" Target="footnotes.xml"/><Relationship Id="rId15" Type="http://schemas.openxmlformats.org/officeDocument/2006/relationships/hyperlink" Target="https://www.economy.gov.sk/priemysel/e-mobilita-a-alternativne-paliva/porovnanie-cien-paliv?csrt=337120436817712696" TargetMode="External"/><Relationship Id="rId23" Type="http://schemas.openxmlformats.org/officeDocument/2006/relationships/hyperlink" Target="https://www.heureka.sk/" TargetMode="External"/><Relationship Id="rId10" Type="http://schemas.openxmlformats.org/officeDocument/2006/relationships/footer" Target="footer2.xml"/><Relationship Id="rId19"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2"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4457</Words>
  <Characters>25407</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2022-01-07T14:38:00Z</dcterms:created>
  <dcterms:modified xsi:type="dcterms:W3CDTF">2023-01-04T11:08:00Z</dcterms:modified>
</cp:coreProperties>
</file>