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0" w:rsidRPr="00E12CC8" w:rsidRDefault="006B3740" w:rsidP="006B3740">
      <w:pPr>
        <w:pStyle w:val="Nadpis7"/>
        <w:rPr>
          <w:sz w:val="24"/>
          <w:szCs w:val="24"/>
        </w:rPr>
      </w:pPr>
      <w:r w:rsidRPr="00E12CC8">
        <w:rPr>
          <w:sz w:val="24"/>
          <w:szCs w:val="24"/>
        </w:rPr>
        <w:t>TABUĽKA ZHODY</w:t>
      </w:r>
    </w:p>
    <w:p w:rsidR="006B3740" w:rsidRPr="00E12CC8" w:rsidRDefault="006B3740" w:rsidP="006B3740">
      <w:pPr>
        <w:jc w:val="center"/>
        <w:rPr>
          <w:b/>
          <w:bCs/>
          <w:sz w:val="24"/>
        </w:rPr>
      </w:pPr>
      <w:r w:rsidRPr="00E12CC8">
        <w:rPr>
          <w:b/>
          <w:bCs/>
          <w:sz w:val="24"/>
        </w:rPr>
        <w:t>právneho predpisu s právom Európskej únie</w:t>
      </w:r>
    </w:p>
    <w:p w:rsidR="006B3740" w:rsidRPr="00E12CC8" w:rsidRDefault="006B3740" w:rsidP="006B3740">
      <w:pPr>
        <w:jc w:val="center"/>
        <w:rPr>
          <w:sz w:val="24"/>
        </w:rPr>
      </w:pPr>
    </w:p>
    <w:tbl>
      <w:tblPr>
        <w:tblW w:w="10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3402"/>
        <w:gridCol w:w="684"/>
        <w:gridCol w:w="24"/>
        <w:gridCol w:w="567"/>
        <w:gridCol w:w="142"/>
        <w:gridCol w:w="567"/>
        <w:gridCol w:w="2552"/>
        <w:gridCol w:w="567"/>
        <w:gridCol w:w="1084"/>
      </w:tblGrid>
      <w:tr w:rsidR="006B3740" w:rsidRPr="00E12CC8" w:rsidTr="006B3740">
        <w:trPr>
          <w:cantSplit/>
        </w:trPr>
        <w:tc>
          <w:tcPr>
            <w:tcW w:w="4821" w:type="dxa"/>
            <w:gridSpan w:val="4"/>
          </w:tcPr>
          <w:p w:rsidR="006B3740" w:rsidRPr="00E12CC8" w:rsidRDefault="006B3740" w:rsidP="006B3740">
            <w:pPr>
              <w:jc w:val="both"/>
              <w:rPr>
                <w:sz w:val="24"/>
              </w:rPr>
            </w:pPr>
            <w:r w:rsidRPr="006B3740">
              <w:rPr>
                <w:sz w:val="24"/>
                <w:lang w:eastAsia="cs-CZ"/>
              </w:rPr>
              <w:t>Smernica Európskeho parlamentu a Rady 2001/83/ES zo 6. novembra 2001, ktorou sa ustanovuje Zákonník Spoločenstva o humánnych liekoch</w:t>
            </w:r>
          </w:p>
        </w:tc>
        <w:tc>
          <w:tcPr>
            <w:tcW w:w="5479" w:type="dxa"/>
            <w:gridSpan w:val="6"/>
          </w:tcPr>
          <w:p w:rsidR="006B3740" w:rsidRPr="00E12CC8" w:rsidRDefault="006B3740" w:rsidP="00D835FE">
            <w:pPr>
              <w:pStyle w:val="Nadpis8"/>
              <w:jc w:val="left"/>
              <w:rPr>
                <w:sz w:val="24"/>
                <w:szCs w:val="24"/>
              </w:rPr>
            </w:pPr>
            <w:r w:rsidRPr="00C735DE">
              <w:rPr>
                <w:sz w:val="24"/>
                <w:szCs w:val="24"/>
              </w:rPr>
              <w:t xml:space="preserve">Návrh </w:t>
            </w:r>
            <w:r>
              <w:rPr>
                <w:sz w:val="24"/>
                <w:szCs w:val="24"/>
              </w:rPr>
              <w:t>zákona</w:t>
            </w:r>
            <w:r w:rsidRPr="00C735DE">
              <w:rPr>
                <w:sz w:val="24"/>
                <w:szCs w:val="24"/>
              </w:rPr>
              <w:t xml:space="preserve"> z .. 202</w:t>
            </w:r>
            <w:r w:rsidR="00D835FE">
              <w:rPr>
                <w:sz w:val="24"/>
                <w:szCs w:val="24"/>
              </w:rPr>
              <w:t>3</w:t>
            </w:r>
            <w:bookmarkStart w:id="0" w:name="_GoBack"/>
            <w:bookmarkEnd w:id="0"/>
            <w:r w:rsidRPr="00C735DE">
              <w:rPr>
                <w:sz w:val="24"/>
                <w:szCs w:val="24"/>
              </w:rPr>
              <w:t>, ktorým sa mení a  dopĺňa zákon č. 362/2011 Z. z. o liekoch  a zdravotníckych pomôckach a o zmene a doplnení niektorých zákonov v znení neskorších predpisov a ktorým sa menia a dopĺňajú niektoré zákony</w:t>
            </w:r>
          </w:p>
        </w:tc>
      </w:tr>
      <w:tr w:rsidR="006B3740" w:rsidRPr="00E12CC8" w:rsidTr="006B3740">
        <w:trPr>
          <w:cantSplit/>
        </w:trPr>
        <w:tc>
          <w:tcPr>
            <w:tcW w:w="711" w:type="dxa"/>
          </w:tcPr>
          <w:p w:rsidR="006B3740" w:rsidRPr="00E12CC8" w:rsidRDefault="006B3740" w:rsidP="0087562C">
            <w:pPr>
              <w:jc w:val="center"/>
              <w:rPr>
                <w:sz w:val="24"/>
              </w:rPr>
            </w:pPr>
            <w:r w:rsidRPr="00E12CC8">
              <w:rPr>
                <w:sz w:val="24"/>
              </w:rPr>
              <w:t>1</w:t>
            </w:r>
          </w:p>
        </w:tc>
        <w:tc>
          <w:tcPr>
            <w:tcW w:w="3402" w:type="dxa"/>
          </w:tcPr>
          <w:p w:rsidR="006B3740" w:rsidRPr="00E12CC8" w:rsidRDefault="006B3740" w:rsidP="0087562C">
            <w:pPr>
              <w:jc w:val="center"/>
              <w:rPr>
                <w:sz w:val="24"/>
              </w:rPr>
            </w:pPr>
            <w:r w:rsidRPr="00E12CC8">
              <w:rPr>
                <w:sz w:val="24"/>
              </w:rPr>
              <w:t>2</w:t>
            </w:r>
          </w:p>
        </w:tc>
        <w:tc>
          <w:tcPr>
            <w:tcW w:w="684" w:type="dxa"/>
          </w:tcPr>
          <w:p w:rsidR="006B3740" w:rsidRPr="00E12CC8" w:rsidRDefault="006B3740" w:rsidP="0087562C">
            <w:pPr>
              <w:jc w:val="center"/>
              <w:rPr>
                <w:sz w:val="24"/>
              </w:rPr>
            </w:pPr>
            <w:r w:rsidRPr="00E12CC8">
              <w:rPr>
                <w:sz w:val="24"/>
              </w:rPr>
              <w:t>3</w:t>
            </w:r>
          </w:p>
        </w:tc>
        <w:tc>
          <w:tcPr>
            <w:tcW w:w="733" w:type="dxa"/>
            <w:gridSpan w:val="3"/>
          </w:tcPr>
          <w:p w:rsidR="006B3740" w:rsidRPr="00E12CC8" w:rsidRDefault="006B3740" w:rsidP="0087562C">
            <w:pPr>
              <w:jc w:val="center"/>
              <w:rPr>
                <w:sz w:val="24"/>
              </w:rPr>
            </w:pPr>
            <w:r w:rsidRPr="00E12CC8">
              <w:rPr>
                <w:sz w:val="24"/>
              </w:rPr>
              <w:t>4</w:t>
            </w:r>
          </w:p>
        </w:tc>
        <w:tc>
          <w:tcPr>
            <w:tcW w:w="567" w:type="dxa"/>
          </w:tcPr>
          <w:p w:rsidR="006B3740" w:rsidRPr="00E12CC8" w:rsidRDefault="006B3740" w:rsidP="0087562C">
            <w:pPr>
              <w:jc w:val="center"/>
              <w:rPr>
                <w:sz w:val="24"/>
              </w:rPr>
            </w:pPr>
            <w:r w:rsidRPr="00E12CC8">
              <w:rPr>
                <w:sz w:val="24"/>
              </w:rPr>
              <w:t>5</w:t>
            </w:r>
          </w:p>
        </w:tc>
        <w:tc>
          <w:tcPr>
            <w:tcW w:w="2552" w:type="dxa"/>
          </w:tcPr>
          <w:p w:rsidR="006B3740" w:rsidRPr="00E12CC8" w:rsidRDefault="006B3740" w:rsidP="0087562C">
            <w:pPr>
              <w:jc w:val="center"/>
              <w:rPr>
                <w:sz w:val="24"/>
              </w:rPr>
            </w:pPr>
            <w:r w:rsidRPr="00E12CC8">
              <w:rPr>
                <w:sz w:val="24"/>
              </w:rPr>
              <w:t>6</w:t>
            </w:r>
          </w:p>
        </w:tc>
        <w:tc>
          <w:tcPr>
            <w:tcW w:w="567" w:type="dxa"/>
          </w:tcPr>
          <w:p w:rsidR="006B3740" w:rsidRPr="00E12CC8" w:rsidRDefault="006B3740" w:rsidP="0087562C">
            <w:pPr>
              <w:jc w:val="center"/>
              <w:rPr>
                <w:sz w:val="24"/>
              </w:rPr>
            </w:pPr>
            <w:r w:rsidRPr="00E12CC8">
              <w:rPr>
                <w:sz w:val="24"/>
              </w:rPr>
              <w:t>7</w:t>
            </w:r>
          </w:p>
        </w:tc>
        <w:tc>
          <w:tcPr>
            <w:tcW w:w="1084" w:type="dxa"/>
          </w:tcPr>
          <w:p w:rsidR="006B3740" w:rsidRPr="00E12CC8" w:rsidRDefault="006B3740" w:rsidP="006B3740">
            <w:pPr>
              <w:jc w:val="center"/>
              <w:rPr>
                <w:sz w:val="24"/>
              </w:rPr>
            </w:pPr>
            <w:r w:rsidRPr="00E12CC8">
              <w:rPr>
                <w:sz w:val="24"/>
              </w:rPr>
              <w:t>8</w:t>
            </w:r>
          </w:p>
        </w:tc>
      </w:tr>
      <w:tr w:rsidR="006B3740" w:rsidRPr="00E12CC8" w:rsidTr="006B3740">
        <w:trPr>
          <w:cantSplit/>
        </w:trPr>
        <w:tc>
          <w:tcPr>
            <w:tcW w:w="711" w:type="dxa"/>
          </w:tcPr>
          <w:p w:rsidR="006B3740" w:rsidRPr="00E12CC8" w:rsidRDefault="006B3740" w:rsidP="0087562C">
            <w:pPr>
              <w:jc w:val="both"/>
              <w:rPr>
                <w:sz w:val="24"/>
              </w:rPr>
            </w:pPr>
            <w:r w:rsidRPr="00E12CC8">
              <w:rPr>
                <w:sz w:val="24"/>
              </w:rPr>
              <w:t xml:space="preserve">Článok </w:t>
            </w:r>
          </w:p>
          <w:p w:rsidR="006B3740" w:rsidRPr="00E12CC8" w:rsidRDefault="006B3740" w:rsidP="0087562C">
            <w:pPr>
              <w:rPr>
                <w:sz w:val="24"/>
              </w:rPr>
            </w:pPr>
            <w:r w:rsidRPr="00E12CC8">
              <w:rPr>
                <w:sz w:val="24"/>
              </w:rPr>
              <w:t>(Č, O, V, P)</w:t>
            </w:r>
          </w:p>
        </w:tc>
        <w:tc>
          <w:tcPr>
            <w:tcW w:w="3402" w:type="dxa"/>
          </w:tcPr>
          <w:p w:rsidR="006B3740" w:rsidRPr="00E12CC8" w:rsidRDefault="006B3740" w:rsidP="0087562C">
            <w:pPr>
              <w:jc w:val="center"/>
              <w:rPr>
                <w:sz w:val="24"/>
              </w:rPr>
            </w:pPr>
            <w:r w:rsidRPr="00E12CC8">
              <w:rPr>
                <w:sz w:val="24"/>
              </w:rPr>
              <w:t>Text</w:t>
            </w:r>
          </w:p>
        </w:tc>
        <w:tc>
          <w:tcPr>
            <w:tcW w:w="684" w:type="dxa"/>
          </w:tcPr>
          <w:p w:rsidR="006B3740" w:rsidRPr="00E12CC8" w:rsidRDefault="006B3740" w:rsidP="0087562C">
            <w:pPr>
              <w:jc w:val="both"/>
              <w:rPr>
                <w:sz w:val="24"/>
              </w:rPr>
            </w:pPr>
            <w:r w:rsidRPr="00E12CC8">
              <w:rPr>
                <w:sz w:val="24"/>
              </w:rPr>
              <w:t>Spôsob</w:t>
            </w:r>
          </w:p>
          <w:p w:rsidR="006B3740" w:rsidRPr="00E12CC8" w:rsidRDefault="006B3740" w:rsidP="0087562C">
            <w:pPr>
              <w:jc w:val="both"/>
              <w:rPr>
                <w:sz w:val="24"/>
              </w:rPr>
            </w:pPr>
            <w:proofErr w:type="spellStart"/>
            <w:r w:rsidRPr="00E12CC8">
              <w:rPr>
                <w:sz w:val="24"/>
              </w:rPr>
              <w:t>transpo-zície</w:t>
            </w:r>
            <w:proofErr w:type="spellEnd"/>
          </w:p>
        </w:tc>
        <w:tc>
          <w:tcPr>
            <w:tcW w:w="591" w:type="dxa"/>
            <w:gridSpan w:val="2"/>
          </w:tcPr>
          <w:p w:rsidR="006B3740" w:rsidRPr="00E12CC8" w:rsidRDefault="006B3740" w:rsidP="0087562C">
            <w:pPr>
              <w:jc w:val="both"/>
              <w:rPr>
                <w:sz w:val="24"/>
              </w:rPr>
            </w:pPr>
            <w:r w:rsidRPr="00E12CC8">
              <w:rPr>
                <w:sz w:val="24"/>
              </w:rPr>
              <w:t>Číslo</w:t>
            </w:r>
          </w:p>
        </w:tc>
        <w:tc>
          <w:tcPr>
            <w:tcW w:w="709" w:type="dxa"/>
            <w:gridSpan w:val="2"/>
          </w:tcPr>
          <w:p w:rsidR="006B3740" w:rsidRPr="00E12CC8" w:rsidRDefault="006B3740" w:rsidP="0087562C">
            <w:pPr>
              <w:pStyle w:val="Spiatonadresanaoblke"/>
              <w:rPr>
                <w:b w:val="0"/>
                <w:bCs w:val="0"/>
                <w:color w:val="auto"/>
                <w:sz w:val="24"/>
                <w:szCs w:val="24"/>
              </w:rPr>
            </w:pPr>
            <w:r w:rsidRPr="00E12CC8">
              <w:rPr>
                <w:b w:val="0"/>
                <w:bCs w:val="0"/>
                <w:color w:val="auto"/>
                <w:sz w:val="24"/>
                <w:szCs w:val="24"/>
              </w:rPr>
              <w:t>Článok (Č, §, O, V, P)</w:t>
            </w:r>
          </w:p>
        </w:tc>
        <w:tc>
          <w:tcPr>
            <w:tcW w:w="2552" w:type="dxa"/>
          </w:tcPr>
          <w:p w:rsidR="006B3740" w:rsidRPr="00E12CC8" w:rsidRDefault="006B3740" w:rsidP="0087562C">
            <w:pPr>
              <w:jc w:val="center"/>
              <w:rPr>
                <w:sz w:val="24"/>
              </w:rPr>
            </w:pPr>
            <w:r w:rsidRPr="00E12CC8">
              <w:rPr>
                <w:sz w:val="24"/>
              </w:rPr>
              <w:t>Text</w:t>
            </w:r>
          </w:p>
        </w:tc>
        <w:tc>
          <w:tcPr>
            <w:tcW w:w="567" w:type="dxa"/>
          </w:tcPr>
          <w:p w:rsidR="006B3740" w:rsidRPr="00E12CC8" w:rsidRDefault="006B3740" w:rsidP="006B3740">
            <w:pPr>
              <w:rPr>
                <w:sz w:val="24"/>
              </w:rPr>
            </w:pPr>
            <w:r w:rsidRPr="00E12CC8">
              <w:rPr>
                <w:sz w:val="24"/>
              </w:rPr>
              <w:t>Zhoda</w:t>
            </w:r>
          </w:p>
        </w:tc>
        <w:tc>
          <w:tcPr>
            <w:tcW w:w="1084" w:type="dxa"/>
          </w:tcPr>
          <w:p w:rsidR="006B3740" w:rsidRPr="00E12CC8" w:rsidRDefault="006B3740" w:rsidP="006B3740">
            <w:pPr>
              <w:rPr>
                <w:sz w:val="24"/>
              </w:rPr>
            </w:pPr>
            <w:r w:rsidRPr="00E12CC8">
              <w:rPr>
                <w:sz w:val="24"/>
              </w:rPr>
              <w:t>Poznámky</w:t>
            </w:r>
          </w:p>
        </w:tc>
      </w:tr>
      <w:tr w:rsidR="006B3740" w:rsidRPr="00E12CC8" w:rsidTr="006B3740">
        <w:trPr>
          <w:cantSplit/>
        </w:trPr>
        <w:tc>
          <w:tcPr>
            <w:tcW w:w="711" w:type="dxa"/>
          </w:tcPr>
          <w:p w:rsidR="006B3740" w:rsidRDefault="00EC7998" w:rsidP="0087562C">
            <w:pPr>
              <w:jc w:val="both"/>
              <w:rPr>
                <w:sz w:val="24"/>
              </w:rPr>
            </w:pPr>
            <w:r>
              <w:rPr>
                <w:sz w:val="24"/>
              </w:rPr>
              <w:t>Č</w:t>
            </w:r>
            <w:r w:rsidR="006B3740">
              <w:rPr>
                <w:sz w:val="24"/>
              </w:rPr>
              <w:t xml:space="preserve"> 5</w:t>
            </w:r>
          </w:p>
          <w:p w:rsidR="00EC7998" w:rsidRPr="00E12CC8" w:rsidRDefault="00EC7998" w:rsidP="00EC7998">
            <w:pPr>
              <w:jc w:val="both"/>
              <w:rPr>
                <w:sz w:val="24"/>
              </w:rPr>
            </w:pPr>
            <w:r>
              <w:rPr>
                <w:sz w:val="24"/>
              </w:rPr>
              <w:t>O 3</w:t>
            </w:r>
          </w:p>
        </w:tc>
        <w:tc>
          <w:tcPr>
            <w:tcW w:w="3402" w:type="dxa"/>
          </w:tcPr>
          <w:p w:rsidR="00EC7998" w:rsidRPr="00EC7998" w:rsidRDefault="00EC7998" w:rsidP="00EC7998">
            <w:pPr>
              <w:rPr>
                <w:sz w:val="24"/>
              </w:rPr>
            </w:pPr>
            <w:r w:rsidRPr="00EC7998">
              <w:rPr>
                <w:color w:val="000000"/>
                <w:sz w:val="24"/>
                <w:shd w:val="clear" w:color="auto" w:fill="FFFFFF"/>
              </w:rPr>
              <w:t>3.   </w:t>
            </w:r>
          </w:p>
          <w:p w:rsidR="00EC7998" w:rsidRPr="00EC7998" w:rsidRDefault="00EC7998" w:rsidP="00EC7998">
            <w:pPr>
              <w:shd w:val="clear" w:color="auto" w:fill="FFFFFF"/>
              <w:rPr>
                <w:color w:val="000000"/>
                <w:sz w:val="24"/>
              </w:rPr>
            </w:pPr>
            <w:r w:rsidRPr="00EC7998">
              <w:rPr>
                <w:color w:val="000000"/>
                <w:sz w:val="24"/>
              </w:rPr>
              <w:t>Bez toho, aby bol dotknutý odsek 1, členské štáty prijmú opatrenia na zabezpečenie toho, aby držitelia povolení na uvedenie na trh, výrobcovia a odborní zdravotnícki pracovníci nepodliehali občianskej alebo administratívnej zodpovednosti za akékoľvek dôsledky používania lieku na účely, ktoré nie sú súčasťou povolených indikácií, alebo používania lieku bez povolenia, ak takéto užívanie odporúča alebo požaduje príslušný orgán na základe predpokladaného alebo potvrdeného rozšírenia patogénnych činiteľov, toxínov, chemických činiteľov alebo jadrového žiarenia, ktoré by mohli spôsobiť ujmu. Tieto opatrenia sa uplatňujú nezávisle od toho, či bolo alebo nebolo vydané povolenie na vnútroštátnej úrovni alebo na úrovni spoločenstva.</w:t>
            </w:r>
          </w:p>
          <w:p w:rsidR="006B3740" w:rsidRPr="00E12CC8" w:rsidRDefault="006B3740" w:rsidP="0087562C">
            <w:pPr>
              <w:jc w:val="center"/>
              <w:rPr>
                <w:sz w:val="24"/>
              </w:rPr>
            </w:pPr>
          </w:p>
        </w:tc>
        <w:tc>
          <w:tcPr>
            <w:tcW w:w="684" w:type="dxa"/>
          </w:tcPr>
          <w:p w:rsidR="006B3740" w:rsidRPr="00E12CC8" w:rsidRDefault="00EC7998" w:rsidP="00EC7998">
            <w:pPr>
              <w:jc w:val="center"/>
              <w:rPr>
                <w:sz w:val="24"/>
              </w:rPr>
            </w:pPr>
            <w:r>
              <w:rPr>
                <w:sz w:val="24"/>
              </w:rPr>
              <w:t>N</w:t>
            </w:r>
          </w:p>
        </w:tc>
        <w:tc>
          <w:tcPr>
            <w:tcW w:w="733" w:type="dxa"/>
            <w:gridSpan w:val="3"/>
          </w:tcPr>
          <w:p w:rsidR="006B3740" w:rsidRPr="00E12CC8" w:rsidRDefault="006B3740" w:rsidP="0087562C">
            <w:pPr>
              <w:jc w:val="both"/>
              <w:rPr>
                <w:sz w:val="24"/>
              </w:rPr>
            </w:pPr>
          </w:p>
        </w:tc>
        <w:tc>
          <w:tcPr>
            <w:tcW w:w="567" w:type="dxa"/>
          </w:tcPr>
          <w:p w:rsidR="006B3740" w:rsidRDefault="00EC7998" w:rsidP="0087562C">
            <w:pPr>
              <w:pStyle w:val="Spiatonadresanaoblke"/>
              <w:rPr>
                <w:b w:val="0"/>
                <w:bCs w:val="0"/>
                <w:color w:val="auto"/>
                <w:sz w:val="24"/>
                <w:szCs w:val="24"/>
              </w:rPr>
            </w:pPr>
            <w:r>
              <w:rPr>
                <w:b w:val="0"/>
                <w:bCs w:val="0"/>
                <w:color w:val="auto"/>
                <w:sz w:val="24"/>
                <w:szCs w:val="24"/>
              </w:rPr>
              <w:t>§ 54</w:t>
            </w:r>
          </w:p>
          <w:p w:rsidR="00EC7998" w:rsidRPr="00E12CC8" w:rsidRDefault="00EC7998" w:rsidP="0087562C">
            <w:pPr>
              <w:pStyle w:val="Spiatonadresanaoblke"/>
              <w:rPr>
                <w:b w:val="0"/>
                <w:bCs w:val="0"/>
                <w:color w:val="auto"/>
                <w:sz w:val="24"/>
                <w:szCs w:val="24"/>
              </w:rPr>
            </w:pPr>
            <w:r>
              <w:rPr>
                <w:b w:val="0"/>
                <w:bCs w:val="0"/>
                <w:color w:val="auto"/>
                <w:sz w:val="24"/>
                <w:szCs w:val="24"/>
              </w:rPr>
              <w:t>O 10</w:t>
            </w:r>
          </w:p>
        </w:tc>
        <w:tc>
          <w:tcPr>
            <w:tcW w:w="2552" w:type="dxa"/>
          </w:tcPr>
          <w:p w:rsidR="00EC7998" w:rsidRPr="0039197D" w:rsidRDefault="00EC7998" w:rsidP="00EC7998">
            <w:pPr>
              <w:numPr>
                <w:ilvl w:val="0"/>
                <w:numId w:val="1"/>
              </w:numPr>
              <w:spacing w:after="160"/>
              <w:ind w:left="426" w:hanging="426"/>
              <w:contextualSpacing/>
              <w:jc w:val="both"/>
              <w:rPr>
                <w:sz w:val="24"/>
              </w:rPr>
            </w:pPr>
            <w:r w:rsidRPr="0039197D">
              <w:rPr>
                <w:sz w:val="24"/>
              </w:rPr>
              <w:t>§ 54 sa dopĺňa odsekom 10, ktorý znie:</w:t>
            </w:r>
          </w:p>
          <w:p w:rsidR="006B3740" w:rsidRPr="00E12CC8" w:rsidRDefault="00EC7998" w:rsidP="00EC7998">
            <w:pPr>
              <w:spacing w:after="160"/>
              <w:rPr>
                <w:sz w:val="24"/>
              </w:rPr>
            </w:pPr>
            <w:r w:rsidRPr="0039197D">
              <w:rPr>
                <w:sz w:val="24"/>
              </w:rPr>
              <w:t xml:space="preserve">„(10) Voči </w:t>
            </w:r>
            <w:r w:rsidRPr="0039197D">
              <w:rPr>
                <w:color w:val="333333"/>
                <w:sz w:val="24"/>
              </w:rPr>
              <w:t>držiteľovi povolenia na uvedenie lieku na trh, výrobcovi lieku a zdravotníckemu pracovníkovi nemožno vyvodzovať občianskoprávnu alebo správnu zodpovednosť za akékoľvek dôsledky terapeutického používania lieku na účely, ktoré nie sú súčasťou povolených indikácií, alebo používania lieku bez registrácie, ak takéto používanie povolí ministerstvo zdravotníctva na základe predpokladaného alebo potvrdeného rozšírenia patogénnych činiteľov, toxínov, chemických činiteľov alebo jadrového žiarenia, ktoré by mohli spôsobiť pacientovi ujmu.“.</w:t>
            </w:r>
          </w:p>
        </w:tc>
        <w:tc>
          <w:tcPr>
            <w:tcW w:w="567" w:type="dxa"/>
          </w:tcPr>
          <w:p w:rsidR="006B3740" w:rsidRPr="00E12CC8" w:rsidRDefault="00EC7998" w:rsidP="00EC7998">
            <w:pPr>
              <w:jc w:val="center"/>
              <w:rPr>
                <w:sz w:val="24"/>
              </w:rPr>
            </w:pPr>
            <w:r>
              <w:rPr>
                <w:sz w:val="24"/>
              </w:rPr>
              <w:t>Ú</w:t>
            </w:r>
          </w:p>
        </w:tc>
        <w:tc>
          <w:tcPr>
            <w:tcW w:w="1084" w:type="dxa"/>
          </w:tcPr>
          <w:p w:rsidR="006B3740" w:rsidRPr="00E12CC8" w:rsidRDefault="006B3740" w:rsidP="0087562C">
            <w:pPr>
              <w:jc w:val="both"/>
              <w:rPr>
                <w:sz w:val="24"/>
              </w:rPr>
            </w:pPr>
          </w:p>
        </w:tc>
      </w:tr>
    </w:tbl>
    <w:p w:rsidR="00935A4F" w:rsidRDefault="00935A4F"/>
    <w:sectPr w:rsidR="0093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C1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0"/>
    <w:rsid w:val="00326819"/>
    <w:rsid w:val="004A703D"/>
    <w:rsid w:val="006B3740"/>
    <w:rsid w:val="00935A4F"/>
    <w:rsid w:val="00D835FE"/>
    <w:rsid w:val="00EC7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DD3"/>
  <w15:chartTrackingRefBased/>
  <w15:docId w15:val="{5F4D7E39-1089-4191-B489-5775110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740"/>
    <w:pPr>
      <w:spacing w:after="0" w:line="240" w:lineRule="auto"/>
    </w:pPr>
    <w:rPr>
      <w:rFonts w:ascii="Times New Roman" w:eastAsia="Times New Roman" w:hAnsi="Times New Roman" w:cs="Times New Roman"/>
      <w:sz w:val="28"/>
      <w:szCs w:val="24"/>
      <w:lang w:eastAsia="sk-SK"/>
    </w:rPr>
  </w:style>
  <w:style w:type="paragraph" w:styleId="Nadpis7">
    <w:name w:val="heading 7"/>
    <w:basedOn w:val="Normlny"/>
    <w:next w:val="Normlny"/>
    <w:link w:val="Nadpis7Char"/>
    <w:uiPriority w:val="9"/>
    <w:qFormat/>
    <w:rsid w:val="006B3740"/>
    <w:pPr>
      <w:keepNext/>
      <w:jc w:val="center"/>
      <w:outlineLvl w:val="6"/>
    </w:pPr>
    <w:rPr>
      <w:b/>
      <w:bCs/>
      <w:szCs w:val="28"/>
      <w:lang w:eastAsia="cs-CZ"/>
    </w:rPr>
  </w:style>
  <w:style w:type="paragraph" w:styleId="Nadpis8">
    <w:name w:val="heading 8"/>
    <w:basedOn w:val="Normlny"/>
    <w:next w:val="Normlny"/>
    <w:link w:val="Nadpis8Char"/>
    <w:uiPriority w:val="9"/>
    <w:qFormat/>
    <w:rsid w:val="006B3740"/>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B3740"/>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6B3740"/>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6B3740"/>
    <w:rPr>
      <w:b/>
      <w:bCs/>
      <w:shadow/>
      <w:color w:val="000000"/>
      <w:sz w:val="20"/>
      <w:szCs w:val="20"/>
      <w:lang w:eastAsia="cs-CZ"/>
    </w:rPr>
  </w:style>
  <w:style w:type="character" w:customStyle="1" w:styleId="no-parag">
    <w:name w:val="no-parag"/>
    <w:basedOn w:val="Predvolenpsmoodseku"/>
    <w:rsid w:val="00EC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724">
      <w:bodyDiv w:val="1"/>
      <w:marLeft w:val="0"/>
      <w:marRight w:val="0"/>
      <w:marTop w:val="0"/>
      <w:marBottom w:val="0"/>
      <w:divBdr>
        <w:top w:val="none" w:sz="0" w:space="0" w:color="auto"/>
        <w:left w:val="none" w:sz="0" w:space="0" w:color="auto"/>
        <w:bottom w:val="none" w:sz="0" w:space="0" w:color="auto"/>
        <w:right w:val="none" w:sz="0" w:space="0" w:color="auto"/>
      </w:divBdr>
      <w:divsChild>
        <w:div w:id="4493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dcterms:created xsi:type="dcterms:W3CDTF">2022-11-24T08:31:00Z</dcterms:created>
  <dcterms:modified xsi:type="dcterms:W3CDTF">2023-02-09T09:50:00Z</dcterms:modified>
</cp:coreProperties>
</file>