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40" w:rsidRPr="00E12CC8" w:rsidRDefault="006B3740" w:rsidP="006B3740">
      <w:pPr>
        <w:pStyle w:val="Nadpis7"/>
        <w:rPr>
          <w:sz w:val="24"/>
          <w:szCs w:val="24"/>
        </w:rPr>
      </w:pPr>
      <w:r w:rsidRPr="00E12CC8">
        <w:rPr>
          <w:sz w:val="24"/>
          <w:szCs w:val="24"/>
        </w:rPr>
        <w:t>TABUĽKA ZHODY</w:t>
      </w:r>
    </w:p>
    <w:p w:rsidR="006B3740" w:rsidRPr="00E12CC8" w:rsidRDefault="006B3740" w:rsidP="006B3740">
      <w:pPr>
        <w:jc w:val="center"/>
        <w:rPr>
          <w:b/>
          <w:bCs/>
          <w:sz w:val="24"/>
        </w:rPr>
      </w:pPr>
      <w:r w:rsidRPr="00E12CC8">
        <w:rPr>
          <w:b/>
          <w:bCs/>
          <w:sz w:val="24"/>
        </w:rPr>
        <w:t>právneho predpisu s právom Európskej únie</w:t>
      </w:r>
    </w:p>
    <w:p w:rsidR="006B3740" w:rsidRPr="00E12CC8" w:rsidRDefault="006B3740" w:rsidP="006B3740">
      <w:pPr>
        <w:jc w:val="center"/>
        <w:rPr>
          <w:sz w:val="24"/>
        </w:rPr>
      </w:pPr>
    </w:p>
    <w:tbl>
      <w:tblPr>
        <w:tblW w:w="103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402"/>
        <w:gridCol w:w="684"/>
        <w:gridCol w:w="24"/>
        <w:gridCol w:w="567"/>
        <w:gridCol w:w="142"/>
        <w:gridCol w:w="567"/>
        <w:gridCol w:w="2552"/>
        <w:gridCol w:w="425"/>
        <w:gridCol w:w="1226"/>
      </w:tblGrid>
      <w:tr w:rsidR="006B3740" w:rsidRPr="00E12CC8" w:rsidTr="006B3740">
        <w:trPr>
          <w:cantSplit/>
        </w:trPr>
        <w:tc>
          <w:tcPr>
            <w:tcW w:w="4821" w:type="dxa"/>
            <w:gridSpan w:val="4"/>
          </w:tcPr>
          <w:p w:rsidR="007E642F" w:rsidRDefault="007E642F" w:rsidP="007E642F">
            <w:pPr>
              <w:rPr>
                <w:rStyle w:val="Siln"/>
                <w:b w:val="0"/>
                <w:sz w:val="24"/>
              </w:rPr>
            </w:pPr>
            <w:r w:rsidRPr="007E642F">
              <w:rPr>
                <w:rStyle w:val="Siln"/>
                <w:b w:val="0"/>
                <w:sz w:val="24"/>
              </w:rPr>
              <w:t>Smernica Európskeho parlamentu a Rady 2011/62/EÚ z  8. júna 2011 , ktorou sa mení a dopĺňa smernica 2001/83/ES, ktorou sa ustanovuje zákonník Spoločenstva o humánnych liekoch, pokiaľ ide o predchádzanie vstupu falšovaných liekov do legálneho dodávateľského reťazca</w:t>
            </w:r>
            <w:r>
              <w:rPr>
                <w:rStyle w:val="Siln"/>
                <w:b w:val="0"/>
                <w:sz w:val="24"/>
              </w:rPr>
              <w:t>.</w:t>
            </w:r>
            <w:r w:rsidRPr="007E642F">
              <w:rPr>
                <w:rStyle w:val="Siln"/>
                <w:b w:val="0"/>
                <w:sz w:val="24"/>
              </w:rPr>
              <w:t xml:space="preserve"> </w:t>
            </w:r>
          </w:p>
          <w:p w:rsidR="006B3740" w:rsidRPr="007E642F" w:rsidRDefault="007E642F" w:rsidP="007E642F">
            <w:pPr>
              <w:rPr>
                <w:b/>
                <w:sz w:val="24"/>
              </w:rPr>
            </w:pPr>
            <w:r w:rsidRPr="007E642F">
              <w:rPr>
                <w:rStyle w:val="Siln"/>
                <w:b w:val="0"/>
                <w:sz w:val="24"/>
              </w:rPr>
              <w:t>Text s významom pre EHP</w:t>
            </w:r>
          </w:p>
        </w:tc>
        <w:tc>
          <w:tcPr>
            <w:tcW w:w="5479" w:type="dxa"/>
            <w:gridSpan w:val="6"/>
          </w:tcPr>
          <w:p w:rsidR="006B3740" w:rsidRPr="00E12CC8" w:rsidRDefault="006B3740" w:rsidP="006B3740">
            <w:pPr>
              <w:pStyle w:val="Nadpis8"/>
              <w:jc w:val="left"/>
              <w:rPr>
                <w:sz w:val="24"/>
                <w:szCs w:val="24"/>
              </w:rPr>
            </w:pPr>
            <w:r w:rsidRPr="00C735DE">
              <w:rPr>
                <w:sz w:val="24"/>
                <w:szCs w:val="24"/>
              </w:rPr>
              <w:t xml:space="preserve">Návrh </w:t>
            </w:r>
            <w:r>
              <w:rPr>
                <w:sz w:val="24"/>
                <w:szCs w:val="24"/>
              </w:rPr>
              <w:t>zákona</w:t>
            </w:r>
            <w:r w:rsidR="00C94E07">
              <w:rPr>
                <w:sz w:val="24"/>
                <w:szCs w:val="24"/>
              </w:rPr>
              <w:t xml:space="preserve"> z .. 2023</w:t>
            </w:r>
            <w:bookmarkStart w:id="0" w:name="_GoBack"/>
            <w:bookmarkEnd w:id="0"/>
            <w:r w:rsidRPr="00C735DE">
              <w:rPr>
                <w:sz w:val="24"/>
                <w:szCs w:val="24"/>
              </w:rPr>
              <w:t>, ktorým sa mení a  dopĺňa zákon č. 362/2011 Z. z. o liekoch  a zdravotníckych pomôckach a o zmene a doplnení niektorých zákonov v znení neskorších predpisov a ktorým sa menia a dopĺňajú niektoré zákony</w:t>
            </w:r>
          </w:p>
        </w:tc>
      </w:tr>
      <w:tr w:rsidR="006B3740" w:rsidRPr="00E12CC8" w:rsidTr="00C56C20">
        <w:trPr>
          <w:cantSplit/>
        </w:trPr>
        <w:tc>
          <w:tcPr>
            <w:tcW w:w="711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3</w:t>
            </w:r>
          </w:p>
        </w:tc>
        <w:tc>
          <w:tcPr>
            <w:tcW w:w="733" w:type="dxa"/>
            <w:gridSpan w:val="3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7</w:t>
            </w:r>
          </w:p>
        </w:tc>
        <w:tc>
          <w:tcPr>
            <w:tcW w:w="1226" w:type="dxa"/>
          </w:tcPr>
          <w:p w:rsidR="006B3740" w:rsidRPr="00E12CC8" w:rsidRDefault="006B3740" w:rsidP="006B3740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8</w:t>
            </w:r>
          </w:p>
        </w:tc>
      </w:tr>
      <w:tr w:rsidR="006B3740" w:rsidRPr="00E12CC8" w:rsidTr="00C56C20">
        <w:trPr>
          <w:cantSplit/>
        </w:trPr>
        <w:tc>
          <w:tcPr>
            <w:tcW w:w="711" w:type="dxa"/>
          </w:tcPr>
          <w:p w:rsidR="006B3740" w:rsidRPr="00E12CC8" w:rsidRDefault="006B3740" w:rsidP="0087562C">
            <w:pPr>
              <w:jc w:val="both"/>
              <w:rPr>
                <w:sz w:val="24"/>
              </w:rPr>
            </w:pPr>
            <w:r w:rsidRPr="00E12CC8">
              <w:rPr>
                <w:sz w:val="24"/>
              </w:rPr>
              <w:t xml:space="preserve">Článok </w:t>
            </w:r>
          </w:p>
          <w:p w:rsidR="006B3740" w:rsidRPr="00E12CC8" w:rsidRDefault="006B3740" w:rsidP="0087562C">
            <w:pPr>
              <w:rPr>
                <w:sz w:val="24"/>
              </w:rPr>
            </w:pPr>
            <w:r w:rsidRPr="00E12CC8">
              <w:rPr>
                <w:sz w:val="24"/>
              </w:rPr>
              <w:t>(Č, O, V, P)</w:t>
            </w:r>
          </w:p>
        </w:tc>
        <w:tc>
          <w:tcPr>
            <w:tcW w:w="3402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Text</w:t>
            </w:r>
          </w:p>
        </w:tc>
        <w:tc>
          <w:tcPr>
            <w:tcW w:w="684" w:type="dxa"/>
          </w:tcPr>
          <w:p w:rsidR="006B3740" w:rsidRPr="00E12CC8" w:rsidRDefault="006B3740" w:rsidP="0087562C">
            <w:pPr>
              <w:jc w:val="both"/>
              <w:rPr>
                <w:sz w:val="24"/>
              </w:rPr>
            </w:pPr>
            <w:r w:rsidRPr="00E12CC8">
              <w:rPr>
                <w:sz w:val="24"/>
              </w:rPr>
              <w:t>Spôsob</w:t>
            </w:r>
          </w:p>
          <w:p w:rsidR="006B3740" w:rsidRPr="00E12CC8" w:rsidRDefault="006B3740" w:rsidP="0087562C">
            <w:pPr>
              <w:jc w:val="both"/>
              <w:rPr>
                <w:sz w:val="24"/>
              </w:rPr>
            </w:pPr>
            <w:proofErr w:type="spellStart"/>
            <w:r w:rsidRPr="00E12CC8">
              <w:rPr>
                <w:sz w:val="24"/>
              </w:rPr>
              <w:t>transpo-zície</w:t>
            </w:r>
            <w:proofErr w:type="spellEnd"/>
          </w:p>
        </w:tc>
        <w:tc>
          <w:tcPr>
            <w:tcW w:w="591" w:type="dxa"/>
            <w:gridSpan w:val="2"/>
          </w:tcPr>
          <w:p w:rsidR="006B3740" w:rsidRPr="00E12CC8" w:rsidRDefault="006B3740" w:rsidP="0087562C">
            <w:pPr>
              <w:jc w:val="both"/>
              <w:rPr>
                <w:sz w:val="24"/>
              </w:rPr>
            </w:pPr>
            <w:r w:rsidRPr="00E12CC8">
              <w:rPr>
                <w:sz w:val="24"/>
              </w:rPr>
              <w:t>Číslo</w:t>
            </w:r>
          </w:p>
        </w:tc>
        <w:tc>
          <w:tcPr>
            <w:tcW w:w="709" w:type="dxa"/>
            <w:gridSpan w:val="2"/>
          </w:tcPr>
          <w:p w:rsidR="006B3740" w:rsidRPr="00E12CC8" w:rsidRDefault="006B3740" w:rsidP="0087562C">
            <w:pPr>
              <w:pStyle w:val="Spiatonadresanaoblke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12CC8">
              <w:rPr>
                <w:b w:val="0"/>
                <w:bCs w:val="0"/>
                <w:color w:val="auto"/>
                <w:sz w:val="24"/>
                <w:szCs w:val="24"/>
              </w:rPr>
              <w:t>Článok (Č, §, O, V, P)</w:t>
            </w:r>
          </w:p>
        </w:tc>
        <w:tc>
          <w:tcPr>
            <w:tcW w:w="2552" w:type="dxa"/>
          </w:tcPr>
          <w:p w:rsidR="006B3740" w:rsidRPr="00E12CC8" w:rsidRDefault="006B3740" w:rsidP="0087562C">
            <w:pPr>
              <w:jc w:val="center"/>
              <w:rPr>
                <w:sz w:val="24"/>
              </w:rPr>
            </w:pPr>
            <w:r w:rsidRPr="00E12CC8">
              <w:rPr>
                <w:sz w:val="24"/>
              </w:rPr>
              <w:t>Text</w:t>
            </w:r>
          </w:p>
        </w:tc>
        <w:tc>
          <w:tcPr>
            <w:tcW w:w="425" w:type="dxa"/>
          </w:tcPr>
          <w:p w:rsidR="006B3740" w:rsidRPr="00E12CC8" w:rsidRDefault="006B3740" w:rsidP="006B3740">
            <w:pPr>
              <w:rPr>
                <w:sz w:val="24"/>
              </w:rPr>
            </w:pPr>
            <w:r w:rsidRPr="00E12CC8">
              <w:rPr>
                <w:sz w:val="24"/>
              </w:rPr>
              <w:t>Zhoda</w:t>
            </w:r>
          </w:p>
        </w:tc>
        <w:tc>
          <w:tcPr>
            <w:tcW w:w="1226" w:type="dxa"/>
          </w:tcPr>
          <w:p w:rsidR="006B3740" w:rsidRPr="00E12CC8" w:rsidRDefault="006B3740" w:rsidP="006B3740">
            <w:pPr>
              <w:rPr>
                <w:sz w:val="24"/>
              </w:rPr>
            </w:pPr>
            <w:r w:rsidRPr="00E12CC8">
              <w:rPr>
                <w:sz w:val="24"/>
              </w:rPr>
              <w:t>Poznámky</w:t>
            </w:r>
          </w:p>
        </w:tc>
      </w:tr>
      <w:tr w:rsidR="007E642F" w:rsidRPr="00E12CC8" w:rsidTr="00C56C20">
        <w:trPr>
          <w:cantSplit/>
        </w:trPr>
        <w:tc>
          <w:tcPr>
            <w:tcW w:w="4797" w:type="dxa"/>
            <w:gridSpan w:val="3"/>
          </w:tcPr>
          <w:p w:rsidR="007E642F" w:rsidRPr="00BB7DF9" w:rsidRDefault="00364D74" w:rsidP="00BB7DF9">
            <w:pPr>
              <w:pStyle w:val="Odsekzoznamu"/>
              <w:numPr>
                <w:ilvl w:val="0"/>
                <w:numId w:val="2"/>
              </w:numPr>
              <w:spacing w:before="50" w:after="50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D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Hlava 1 čl. 3</w:t>
            </w:r>
          </w:p>
          <w:p w:rsidR="00364D74" w:rsidRDefault="00364D74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  <w:r w:rsidRPr="00364D74">
              <w:rPr>
                <w:sz w:val="24"/>
              </w:rPr>
              <w:t xml:space="preserve">Smernica sa nevzťahuje na: 1. lieky pripravené v lekárni podľa lekárskeho predpisu pre jednotlivého pacienta (bežne známe ako </w:t>
            </w:r>
            <w:proofErr w:type="spellStart"/>
            <w:r w:rsidRPr="00364D74">
              <w:rPr>
                <w:sz w:val="24"/>
              </w:rPr>
              <w:t>magistraliter</w:t>
            </w:r>
            <w:proofErr w:type="spellEnd"/>
            <w:r w:rsidRPr="00364D74">
              <w:rPr>
                <w:sz w:val="24"/>
              </w:rPr>
              <w:t xml:space="preserve"> lieky). 2. lieky, ktoré sú pripravené v lekárni podľa liekopisného predpisu a sú určené na podávanie priamo pacientom, ktorých dotknutá lekáreň zásobuje (bežne známe ako liekopisné lieky). 3. lieky určené na výskumné a vývojové skúšky. 4. medziprodukty určené na ďalšie spracovanie autorizovaným výrobcom. 5. rádionuklidy použité v zapečatenej forme. 6. celú krv, plazmu alebo krvné bunky ľudského pôvodu</w:t>
            </w: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8424BD" w:rsidP="002E6AFA">
            <w:pPr>
              <w:pStyle w:val="Odsekzoznamu"/>
              <w:numPr>
                <w:ilvl w:val="0"/>
                <w:numId w:val="2"/>
              </w:numPr>
              <w:spacing w:before="50" w:after="50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Článok 111 ods. 1 </w:t>
            </w:r>
            <w:r w:rsidR="002E6AFA">
              <w:rPr>
                <w:sz w:val="24"/>
              </w:rPr>
              <w:t xml:space="preserve">písm. a.) </w:t>
            </w:r>
            <w:r w:rsidR="002E6AFA" w:rsidRPr="002E6AFA">
              <w:rPr>
                <w:sz w:val="24"/>
              </w:rPr>
              <w:t>Tieto inšpekcie vykonávajú úradné osoby zastupujúce príslušný orgán, ktorý má právomoc: (a) kontrolovať výrobné alebo obchodné zariadenia a ktorékoľvek laboratóriá poverené držiteľom povolenia na výrobu úlohou vykonávať kontroly podľa článku 20;</w:t>
            </w: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Default="004E7777" w:rsidP="004E7777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8B0154" w:rsidRDefault="008B0154" w:rsidP="008B0154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4E7777" w:rsidRPr="008B0154" w:rsidRDefault="008B0154" w:rsidP="008B0154">
            <w:pPr>
              <w:spacing w:before="50" w:after="50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B67084" w:rsidRPr="008B0154">
              <w:rPr>
                <w:sz w:val="24"/>
              </w:rPr>
              <w:t xml:space="preserve">Článok 35 </w:t>
            </w:r>
            <w:r w:rsidR="0014224D" w:rsidRPr="008B0154">
              <w:rPr>
                <w:sz w:val="24"/>
              </w:rPr>
              <w:t xml:space="preserve">„Je potrebné vykonávať kontrolu nad celým reťazcom distribúcie liekov, od ich výroby alebo dovozu do spoločenstva až po ich výdaj verejnosti, aby bolo zaručené, že tieto výrobky budú skladované, dopravované a manipulované vo vhodných podmienkach. Požiadavky, ktoré musia byť na tento účel </w:t>
            </w:r>
            <w:r w:rsidR="0014224D" w:rsidRPr="008B0154">
              <w:rPr>
                <w:sz w:val="24"/>
              </w:rPr>
              <w:lastRenderedPageBreak/>
              <w:t>prijaté, významne uľahčia sťahovanie chybných výrobkov z trhu a umožnia účinnejšie pôsobiť proti falšovaným výrobkom.“</w:t>
            </w:r>
          </w:p>
          <w:p w:rsidR="0024342D" w:rsidRDefault="0024342D" w:rsidP="0024342D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5A2B75" w:rsidRDefault="008B0154" w:rsidP="005A2B75">
            <w:pPr>
              <w:jc w:val="both"/>
              <w:rPr>
                <w:sz w:val="24"/>
              </w:rPr>
            </w:pPr>
            <w:r w:rsidRPr="005A2B75">
              <w:rPr>
                <w:sz w:val="24"/>
              </w:rPr>
              <w:t>4</w:t>
            </w:r>
            <w:r w:rsidR="005A2B75" w:rsidRPr="005A2B75">
              <w:rPr>
                <w:sz w:val="24"/>
              </w:rPr>
              <w:t>.</w:t>
            </w:r>
            <w:r w:rsidR="005A2B75">
              <w:rPr>
                <w:sz w:val="24"/>
              </w:rPr>
              <w:t xml:space="preserve"> V súlade so</w:t>
            </w:r>
            <w:r w:rsidR="005A2B75" w:rsidRPr="005A2B75">
              <w:rPr>
                <w:sz w:val="24"/>
              </w:rPr>
              <w:t xml:space="preserve"> </w:t>
            </w:r>
            <w:r w:rsidR="005A2B75">
              <w:rPr>
                <w:sz w:val="24"/>
              </w:rPr>
              <w:t xml:space="preserve"> Smernicou </w:t>
            </w:r>
            <w:r w:rsidR="005A2B75" w:rsidRPr="005A2B75">
              <w:rPr>
                <w:sz w:val="24"/>
              </w:rPr>
              <w:t xml:space="preserve"> 2001/20/ES EURÓPSKEHO PARLAMENTU A RADY zo 4. apríla 2001 o aproximácii zákonov, iných právnych predpisov a správnych opatrení členských štátov týkajúcich sa uplatňovania dobrej klinickej praxe počas klinických pokusov s humánnymi liekmi Článok 15 bod 1, 2</w:t>
            </w:r>
          </w:p>
          <w:p w:rsidR="005A2B75" w:rsidRPr="005A2B75" w:rsidRDefault="005A2B75" w:rsidP="005A2B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prechodnom období </w:t>
            </w:r>
            <w:r w:rsidRPr="005A2B75">
              <w:rPr>
                <w:sz w:val="24"/>
              </w:rPr>
              <w:t xml:space="preserve"> - NARIADENIE EURÓPSKEHO PARLAMENTU A RADY (EÚ) Ā. 536/2014 KAPITOLA XIII DOHLAD ČLENSKÝCH ŠTÁTOV, INŠPEKCIE A KONTROLY ÚNIE - Článok 78 Inšpekcie členského štátu </w:t>
            </w:r>
            <w:r w:rsidR="00CC1FE0">
              <w:rPr>
                <w:sz w:val="24"/>
              </w:rPr>
              <w:t>ods.6</w:t>
            </w:r>
          </w:p>
          <w:p w:rsidR="005A2B75" w:rsidRDefault="005A2B75" w:rsidP="005A2B75">
            <w:pPr>
              <w:rPr>
                <w:sz w:val="22"/>
                <w:szCs w:val="22"/>
              </w:rPr>
            </w:pPr>
          </w:p>
          <w:p w:rsidR="00EE0ADB" w:rsidRDefault="00EE0ADB" w:rsidP="005A2B75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24342D" w:rsidRPr="0024342D" w:rsidRDefault="0024342D" w:rsidP="00EE0ADB">
            <w:pPr>
              <w:pStyle w:val="Odsekzoznamu"/>
              <w:spacing w:before="50" w:after="50"/>
              <w:ind w:right="15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  <w:p w:rsidR="00A52E1C" w:rsidRPr="00E12CC8" w:rsidRDefault="00A52E1C" w:rsidP="007E642F">
            <w:pPr>
              <w:spacing w:before="50" w:after="50"/>
              <w:ind w:left="1070" w:right="150" w:hanging="1070"/>
              <w:jc w:val="both"/>
              <w:rPr>
                <w:sz w:val="24"/>
              </w:rPr>
            </w:pPr>
          </w:p>
        </w:tc>
        <w:tc>
          <w:tcPr>
            <w:tcW w:w="733" w:type="dxa"/>
            <w:gridSpan w:val="3"/>
          </w:tcPr>
          <w:p w:rsidR="007E642F" w:rsidRPr="00E12CC8" w:rsidRDefault="007E642F" w:rsidP="0087562C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7E642F" w:rsidRPr="00E12CC8" w:rsidRDefault="007E642F" w:rsidP="0087562C">
            <w:pPr>
              <w:pStyle w:val="Spiatonadresanaoblke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7DF9" w:rsidRPr="00BB7DF9" w:rsidRDefault="00BB7DF9" w:rsidP="00BB7DF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BB7DF9">
              <w:rPr>
                <w:sz w:val="24"/>
              </w:rPr>
              <w:t xml:space="preserve"> V § 126 ods. 1 prvej vete sa za slová „na inovatívnu liečbu“ vkladá čiarka a slová „správnej praxe dohľadu nad bezpečnosťou  humánnych liekov“.</w:t>
            </w:r>
          </w:p>
          <w:p w:rsidR="002E6AFA" w:rsidRDefault="002E6AFA" w:rsidP="00BB7DF9">
            <w:pPr>
              <w:pStyle w:val="Odsekzoznamu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2E6AFA" w:rsidRPr="00EE0ADB" w:rsidRDefault="002E6AFA" w:rsidP="002E6AFA">
            <w:pPr>
              <w:rPr>
                <w:sz w:val="24"/>
              </w:rPr>
            </w:pPr>
          </w:p>
          <w:p w:rsidR="004E7777" w:rsidRPr="00EE0ADB" w:rsidRDefault="002E6AFA" w:rsidP="004E7777">
            <w:pPr>
              <w:rPr>
                <w:sz w:val="24"/>
              </w:rPr>
            </w:pPr>
            <w:r w:rsidRPr="00EE0ADB">
              <w:rPr>
                <w:sz w:val="24"/>
              </w:rPr>
              <w:t xml:space="preserve">2. </w:t>
            </w:r>
            <w:r w:rsidR="004E7777" w:rsidRPr="00EE0ADB">
              <w:rPr>
                <w:sz w:val="24"/>
              </w:rPr>
              <w:t>V § 126 sa odsek 2 dopĺňa písmenami h) a i), ktoré znejú:</w:t>
            </w:r>
          </w:p>
          <w:p w:rsidR="004E7777" w:rsidRPr="00EE0ADB" w:rsidRDefault="004E7777" w:rsidP="004E7777">
            <w:pPr>
              <w:rPr>
                <w:sz w:val="24"/>
              </w:rPr>
            </w:pPr>
            <w:r w:rsidRPr="00EE0ADB">
              <w:rPr>
                <w:sz w:val="24"/>
              </w:rPr>
              <w:t>„ h) v mieste uloženia hlavnej zložky systému dohľadu nad bezpečnosťou humánnych liekov alebo v mieste, kde držiteľ registrácie humánneho lieku vykonáva dohľad nad bezpečnosťou humánnych liekov, napríklad u zmluvných partnerov, ak im držiteľ registrácie humánneho lieku dohľad nad bezpečnosťou humánnych liekov delegoval,</w:t>
            </w:r>
          </w:p>
          <w:p w:rsidR="007E642F" w:rsidRPr="00EE0ADB" w:rsidRDefault="007E642F" w:rsidP="002E6AFA">
            <w:pPr>
              <w:rPr>
                <w:sz w:val="24"/>
              </w:rPr>
            </w:pPr>
          </w:p>
          <w:p w:rsidR="0039578F" w:rsidRPr="00EE0ADB" w:rsidRDefault="0039578F" w:rsidP="002E6AFA">
            <w:pPr>
              <w:rPr>
                <w:sz w:val="24"/>
              </w:rPr>
            </w:pPr>
          </w:p>
          <w:p w:rsidR="0039578F" w:rsidRPr="00EE0ADB" w:rsidRDefault="0039578F" w:rsidP="002E6AFA">
            <w:pPr>
              <w:rPr>
                <w:sz w:val="24"/>
              </w:rPr>
            </w:pPr>
          </w:p>
          <w:p w:rsidR="0039578F" w:rsidRPr="00EE0ADB" w:rsidRDefault="0039578F" w:rsidP="002E6AFA">
            <w:pPr>
              <w:rPr>
                <w:sz w:val="24"/>
              </w:rPr>
            </w:pPr>
          </w:p>
          <w:p w:rsidR="0024342D" w:rsidRPr="00EE0ADB" w:rsidRDefault="0039578F" w:rsidP="0024342D">
            <w:pPr>
              <w:rPr>
                <w:sz w:val="24"/>
              </w:rPr>
            </w:pPr>
            <w:r w:rsidRPr="0039578F">
              <w:rPr>
                <w:sz w:val="24"/>
              </w:rPr>
              <w:t>3.</w:t>
            </w:r>
            <w:r w:rsidR="0024342D" w:rsidRPr="00EE0ADB">
              <w:rPr>
                <w:sz w:val="24"/>
              </w:rPr>
              <w:t>         V § 126 sa odsek 2 dopĺňa písmenami h) a i), ktoré znejú:</w:t>
            </w:r>
          </w:p>
          <w:p w:rsidR="0024342D" w:rsidRPr="00EE0ADB" w:rsidRDefault="0024342D" w:rsidP="0024342D">
            <w:pPr>
              <w:rPr>
                <w:sz w:val="24"/>
              </w:rPr>
            </w:pPr>
            <w:r w:rsidRPr="00EE0ADB">
              <w:rPr>
                <w:sz w:val="24"/>
              </w:rPr>
              <w:t>i)   u sprostredkovateľov nákupu alebo predaja humánneho lieku.“.</w:t>
            </w:r>
          </w:p>
          <w:p w:rsidR="0039578F" w:rsidRPr="00EE0ADB" w:rsidRDefault="0039578F" w:rsidP="0039578F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EE0ADB" w:rsidRPr="00EE0ADB" w:rsidRDefault="00EE0ADB" w:rsidP="0039578F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EE0ADB" w:rsidRPr="00EE0ADB" w:rsidRDefault="00EE0ADB" w:rsidP="0039578F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EE0ADB" w:rsidRPr="00EE0ADB" w:rsidRDefault="00EE0ADB" w:rsidP="0039578F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EE0ADB" w:rsidRPr="00EE0ADB" w:rsidRDefault="00EE0ADB" w:rsidP="0039578F">
            <w:pPr>
              <w:spacing w:before="50" w:after="50"/>
              <w:ind w:right="150"/>
              <w:jc w:val="both"/>
              <w:rPr>
                <w:sz w:val="24"/>
              </w:rPr>
            </w:pPr>
          </w:p>
          <w:p w:rsidR="00EE0ADB" w:rsidRPr="00EE0ADB" w:rsidRDefault="00EE0ADB" w:rsidP="0039578F">
            <w:pPr>
              <w:spacing w:before="50" w:after="50"/>
              <w:ind w:right="150"/>
              <w:jc w:val="both"/>
              <w:rPr>
                <w:sz w:val="24"/>
              </w:rPr>
            </w:pPr>
            <w:r w:rsidRPr="00EE0ADB">
              <w:rPr>
                <w:sz w:val="24"/>
              </w:rPr>
              <w:t>4. V § 126 ods. 8 prvej vete sa za slová „na inovatívnu liečbu“ vkladá čiarka a slová „ správnej klinickej praxe“.</w:t>
            </w:r>
          </w:p>
        </w:tc>
        <w:tc>
          <w:tcPr>
            <w:tcW w:w="425" w:type="dxa"/>
          </w:tcPr>
          <w:p w:rsidR="007E642F" w:rsidRPr="00E12CC8" w:rsidRDefault="007E642F" w:rsidP="00EC7998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</w:tcPr>
          <w:p w:rsidR="007E642F" w:rsidRPr="00E12CC8" w:rsidRDefault="007E642F" w:rsidP="0087562C">
            <w:pPr>
              <w:jc w:val="both"/>
              <w:rPr>
                <w:sz w:val="24"/>
              </w:rPr>
            </w:pPr>
          </w:p>
        </w:tc>
      </w:tr>
    </w:tbl>
    <w:p w:rsidR="00935A4F" w:rsidRDefault="00935A4F"/>
    <w:sectPr w:rsidR="0093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C1A"/>
    <w:multiLevelType w:val="hybridMultilevel"/>
    <w:tmpl w:val="EC7286FA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F19"/>
    <w:multiLevelType w:val="hybridMultilevel"/>
    <w:tmpl w:val="0EA8A2FA"/>
    <w:lvl w:ilvl="0" w:tplc="7B0856F2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F0666B"/>
    <w:multiLevelType w:val="hybridMultilevel"/>
    <w:tmpl w:val="1AB85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13985"/>
    <w:multiLevelType w:val="hybridMultilevel"/>
    <w:tmpl w:val="6A7A5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40"/>
    <w:rsid w:val="00016D16"/>
    <w:rsid w:val="0014224D"/>
    <w:rsid w:val="001B460B"/>
    <w:rsid w:val="00217ED4"/>
    <w:rsid w:val="0024342D"/>
    <w:rsid w:val="0025740F"/>
    <w:rsid w:val="002E6AFA"/>
    <w:rsid w:val="00326819"/>
    <w:rsid w:val="00364D74"/>
    <w:rsid w:val="00385DB9"/>
    <w:rsid w:val="0039578F"/>
    <w:rsid w:val="003F7D85"/>
    <w:rsid w:val="00406B1F"/>
    <w:rsid w:val="004E3FFF"/>
    <w:rsid w:val="004E7777"/>
    <w:rsid w:val="00510A4D"/>
    <w:rsid w:val="005A2B75"/>
    <w:rsid w:val="006B3740"/>
    <w:rsid w:val="007C034B"/>
    <w:rsid w:val="007E642F"/>
    <w:rsid w:val="00830D0D"/>
    <w:rsid w:val="008424BD"/>
    <w:rsid w:val="008B0154"/>
    <w:rsid w:val="00935A4F"/>
    <w:rsid w:val="00A52E1C"/>
    <w:rsid w:val="00B67084"/>
    <w:rsid w:val="00B83B20"/>
    <w:rsid w:val="00BB7DF9"/>
    <w:rsid w:val="00C56C20"/>
    <w:rsid w:val="00C675FD"/>
    <w:rsid w:val="00C94E07"/>
    <w:rsid w:val="00CC1FE0"/>
    <w:rsid w:val="00EC4129"/>
    <w:rsid w:val="00EC7998"/>
    <w:rsid w:val="00E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92A"/>
  <w15:chartTrackingRefBased/>
  <w15:docId w15:val="{5F4D7E39-1089-4191-B489-5775110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37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6B3740"/>
    <w:pPr>
      <w:keepNext/>
      <w:jc w:val="center"/>
      <w:outlineLvl w:val="6"/>
    </w:pPr>
    <w:rPr>
      <w:b/>
      <w:bCs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6B3740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6B37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6B374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Spiatonadresanaoblke">
    <w:name w:val="envelope return"/>
    <w:basedOn w:val="Normlny"/>
    <w:uiPriority w:val="99"/>
    <w:semiHidden/>
    <w:rsid w:val="006B3740"/>
    <w:rPr>
      <w:b/>
      <w:bCs/>
      <w:shadow/>
      <w:color w:val="000000"/>
      <w:sz w:val="20"/>
      <w:szCs w:val="20"/>
      <w:lang w:eastAsia="cs-CZ"/>
    </w:rPr>
  </w:style>
  <w:style w:type="character" w:customStyle="1" w:styleId="no-parag">
    <w:name w:val="no-parag"/>
    <w:basedOn w:val="Predvolenpsmoodseku"/>
    <w:rsid w:val="00EC7998"/>
  </w:style>
  <w:style w:type="character" w:styleId="Siln">
    <w:name w:val="Strong"/>
    <w:basedOn w:val="Predvolenpsmoodseku"/>
    <w:uiPriority w:val="22"/>
    <w:qFormat/>
    <w:rsid w:val="007E642F"/>
    <w:rPr>
      <w:b/>
      <w:bCs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3F7D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F7D85"/>
  </w:style>
  <w:style w:type="paragraph" w:customStyle="1" w:styleId="xxmsonormal">
    <w:name w:val="x_xmsonormal"/>
    <w:basedOn w:val="Normlny"/>
    <w:rsid w:val="003F7D8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Slaný Jozef</dc:creator>
  <cp:keywords/>
  <dc:description/>
  <cp:lastModifiedBy>Vincová Veronika</cp:lastModifiedBy>
  <cp:revision>3</cp:revision>
  <dcterms:created xsi:type="dcterms:W3CDTF">2022-11-29T11:21:00Z</dcterms:created>
  <dcterms:modified xsi:type="dcterms:W3CDTF">2023-02-09T09:51:00Z</dcterms:modified>
</cp:coreProperties>
</file>