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61ECF49C" w:rsidR="00054C41" w:rsidRPr="00E935CB" w:rsidRDefault="00054C41" w:rsidP="00E935CB">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E935CB">
        <w:rPr>
          <w:rFonts w:ascii="Times New Roman" w:eastAsia="Calibri" w:hAnsi="Times New Roman" w:cs="Times New Roman"/>
          <w:b/>
          <w:sz w:val="24"/>
          <w:szCs w:val="24"/>
        </w:rPr>
        <w:t xml:space="preserve"> </w:t>
      </w:r>
      <w:r w:rsidR="00E935CB" w:rsidRPr="00E935CB">
        <w:rPr>
          <w:rFonts w:ascii="Times New Roman" w:eastAsia="Calibri" w:hAnsi="Times New Roman" w:cs="Times New Roman"/>
          <w:sz w:val="24"/>
          <w:szCs w:val="24"/>
        </w:rPr>
        <w:t>(návrh) zákona z … 2023, ktorým sa mení a dopĺňa zákon č. 245/2008 Z. z. o výchove a vzdelávaní (školský zákon) a o zmene a doplnení niektorých zákonov v znení neskorších predpisov a ktorý</w:t>
      </w:r>
      <w:bookmarkStart w:id="0" w:name="_GoBack"/>
      <w:bookmarkEnd w:id="0"/>
      <w:r w:rsidR="00E935CB" w:rsidRPr="00E935CB">
        <w:rPr>
          <w:rFonts w:ascii="Times New Roman" w:eastAsia="Calibri" w:hAnsi="Times New Roman" w:cs="Times New Roman"/>
          <w:sz w:val="24"/>
          <w:szCs w:val="24"/>
        </w:rPr>
        <w:t>m sa menia a dopĺňajú niektoré zákony</w:t>
      </w:r>
    </w:p>
    <w:p w14:paraId="77F96BF6" w14:textId="65BA6913"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E935CB">
        <w:rPr>
          <w:rFonts w:ascii="Times New Roman" w:eastAsia="Calibri" w:hAnsi="Times New Roman" w:cs="Times New Roman"/>
          <w:b/>
          <w:sz w:val="24"/>
          <w:szCs w:val="24"/>
        </w:rPr>
        <w:t xml:space="preserve"> </w:t>
      </w:r>
      <w:r w:rsidR="00E935CB" w:rsidRPr="00E935CB">
        <w:rPr>
          <w:rFonts w:ascii="Times New Roman" w:eastAsia="Calibri" w:hAnsi="Times New Roman" w:cs="Times New Roman"/>
          <w:sz w:val="24"/>
          <w:szCs w:val="24"/>
        </w:rPr>
        <w:t>Ministerstvo školstva, vedy, výskumu a šport S</w:t>
      </w:r>
      <w:r w:rsidR="00E935CB">
        <w:rPr>
          <w:rFonts w:ascii="Times New Roman" w:eastAsia="Calibri" w:hAnsi="Times New Roman" w:cs="Times New Roman"/>
          <w:sz w:val="24"/>
          <w:szCs w:val="24"/>
        </w:rPr>
        <w:t xml:space="preserve">lovenskej republiky </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D24669" w:rsidRDefault="00054C41" w:rsidP="00142154">
            <w:pPr>
              <w:jc w:val="center"/>
              <w:rPr>
                <w:rFonts w:ascii="Times New Roman" w:eastAsia="Calibri" w:hAnsi="Times New Roman" w:cs="Times New Roman"/>
                <w:i/>
                <w:sz w:val="20"/>
              </w:rPr>
            </w:pPr>
            <w:r w:rsidRPr="00D24669">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5890A2A1" w14:textId="77777777" w:rsidTr="00DC059F">
        <w:tc>
          <w:tcPr>
            <w:tcW w:w="3681" w:type="dxa"/>
          </w:tcPr>
          <w:p w14:paraId="470A575F"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vAlign w:val="center"/>
          </w:tcPr>
          <w:p w14:paraId="72C6ABCE" w14:textId="0CAFDDD4" w:rsidR="000C2133" w:rsidRPr="000C2133" w:rsidRDefault="000C2133" w:rsidP="000C2133">
            <w:pPr>
              <w:jc w:val="center"/>
              <w:rPr>
                <w:rFonts w:ascii="Times New Roman" w:eastAsia="Calibri" w:hAnsi="Times New Roman" w:cs="Times New Roman"/>
                <w:i/>
                <w:sz w:val="20"/>
              </w:rPr>
            </w:pPr>
            <w:r w:rsidRPr="000C2133">
              <w:rPr>
                <w:rFonts w:ascii="Times New Roman" w:hAnsi="Times New Roman" w:cs="Times New Roman"/>
                <w:b/>
                <w:bCs/>
                <w:color w:val="000000"/>
                <w:sz w:val="20"/>
                <w:szCs w:val="20"/>
              </w:rPr>
              <w:t>105 385</w:t>
            </w:r>
          </w:p>
        </w:tc>
        <w:tc>
          <w:tcPr>
            <w:tcW w:w="2693" w:type="dxa"/>
            <w:shd w:val="clear" w:color="auto" w:fill="92D050"/>
          </w:tcPr>
          <w:p w14:paraId="4AB9E4F0" w14:textId="77777777" w:rsidR="000C2133" w:rsidRPr="00895898" w:rsidRDefault="000C2133" w:rsidP="000C213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1915EE9C" w14:textId="77777777" w:rsidTr="00DC059F">
        <w:tc>
          <w:tcPr>
            <w:tcW w:w="3681" w:type="dxa"/>
          </w:tcPr>
          <w:p w14:paraId="3FBBD35B"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14:paraId="23A80DDF" w14:textId="412449AA" w:rsidR="000C2133" w:rsidRPr="000C2133" w:rsidRDefault="000C2133" w:rsidP="000C2133">
            <w:pPr>
              <w:jc w:val="center"/>
              <w:rPr>
                <w:rFonts w:ascii="Times New Roman" w:eastAsia="Calibri" w:hAnsi="Times New Roman" w:cs="Times New Roman"/>
                <w:i/>
                <w:sz w:val="20"/>
              </w:rPr>
            </w:pPr>
            <w:r w:rsidRPr="000C2133">
              <w:rPr>
                <w:rFonts w:ascii="Times New Roman" w:hAnsi="Times New Roman" w:cs="Times New Roman"/>
                <w:b/>
                <w:bCs/>
                <w:color w:val="000000"/>
                <w:sz w:val="20"/>
                <w:szCs w:val="20"/>
              </w:rPr>
              <w:t>460 477</w:t>
            </w:r>
          </w:p>
        </w:tc>
        <w:tc>
          <w:tcPr>
            <w:tcW w:w="2693" w:type="dxa"/>
            <w:shd w:val="clear" w:color="auto" w:fill="92D050"/>
          </w:tcPr>
          <w:p w14:paraId="0128E641" w14:textId="77777777" w:rsidR="000C2133" w:rsidRPr="00895898" w:rsidRDefault="000C2133" w:rsidP="000C213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784F8A51" w14:textId="77777777" w:rsidTr="00DC059F">
        <w:tc>
          <w:tcPr>
            <w:tcW w:w="3681" w:type="dxa"/>
          </w:tcPr>
          <w:p w14:paraId="796F837A" w14:textId="77777777" w:rsidR="000C2133" w:rsidRPr="00895898" w:rsidRDefault="000C2133" w:rsidP="000C2133">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14:paraId="4613DC7D" w14:textId="0E655B86"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565 862</w:t>
            </w:r>
          </w:p>
        </w:tc>
        <w:tc>
          <w:tcPr>
            <w:tcW w:w="2693" w:type="dxa"/>
            <w:shd w:val="clear" w:color="auto" w:fill="92D050"/>
          </w:tcPr>
          <w:p w14:paraId="02FE7EB5" w14:textId="77777777" w:rsidR="000C2133" w:rsidRPr="00895898" w:rsidRDefault="000C2133" w:rsidP="000C2133">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C2133" w:rsidRPr="00895898" w14:paraId="4440B6DF" w14:textId="77777777" w:rsidTr="00DC059F">
        <w:tc>
          <w:tcPr>
            <w:tcW w:w="3681" w:type="dxa"/>
          </w:tcPr>
          <w:p w14:paraId="1E7A37D9" w14:textId="05E931F4" w:rsidR="000C2133" w:rsidRPr="00895898" w:rsidRDefault="000C2133" w:rsidP="000C2133">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vAlign w:val="center"/>
          </w:tcPr>
          <w:p w14:paraId="51BD31F5" w14:textId="5D7FA7E5"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 </w:t>
            </w:r>
          </w:p>
        </w:tc>
        <w:tc>
          <w:tcPr>
            <w:tcW w:w="2693" w:type="dxa"/>
            <w:shd w:val="clear" w:color="auto" w:fill="92D050"/>
          </w:tcPr>
          <w:p w14:paraId="623271B2" w14:textId="77777777" w:rsidR="000C2133" w:rsidRPr="00895898" w:rsidRDefault="000C2133" w:rsidP="000C2133">
            <w:pPr>
              <w:jc w:val="center"/>
              <w:rPr>
                <w:rFonts w:ascii="Times New Roman" w:eastAsia="Calibri" w:hAnsi="Times New Roman" w:cs="Times New Roman"/>
                <w:b/>
                <w:i/>
                <w:sz w:val="20"/>
              </w:rPr>
            </w:pPr>
          </w:p>
        </w:tc>
      </w:tr>
      <w:tr w:rsidR="000C2133" w:rsidRPr="00895898" w14:paraId="5592CF42" w14:textId="77777777" w:rsidTr="00DC059F">
        <w:tc>
          <w:tcPr>
            <w:tcW w:w="3681" w:type="dxa"/>
          </w:tcPr>
          <w:p w14:paraId="01B4507F"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vAlign w:val="center"/>
          </w:tcPr>
          <w:p w14:paraId="7D80D68C" w14:textId="3FE636BD"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565 862</w:t>
            </w:r>
          </w:p>
        </w:tc>
        <w:tc>
          <w:tcPr>
            <w:tcW w:w="2693" w:type="dxa"/>
            <w:shd w:val="clear" w:color="auto" w:fill="92D050"/>
          </w:tcPr>
          <w:p w14:paraId="52B3C4D4" w14:textId="77777777" w:rsidR="000C2133" w:rsidRPr="00895898" w:rsidRDefault="000C2133" w:rsidP="000C213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6D3F543B" w:rsidR="00054C41" w:rsidRPr="00BE2DD9" w:rsidRDefault="000C2133" w:rsidP="00B66232">
            <w:pPr>
              <w:jc w:val="center"/>
              <w:rPr>
                <w:rFonts w:ascii="Times New Roman" w:hAnsi="Times New Roman" w:cs="Times New Roman"/>
                <w:b/>
                <w:bCs/>
                <w:color w:val="000000"/>
                <w:sz w:val="20"/>
                <w:szCs w:val="20"/>
              </w:rPr>
            </w:pPr>
            <w:r w:rsidRPr="000C2133">
              <w:rPr>
                <w:rFonts w:ascii="Times New Roman" w:hAnsi="Times New Roman" w:cs="Times New Roman"/>
                <w:b/>
                <w:bCs/>
                <w:color w:val="000000"/>
                <w:sz w:val="20"/>
                <w:szCs w:val="20"/>
              </w:rPr>
              <w:t>565 862</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232"/>
        <w:gridCol w:w="1036"/>
        <w:gridCol w:w="1129"/>
        <w:gridCol w:w="1282"/>
        <w:gridCol w:w="1368"/>
        <w:gridCol w:w="1315"/>
        <w:gridCol w:w="974"/>
        <w:gridCol w:w="974"/>
        <w:gridCol w:w="982"/>
        <w:gridCol w:w="992"/>
        <w:gridCol w:w="1085"/>
      </w:tblGrid>
      <w:tr w:rsidR="00525BD7" w:rsidRPr="00895898" w14:paraId="10CEFB11" w14:textId="77777777" w:rsidTr="00CE1504">
        <w:trPr>
          <w:trHeight w:val="1885"/>
        </w:trPr>
        <w:tc>
          <w:tcPr>
            <w:tcW w:w="492"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232"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6"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82"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1368"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15"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85"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223157" w:rsidRPr="00C81508" w14:paraId="11758B9A" w14:textId="77777777" w:rsidTr="00D87B00">
        <w:trPr>
          <w:trHeight w:val="612"/>
        </w:trPr>
        <w:tc>
          <w:tcPr>
            <w:tcW w:w="492" w:type="dxa"/>
            <w:vAlign w:val="center"/>
          </w:tcPr>
          <w:p w14:paraId="6F827851" w14:textId="1C18CF74"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eastAsia="Times New Roman" w:hAnsi="Times New Roman" w:cs="Times New Roman"/>
                <w:sz w:val="20"/>
                <w:szCs w:val="20"/>
                <w:lang w:eastAsia="sk-SK"/>
              </w:rPr>
              <w:t>1.</w:t>
            </w:r>
          </w:p>
        </w:tc>
        <w:tc>
          <w:tcPr>
            <w:tcW w:w="3232" w:type="dxa"/>
            <w:shd w:val="clear" w:color="auto" w:fill="auto"/>
            <w:vAlign w:val="center"/>
          </w:tcPr>
          <w:p w14:paraId="7B4E9DA7" w14:textId="5FB7F701"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Administratívna záťaž pre súkromných zriaďovateľov v súvislosti s novými úpravami.</w:t>
            </w:r>
          </w:p>
        </w:tc>
        <w:tc>
          <w:tcPr>
            <w:tcW w:w="1036" w:type="dxa"/>
            <w:vAlign w:val="center"/>
          </w:tcPr>
          <w:p w14:paraId="120314F8" w14:textId="21C706F7"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Zákon č. 245/2008 </w:t>
            </w:r>
            <w:proofErr w:type="spellStart"/>
            <w:r w:rsidRPr="00C81508">
              <w:rPr>
                <w:rFonts w:ascii="Times New Roman" w:hAnsi="Times New Roman" w:cs="Times New Roman"/>
                <w:color w:val="000000"/>
                <w:sz w:val="20"/>
                <w:szCs w:val="20"/>
              </w:rPr>
              <w:t>Z.z</w:t>
            </w:r>
            <w:proofErr w:type="spellEnd"/>
            <w:r w:rsidRPr="00C81508">
              <w:rPr>
                <w:rFonts w:ascii="Times New Roman" w:hAnsi="Times New Roman" w:cs="Times New Roman"/>
                <w:color w:val="000000"/>
                <w:sz w:val="20"/>
                <w:szCs w:val="20"/>
              </w:rPr>
              <w:t>.</w:t>
            </w:r>
          </w:p>
        </w:tc>
        <w:tc>
          <w:tcPr>
            <w:tcW w:w="1129" w:type="dxa"/>
            <w:shd w:val="clear" w:color="auto" w:fill="auto"/>
            <w:vAlign w:val="center"/>
          </w:tcPr>
          <w:p w14:paraId="1B4826F8" w14:textId="4F612D00"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Nový § 145a a nový § 145b</w:t>
            </w:r>
          </w:p>
        </w:tc>
        <w:tc>
          <w:tcPr>
            <w:tcW w:w="1282" w:type="dxa"/>
            <w:vAlign w:val="center"/>
          </w:tcPr>
          <w:p w14:paraId="3A0BA666" w14:textId="79994A89"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SK</w:t>
            </w:r>
          </w:p>
        </w:tc>
        <w:tc>
          <w:tcPr>
            <w:tcW w:w="1368" w:type="dxa"/>
            <w:shd w:val="clear" w:color="auto" w:fill="auto"/>
            <w:noWrap/>
            <w:vAlign w:val="center"/>
          </w:tcPr>
          <w:p w14:paraId="6BFB7AA2" w14:textId="4ACC0E30"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01.09.23</w:t>
            </w:r>
          </w:p>
        </w:tc>
        <w:tc>
          <w:tcPr>
            <w:tcW w:w="1315" w:type="dxa"/>
            <w:vAlign w:val="center"/>
          </w:tcPr>
          <w:p w14:paraId="299C820D" w14:textId="3D63546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Zriaďovatelia súkromných škôl</w:t>
            </w:r>
          </w:p>
        </w:tc>
        <w:tc>
          <w:tcPr>
            <w:tcW w:w="974" w:type="dxa"/>
            <w:shd w:val="clear" w:color="auto" w:fill="auto"/>
            <w:noWrap/>
            <w:vAlign w:val="center"/>
          </w:tcPr>
          <w:p w14:paraId="74360775" w14:textId="5EA6A6F2"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375 </w:t>
            </w:r>
          </w:p>
        </w:tc>
        <w:tc>
          <w:tcPr>
            <w:tcW w:w="974" w:type="dxa"/>
            <w:shd w:val="clear" w:color="auto" w:fill="auto"/>
            <w:noWrap/>
            <w:vAlign w:val="center"/>
          </w:tcPr>
          <w:p w14:paraId="57C9126E" w14:textId="79C3FC23"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375 </w:t>
            </w:r>
          </w:p>
        </w:tc>
        <w:tc>
          <w:tcPr>
            <w:tcW w:w="982" w:type="dxa"/>
            <w:shd w:val="clear" w:color="auto" w:fill="auto"/>
            <w:noWrap/>
            <w:vAlign w:val="center"/>
          </w:tcPr>
          <w:p w14:paraId="57D4FAC6" w14:textId="72C9AF8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1 228</w:t>
            </w:r>
          </w:p>
        </w:tc>
        <w:tc>
          <w:tcPr>
            <w:tcW w:w="992" w:type="dxa"/>
            <w:shd w:val="clear" w:color="auto" w:fill="auto"/>
            <w:noWrap/>
            <w:vAlign w:val="center"/>
          </w:tcPr>
          <w:p w14:paraId="20A55E97" w14:textId="7F9174F0"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460 477</w:t>
            </w:r>
          </w:p>
        </w:tc>
        <w:tc>
          <w:tcPr>
            <w:tcW w:w="1085" w:type="dxa"/>
            <w:vAlign w:val="center"/>
          </w:tcPr>
          <w:p w14:paraId="032A8679" w14:textId="55A75CD5"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In (zvyšuje náklady)</w:t>
            </w:r>
          </w:p>
        </w:tc>
      </w:tr>
      <w:tr w:rsidR="00223157" w:rsidRPr="00C81508" w14:paraId="3E85FB6C" w14:textId="77777777" w:rsidTr="00D87B00">
        <w:trPr>
          <w:trHeight w:val="600"/>
        </w:trPr>
        <w:tc>
          <w:tcPr>
            <w:tcW w:w="492" w:type="dxa"/>
            <w:vAlign w:val="center"/>
          </w:tcPr>
          <w:p w14:paraId="65795CE6" w14:textId="5A651DB5"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eastAsia="Times New Roman" w:hAnsi="Times New Roman" w:cs="Times New Roman"/>
                <w:sz w:val="20"/>
                <w:szCs w:val="20"/>
                <w:lang w:eastAsia="sk-SK"/>
              </w:rPr>
              <w:t xml:space="preserve">2. </w:t>
            </w:r>
          </w:p>
        </w:tc>
        <w:tc>
          <w:tcPr>
            <w:tcW w:w="3232" w:type="dxa"/>
            <w:shd w:val="clear" w:color="auto" w:fill="auto"/>
            <w:vAlign w:val="center"/>
          </w:tcPr>
          <w:p w14:paraId="7BEDDF1C" w14:textId="16C3F6A9"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Zvýšené riziko odhlásenia sa dieťaťa/žiaka so špeciálnymi výchovno-vzdelávacími potrebami zo súkromnej školy v prípade, že súkromná škola nebude vedieť poskytnúť nárokované podporné opatrenia.</w:t>
            </w:r>
          </w:p>
        </w:tc>
        <w:tc>
          <w:tcPr>
            <w:tcW w:w="1036" w:type="dxa"/>
            <w:vAlign w:val="center"/>
          </w:tcPr>
          <w:p w14:paraId="6F95232A" w14:textId="342E673E"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Zákon č. 245/2008 </w:t>
            </w:r>
            <w:proofErr w:type="spellStart"/>
            <w:r w:rsidRPr="00C81508">
              <w:rPr>
                <w:rFonts w:ascii="Times New Roman" w:hAnsi="Times New Roman" w:cs="Times New Roman"/>
                <w:color w:val="000000"/>
                <w:sz w:val="20"/>
                <w:szCs w:val="20"/>
              </w:rPr>
              <w:t>Z.z</w:t>
            </w:r>
            <w:proofErr w:type="spellEnd"/>
            <w:r w:rsidRPr="00C81508">
              <w:rPr>
                <w:rFonts w:ascii="Times New Roman" w:hAnsi="Times New Roman" w:cs="Times New Roman"/>
                <w:color w:val="000000"/>
                <w:sz w:val="20"/>
                <w:szCs w:val="20"/>
              </w:rPr>
              <w:t>.</w:t>
            </w:r>
          </w:p>
        </w:tc>
        <w:tc>
          <w:tcPr>
            <w:tcW w:w="1129" w:type="dxa"/>
            <w:shd w:val="clear" w:color="auto" w:fill="auto"/>
            <w:vAlign w:val="center"/>
          </w:tcPr>
          <w:p w14:paraId="4772F4F9" w14:textId="4FD22AA1"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Nový § 145a a nový § 145b</w:t>
            </w:r>
          </w:p>
        </w:tc>
        <w:tc>
          <w:tcPr>
            <w:tcW w:w="1282" w:type="dxa"/>
            <w:vAlign w:val="center"/>
          </w:tcPr>
          <w:p w14:paraId="202CD1E5" w14:textId="1EAC3F92"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SK</w:t>
            </w:r>
          </w:p>
        </w:tc>
        <w:tc>
          <w:tcPr>
            <w:tcW w:w="1368" w:type="dxa"/>
            <w:shd w:val="clear" w:color="auto" w:fill="auto"/>
            <w:noWrap/>
            <w:vAlign w:val="center"/>
          </w:tcPr>
          <w:p w14:paraId="727D0512" w14:textId="5BF27765"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01.09.23</w:t>
            </w:r>
          </w:p>
        </w:tc>
        <w:tc>
          <w:tcPr>
            <w:tcW w:w="1315" w:type="dxa"/>
            <w:vAlign w:val="center"/>
          </w:tcPr>
          <w:p w14:paraId="41387D4C" w14:textId="1C047F02"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Zriaďovatelia súkromných škôl</w:t>
            </w:r>
          </w:p>
        </w:tc>
        <w:tc>
          <w:tcPr>
            <w:tcW w:w="974" w:type="dxa"/>
            <w:shd w:val="clear" w:color="auto" w:fill="auto"/>
            <w:noWrap/>
            <w:vAlign w:val="center"/>
          </w:tcPr>
          <w:p w14:paraId="2F2BACE5" w14:textId="6E775ACD"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35 </w:t>
            </w:r>
          </w:p>
        </w:tc>
        <w:tc>
          <w:tcPr>
            <w:tcW w:w="974" w:type="dxa"/>
            <w:shd w:val="clear" w:color="auto" w:fill="auto"/>
            <w:noWrap/>
            <w:vAlign w:val="center"/>
          </w:tcPr>
          <w:p w14:paraId="39949054" w14:textId="768BC013"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 xml:space="preserve">                     35 </w:t>
            </w:r>
          </w:p>
        </w:tc>
        <w:tc>
          <w:tcPr>
            <w:tcW w:w="982" w:type="dxa"/>
            <w:shd w:val="clear" w:color="auto" w:fill="auto"/>
            <w:noWrap/>
            <w:vAlign w:val="center"/>
          </w:tcPr>
          <w:p w14:paraId="1371B6C4" w14:textId="490703A0"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3 011</w:t>
            </w:r>
          </w:p>
        </w:tc>
        <w:tc>
          <w:tcPr>
            <w:tcW w:w="992" w:type="dxa"/>
            <w:shd w:val="clear" w:color="auto" w:fill="auto"/>
            <w:noWrap/>
            <w:vAlign w:val="center"/>
          </w:tcPr>
          <w:p w14:paraId="0C7D454A" w14:textId="319F6041"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105 385</w:t>
            </w:r>
          </w:p>
        </w:tc>
        <w:tc>
          <w:tcPr>
            <w:tcW w:w="1085" w:type="dxa"/>
            <w:vAlign w:val="center"/>
          </w:tcPr>
          <w:p w14:paraId="3CD7D152" w14:textId="1BA4E80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In (zvyšuje náklady), resp. zníženie príjmov</w:t>
            </w:r>
          </w:p>
        </w:tc>
      </w:tr>
      <w:tr w:rsidR="00525BD7" w:rsidRPr="00895898" w14:paraId="0922CA33" w14:textId="77777777" w:rsidTr="00CE1504">
        <w:trPr>
          <w:trHeight w:val="600"/>
        </w:trPr>
        <w:tc>
          <w:tcPr>
            <w:tcW w:w="492" w:type="dxa"/>
            <w:vAlign w:val="center"/>
          </w:tcPr>
          <w:p w14:paraId="350B46C3" w14:textId="25752AE0"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0CA6693B" w14:textId="18EBF19B"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671FAD5C" w14:textId="766B997B"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DDBDAF3"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59119F88" w14:textId="1FDD0A2B"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14220C43" w14:textId="162EE392"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793D105F" w14:textId="145B85F6"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A7ADFC5" w14:textId="5A6BF02B" w:rsidR="00525BD7" w:rsidRPr="00895898" w:rsidRDefault="00525BD7" w:rsidP="00525BD7">
            <w:pPr>
              <w:spacing w:after="0" w:line="240" w:lineRule="auto"/>
              <w:rPr>
                <w:rFonts w:ascii="Times New Roman" w:eastAsia="Times New Roman" w:hAnsi="Times New Roman" w:cs="Times New Roman"/>
                <w:sz w:val="20"/>
                <w:szCs w:val="20"/>
                <w:lang w:eastAsia="sk-SK"/>
              </w:rPr>
            </w:pPr>
          </w:p>
          <w:p w14:paraId="36AA08E5" w14:textId="61E03EFF"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749B6947"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r w:rsidR="00525BD7" w:rsidRPr="00895898" w14:paraId="14F4C8F0" w14:textId="77777777" w:rsidTr="00CE1504">
        <w:trPr>
          <w:trHeight w:val="600"/>
        </w:trPr>
        <w:tc>
          <w:tcPr>
            <w:tcW w:w="492" w:type="dxa"/>
            <w:vAlign w:val="center"/>
          </w:tcPr>
          <w:p w14:paraId="16B3AE51"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06331E37" w14:textId="6AE656E2"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721ACDB6" w14:textId="427DB06E"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022AE41C"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478252F3" w14:textId="44155A02"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6DB51E86" w14:textId="52A94DAA"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5860EA3F" w14:textId="0D5A0CCA"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6B85F6CD"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0CF10260"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r w:rsidR="00525BD7" w:rsidRPr="00895898" w14:paraId="16C58F86" w14:textId="77777777" w:rsidTr="00CE1504">
        <w:trPr>
          <w:trHeight w:val="600"/>
        </w:trPr>
        <w:tc>
          <w:tcPr>
            <w:tcW w:w="492" w:type="dxa"/>
            <w:vAlign w:val="center"/>
          </w:tcPr>
          <w:p w14:paraId="0DCD4B2C"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17C9A25D"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2D669949"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04A31097"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7EC031BD"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2E412B67"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5C67D790"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2D4A5E1E"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77DF42D1" w14:textId="77777777" w:rsidR="00CE1504" w:rsidRDefault="00CE1504" w:rsidP="00054C41">
      <w:pPr>
        <w:jc w:val="both"/>
        <w:rPr>
          <w:rFonts w:ascii="Times New Roman" w:eastAsia="Calibri" w:hAnsi="Times New Roman" w:cs="Times New Roman"/>
          <w:bCs/>
          <w:iCs/>
          <w:color w:val="000000"/>
          <w:sz w:val="24"/>
          <w:szCs w:val="24"/>
        </w:rPr>
      </w:pPr>
    </w:p>
    <w:p w14:paraId="571A92E1" w14:textId="54D7775C" w:rsidR="00CE1504" w:rsidRPr="00CE1504" w:rsidRDefault="00CE1504" w:rsidP="00054C41">
      <w:pPr>
        <w:jc w:val="both"/>
        <w:rPr>
          <w:rFonts w:ascii="Times New Roman" w:eastAsia="Calibri" w:hAnsi="Times New Roman" w:cs="Times New Roman"/>
          <w:bCs/>
          <w:iCs/>
          <w:color w:val="000000"/>
          <w:sz w:val="24"/>
          <w:szCs w:val="24"/>
          <w:u w:val="single"/>
        </w:rPr>
      </w:pPr>
      <w:r w:rsidRPr="00CE1504">
        <w:rPr>
          <w:rFonts w:ascii="Times New Roman" w:eastAsia="Calibri" w:hAnsi="Times New Roman" w:cs="Times New Roman"/>
          <w:bCs/>
          <w:iCs/>
          <w:color w:val="000000"/>
          <w:sz w:val="24"/>
          <w:szCs w:val="24"/>
          <w:u w:val="single"/>
        </w:rPr>
        <w:t>P</w:t>
      </w:r>
      <w:r w:rsidR="007372CD">
        <w:rPr>
          <w:rFonts w:ascii="Times New Roman" w:eastAsia="Calibri" w:hAnsi="Times New Roman" w:cs="Times New Roman"/>
          <w:bCs/>
          <w:iCs/>
          <w:color w:val="000000"/>
          <w:sz w:val="24"/>
          <w:szCs w:val="24"/>
          <w:u w:val="single"/>
        </w:rPr>
        <w:t>ríspevok na p</w:t>
      </w:r>
      <w:r w:rsidRPr="00CE1504">
        <w:rPr>
          <w:rFonts w:ascii="Times New Roman" w:eastAsia="Calibri" w:hAnsi="Times New Roman" w:cs="Times New Roman"/>
          <w:bCs/>
          <w:iCs/>
          <w:color w:val="000000"/>
          <w:sz w:val="24"/>
          <w:szCs w:val="24"/>
          <w:u w:val="single"/>
        </w:rPr>
        <w:t>odporné opatrenia vo výchove a vzdelávaní</w:t>
      </w:r>
    </w:p>
    <w:p w14:paraId="1C67EE1C" w14:textId="267BEB05" w:rsidR="00C540BD" w:rsidRDefault="00C540BD"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Navrhovanou novelou školského zákona sa zavádza nový systém podporných opatrení vo výchove a vzdelávaní a nový príspevok na podporné opatrenia, ktorý bude hradený zo štátneho rozpočtu </w:t>
      </w:r>
      <w:r w:rsidR="004D16D6">
        <w:rPr>
          <w:rFonts w:ascii="Times New Roman" w:eastAsia="Calibri" w:hAnsi="Times New Roman" w:cs="Times New Roman"/>
          <w:bCs/>
          <w:iCs/>
          <w:color w:val="000000"/>
          <w:sz w:val="24"/>
          <w:szCs w:val="24"/>
        </w:rPr>
        <w:t>a bude pre školy a školské zariadenia účelovo viazaný na poskytovanie podporných opatrení (viac k príspevku na podporné opatrenia nižšie v kapitole 3.4).</w:t>
      </w:r>
    </w:p>
    <w:p w14:paraId="72D5DEF5" w14:textId="35521013" w:rsidR="004D16D6" w:rsidRPr="007B024D" w:rsidRDefault="004D16D6" w:rsidP="00054C41">
      <w:pPr>
        <w:jc w:val="both"/>
        <w:rPr>
          <w:rFonts w:ascii="Times New Roman" w:eastAsia="Calibri" w:hAnsi="Times New Roman" w:cs="Times New Roman"/>
          <w:iCs/>
          <w:sz w:val="24"/>
          <w:szCs w:val="24"/>
        </w:rPr>
      </w:pPr>
      <w:r>
        <w:rPr>
          <w:rFonts w:ascii="Times New Roman" w:eastAsia="Calibri" w:hAnsi="Times New Roman" w:cs="Times New Roman"/>
          <w:bCs/>
          <w:iCs/>
          <w:color w:val="000000"/>
          <w:sz w:val="24"/>
          <w:szCs w:val="24"/>
        </w:rPr>
        <w:t xml:space="preserve">V rámci návrhu novely boli identifikované dva </w:t>
      </w:r>
      <w:r w:rsidRPr="004D16D6">
        <w:rPr>
          <w:rFonts w:ascii="Times New Roman" w:eastAsia="Calibri" w:hAnsi="Times New Roman" w:cs="Times New Roman"/>
          <w:iCs/>
          <w:sz w:val="24"/>
          <w:szCs w:val="24"/>
        </w:rPr>
        <w:t>vplyv</w:t>
      </w:r>
      <w:r>
        <w:rPr>
          <w:rFonts w:ascii="Times New Roman" w:eastAsia="Calibri" w:hAnsi="Times New Roman" w:cs="Times New Roman"/>
          <w:iCs/>
          <w:sz w:val="24"/>
          <w:szCs w:val="24"/>
        </w:rPr>
        <w:t>y</w:t>
      </w:r>
      <w:r w:rsidRPr="004D16D6">
        <w:rPr>
          <w:rFonts w:ascii="Times New Roman" w:eastAsia="Calibri" w:hAnsi="Times New Roman" w:cs="Times New Roman"/>
          <w:iCs/>
          <w:sz w:val="24"/>
          <w:szCs w:val="24"/>
        </w:rPr>
        <w:t xml:space="preserve"> regulácií na zmeny v nákladoch podnikateľov</w:t>
      </w:r>
      <w:r>
        <w:rPr>
          <w:rFonts w:ascii="Times New Roman" w:eastAsia="Calibri" w:hAnsi="Times New Roman" w:cs="Times New Roman"/>
          <w:iCs/>
          <w:sz w:val="24"/>
          <w:szCs w:val="24"/>
        </w:rPr>
        <w:t xml:space="preserve">. Obe sa týkajú iba zriaďovateľov súkromných škôl a školských zariadení, pričom v súčasnosti </w:t>
      </w:r>
      <w:r w:rsidR="008E12B9">
        <w:rPr>
          <w:rFonts w:ascii="Times New Roman" w:eastAsia="Calibri" w:hAnsi="Times New Roman" w:cs="Times New Roman"/>
          <w:iCs/>
          <w:sz w:val="24"/>
          <w:szCs w:val="24"/>
        </w:rPr>
        <w:t xml:space="preserve">je </w:t>
      </w:r>
      <w:r>
        <w:rPr>
          <w:rFonts w:ascii="Times New Roman" w:eastAsia="Calibri" w:hAnsi="Times New Roman" w:cs="Times New Roman"/>
          <w:iCs/>
          <w:sz w:val="24"/>
          <w:szCs w:val="24"/>
        </w:rPr>
        <w:t>v SR 500</w:t>
      </w:r>
      <w:r w:rsidR="008E12B9">
        <w:rPr>
          <w:rFonts w:ascii="Times New Roman" w:eastAsia="Calibri" w:hAnsi="Times New Roman" w:cs="Times New Roman"/>
          <w:iCs/>
          <w:sz w:val="24"/>
          <w:szCs w:val="24"/>
        </w:rPr>
        <w:t xml:space="preserve"> súkromných </w:t>
      </w:r>
      <w:r w:rsidR="008E12B9" w:rsidRPr="007B024D">
        <w:rPr>
          <w:rFonts w:ascii="Times New Roman" w:eastAsia="Calibri" w:hAnsi="Times New Roman" w:cs="Times New Roman"/>
          <w:iCs/>
          <w:sz w:val="24"/>
          <w:szCs w:val="24"/>
        </w:rPr>
        <w:t>škôl</w:t>
      </w:r>
      <w:r w:rsidRPr="007B024D">
        <w:rPr>
          <w:rFonts w:ascii="Times New Roman" w:eastAsia="Calibri" w:hAnsi="Times New Roman" w:cs="Times New Roman"/>
          <w:iCs/>
          <w:sz w:val="24"/>
          <w:szCs w:val="24"/>
        </w:rPr>
        <w:t xml:space="preserve">: </w:t>
      </w:r>
    </w:p>
    <w:p w14:paraId="3D938F8F" w14:textId="52B44F2A"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232 SMŠ</w:t>
      </w:r>
      <w:r w:rsidR="00937749" w:rsidRPr="007B024D">
        <w:rPr>
          <w:rFonts w:ascii="Times New Roman" w:hAnsi="Times New Roman" w:cs="Times New Roman"/>
          <w:sz w:val="24"/>
          <w:szCs w:val="24"/>
        </w:rPr>
        <w:t xml:space="preserve"> – </w:t>
      </w:r>
      <w:r w:rsidRPr="007B024D">
        <w:rPr>
          <w:rFonts w:ascii="Times New Roman" w:hAnsi="Times New Roman" w:cs="Times New Roman"/>
          <w:sz w:val="24"/>
          <w:szCs w:val="24"/>
        </w:rPr>
        <w:t>súkromné materské školy,</w:t>
      </w:r>
    </w:p>
    <w:p w14:paraId="677D9C04" w14:textId="77777777"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87 SZŠ – súkromné základné školy, </w:t>
      </w:r>
    </w:p>
    <w:p w14:paraId="442A6347" w14:textId="77777777"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131 SSŠ – súkromné stredné školy, </w:t>
      </w:r>
    </w:p>
    <w:p w14:paraId="03E9AF46" w14:textId="381CB88B" w:rsidR="002B19CF" w:rsidRPr="007B024D" w:rsidRDefault="004D16D6" w:rsidP="002B19CF">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50 SŠŠ – súkromné špeciálne školy vrátane škôl pri </w:t>
      </w:r>
      <w:proofErr w:type="spellStart"/>
      <w:r w:rsidRPr="007B024D">
        <w:rPr>
          <w:rFonts w:ascii="Times New Roman" w:hAnsi="Times New Roman" w:cs="Times New Roman"/>
          <w:sz w:val="24"/>
          <w:szCs w:val="24"/>
        </w:rPr>
        <w:t>zdravotn</w:t>
      </w:r>
      <w:proofErr w:type="spellEnd"/>
      <w:r w:rsidRPr="007B024D">
        <w:rPr>
          <w:rFonts w:ascii="Times New Roman" w:hAnsi="Times New Roman" w:cs="Times New Roman"/>
          <w:sz w:val="24"/>
          <w:szCs w:val="24"/>
        </w:rPr>
        <w:t>. zariadeniach.</w:t>
      </w:r>
    </w:p>
    <w:p w14:paraId="198CD221" w14:textId="77777777" w:rsidR="00884030" w:rsidRDefault="00884030" w:rsidP="002B19CF">
      <w:pPr>
        <w:rPr>
          <w:rFonts w:ascii="Times New Roman" w:eastAsia="Calibri" w:hAnsi="Times New Roman" w:cs="Times New Roman"/>
          <w:iCs/>
          <w:sz w:val="24"/>
          <w:szCs w:val="24"/>
        </w:rPr>
      </w:pPr>
    </w:p>
    <w:p w14:paraId="7AF3E013" w14:textId="67455C15" w:rsidR="004D16D6" w:rsidRDefault="00884030" w:rsidP="002B19CF">
      <w:pPr>
        <w:rPr>
          <w:rFonts w:ascii="Times New Roman" w:eastAsia="Calibri" w:hAnsi="Times New Roman" w:cs="Times New Roman"/>
          <w:bCs/>
          <w:iCs/>
          <w:color w:val="000000"/>
          <w:sz w:val="24"/>
          <w:szCs w:val="24"/>
        </w:rPr>
      </w:pPr>
      <w:r>
        <w:rPr>
          <w:rFonts w:ascii="Times New Roman" w:eastAsia="Calibri" w:hAnsi="Times New Roman" w:cs="Times New Roman"/>
          <w:iCs/>
          <w:sz w:val="24"/>
          <w:szCs w:val="24"/>
        </w:rPr>
        <w:t xml:space="preserve">1. </w:t>
      </w:r>
      <w:r w:rsidR="002B19CF">
        <w:rPr>
          <w:rFonts w:ascii="Times New Roman" w:eastAsia="Calibri" w:hAnsi="Times New Roman" w:cs="Times New Roman"/>
          <w:iCs/>
          <w:sz w:val="24"/>
          <w:szCs w:val="24"/>
        </w:rPr>
        <w:t>Prvým dopadom je zvýšená a</w:t>
      </w:r>
      <w:r w:rsidR="002B19CF" w:rsidRPr="002B19CF">
        <w:rPr>
          <w:rFonts w:ascii="Times New Roman" w:eastAsia="Calibri" w:hAnsi="Times New Roman" w:cs="Times New Roman"/>
          <w:iCs/>
          <w:sz w:val="24"/>
          <w:szCs w:val="24"/>
        </w:rPr>
        <w:t>dministratívna záťaž pre súkromných zriaďovateľov v súvislosti s novými úpravami, napr. so zamestnávaním nových zamestnancov na podporné opatrenia.</w:t>
      </w:r>
      <w:r w:rsidR="002B19CF">
        <w:rPr>
          <w:rFonts w:ascii="Times New Roman" w:eastAsia="Calibri" w:hAnsi="Times New Roman" w:cs="Times New Roman"/>
          <w:iCs/>
          <w:sz w:val="24"/>
          <w:szCs w:val="24"/>
        </w:rPr>
        <w:t xml:space="preserve"> Odhadujeme náklady </w:t>
      </w:r>
      <w:r w:rsidR="007A3AFE">
        <w:rPr>
          <w:rFonts w:ascii="Times New Roman" w:eastAsia="Calibri" w:hAnsi="Times New Roman" w:cs="Times New Roman"/>
          <w:iCs/>
          <w:sz w:val="24"/>
          <w:szCs w:val="24"/>
        </w:rPr>
        <w:t xml:space="preserve">na </w:t>
      </w:r>
      <w:r w:rsidR="00860BEB">
        <w:rPr>
          <w:rFonts w:ascii="Times New Roman" w:eastAsia="Calibri" w:hAnsi="Times New Roman" w:cs="Times New Roman"/>
          <w:iCs/>
          <w:sz w:val="24"/>
          <w:szCs w:val="24"/>
        </w:rPr>
        <w:t xml:space="preserve">75% </w:t>
      </w:r>
      <w:r w:rsidR="007A3AFE">
        <w:rPr>
          <w:rFonts w:ascii="Times New Roman" w:eastAsia="Calibri" w:hAnsi="Times New Roman" w:cs="Times New Roman"/>
          <w:iCs/>
          <w:sz w:val="24"/>
          <w:szCs w:val="24"/>
        </w:rPr>
        <w:t>všetk</w:t>
      </w:r>
      <w:r w:rsidR="00860BEB">
        <w:rPr>
          <w:rFonts w:ascii="Times New Roman" w:eastAsia="Calibri" w:hAnsi="Times New Roman" w:cs="Times New Roman"/>
          <w:iCs/>
          <w:sz w:val="24"/>
          <w:szCs w:val="24"/>
        </w:rPr>
        <w:t>ých</w:t>
      </w:r>
      <w:r w:rsidR="007A3AFE">
        <w:rPr>
          <w:rFonts w:ascii="Times New Roman" w:eastAsia="Calibri" w:hAnsi="Times New Roman" w:cs="Times New Roman"/>
          <w:iCs/>
          <w:sz w:val="24"/>
          <w:szCs w:val="24"/>
        </w:rPr>
        <w:t xml:space="preserve"> súkromn</w:t>
      </w:r>
      <w:r w:rsidR="00860BEB">
        <w:rPr>
          <w:rFonts w:ascii="Times New Roman" w:eastAsia="Calibri" w:hAnsi="Times New Roman" w:cs="Times New Roman"/>
          <w:iCs/>
          <w:sz w:val="24"/>
          <w:szCs w:val="24"/>
        </w:rPr>
        <w:t>ých</w:t>
      </w:r>
      <w:r w:rsidR="007A3AFE">
        <w:rPr>
          <w:rFonts w:ascii="Times New Roman" w:eastAsia="Calibri" w:hAnsi="Times New Roman" w:cs="Times New Roman"/>
          <w:iCs/>
          <w:sz w:val="24"/>
          <w:szCs w:val="24"/>
        </w:rPr>
        <w:t xml:space="preserve"> šk</w:t>
      </w:r>
      <w:r w:rsidR="00860BEB" w:rsidRPr="00C81508">
        <w:rPr>
          <w:rFonts w:ascii="Times New Roman" w:eastAsia="Calibri" w:hAnsi="Times New Roman" w:cs="Times New Roman"/>
          <w:iCs/>
          <w:sz w:val="24"/>
          <w:szCs w:val="24"/>
        </w:rPr>
        <w:t>ôl, t.j. 375 škôl,</w:t>
      </w:r>
      <w:r w:rsidR="007A3AFE" w:rsidRPr="00C81508">
        <w:rPr>
          <w:rFonts w:ascii="Times New Roman" w:eastAsia="Calibri" w:hAnsi="Times New Roman" w:cs="Times New Roman"/>
          <w:iCs/>
          <w:sz w:val="24"/>
          <w:szCs w:val="24"/>
        </w:rPr>
        <w:t xml:space="preserve"> </w:t>
      </w:r>
      <w:r w:rsidR="002B19CF" w:rsidRPr="00C81508">
        <w:rPr>
          <w:rFonts w:ascii="Times New Roman" w:eastAsia="Calibri" w:hAnsi="Times New Roman" w:cs="Times New Roman"/>
          <w:iCs/>
          <w:sz w:val="24"/>
          <w:szCs w:val="24"/>
        </w:rPr>
        <w:t>v</w:t>
      </w:r>
      <w:r w:rsidR="007A3AFE" w:rsidRPr="00C81508">
        <w:rPr>
          <w:rFonts w:ascii="Times New Roman" w:eastAsia="Calibri" w:hAnsi="Times New Roman" w:cs="Times New Roman"/>
          <w:iCs/>
          <w:sz w:val="24"/>
          <w:szCs w:val="24"/>
        </w:rPr>
        <w:t xml:space="preserve"> priemernom </w:t>
      </w:r>
      <w:r w:rsidR="002B19CF" w:rsidRPr="00C81508">
        <w:rPr>
          <w:rFonts w:ascii="Times New Roman" w:eastAsia="Calibri" w:hAnsi="Times New Roman" w:cs="Times New Roman"/>
          <w:iCs/>
          <w:sz w:val="24"/>
          <w:szCs w:val="24"/>
        </w:rPr>
        <w:t xml:space="preserve">rozsahu </w:t>
      </w:r>
      <w:r w:rsidR="00860BEB" w:rsidRPr="00C81508">
        <w:rPr>
          <w:rFonts w:ascii="Times New Roman" w:eastAsia="Calibri" w:hAnsi="Times New Roman" w:cs="Times New Roman"/>
          <w:iCs/>
          <w:sz w:val="24"/>
          <w:szCs w:val="24"/>
        </w:rPr>
        <w:t xml:space="preserve">administratívnej záťaže </w:t>
      </w:r>
      <w:r w:rsidR="00C81508" w:rsidRPr="00C81508">
        <w:rPr>
          <w:rFonts w:ascii="Times New Roman" w:eastAsia="Calibri" w:hAnsi="Times New Roman" w:cs="Times New Roman"/>
          <w:iCs/>
          <w:sz w:val="24"/>
          <w:szCs w:val="24"/>
        </w:rPr>
        <w:t>1</w:t>
      </w:r>
      <w:r w:rsidR="002B19CF" w:rsidRPr="00C81508">
        <w:rPr>
          <w:rFonts w:ascii="Times New Roman" w:eastAsia="Calibri" w:hAnsi="Times New Roman" w:cs="Times New Roman"/>
          <w:iCs/>
          <w:sz w:val="24"/>
          <w:szCs w:val="24"/>
        </w:rPr>
        <w:t xml:space="preserve">0 hodín </w:t>
      </w:r>
      <w:r w:rsidR="00C81508" w:rsidRPr="00C81508">
        <w:rPr>
          <w:rFonts w:ascii="Times New Roman" w:eastAsia="Calibri" w:hAnsi="Times New Roman" w:cs="Times New Roman"/>
          <w:iCs/>
          <w:sz w:val="24"/>
          <w:szCs w:val="24"/>
        </w:rPr>
        <w:t xml:space="preserve">mesačne </w:t>
      </w:r>
      <w:r w:rsidR="002B19CF" w:rsidRPr="00C81508">
        <w:rPr>
          <w:rFonts w:ascii="Times New Roman" w:eastAsia="Calibri" w:hAnsi="Times New Roman" w:cs="Times New Roman"/>
          <w:iCs/>
          <w:sz w:val="24"/>
          <w:szCs w:val="24"/>
        </w:rPr>
        <w:t>na jednu školu.</w:t>
      </w:r>
      <w:r w:rsidR="002B19CF">
        <w:rPr>
          <w:rFonts w:ascii="Times New Roman" w:eastAsia="Calibri" w:hAnsi="Times New Roman" w:cs="Times New Roman"/>
          <w:iCs/>
          <w:sz w:val="24"/>
          <w:szCs w:val="24"/>
        </w:rPr>
        <w:t xml:space="preserve"> </w:t>
      </w:r>
      <w:r w:rsidR="004D16D6" w:rsidRPr="002B19CF">
        <w:rPr>
          <w:rFonts w:ascii="Times New Roman" w:eastAsia="Calibri" w:hAnsi="Times New Roman" w:cs="Times New Roman"/>
          <w:iCs/>
          <w:sz w:val="24"/>
          <w:szCs w:val="24"/>
        </w:rPr>
        <w:br/>
      </w:r>
    </w:p>
    <w:p w14:paraId="3AF21D49" w14:textId="29759B10" w:rsidR="00884030" w:rsidRPr="0052168F" w:rsidRDefault="00884030" w:rsidP="00884030">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2. </w:t>
      </w:r>
      <w:r w:rsidR="006F068B">
        <w:rPr>
          <w:rFonts w:ascii="Times New Roman" w:eastAsia="Calibri" w:hAnsi="Times New Roman" w:cs="Times New Roman"/>
          <w:bCs/>
          <w:iCs/>
          <w:color w:val="000000"/>
          <w:sz w:val="24"/>
          <w:szCs w:val="24"/>
        </w:rPr>
        <w:t>Druhý dopad vznikne, ak sa žiak odhlási z kmeňovej, súkromnej školy z dôvodu, že škola mu nebude vedieť poskytn</w:t>
      </w:r>
      <w:r w:rsidR="00C81508">
        <w:rPr>
          <w:rFonts w:ascii="Times New Roman" w:eastAsia="Calibri" w:hAnsi="Times New Roman" w:cs="Times New Roman"/>
          <w:bCs/>
          <w:iCs/>
          <w:color w:val="000000"/>
          <w:sz w:val="24"/>
          <w:szCs w:val="24"/>
        </w:rPr>
        <w:t>ú</w:t>
      </w:r>
      <w:r w:rsidR="006F068B">
        <w:rPr>
          <w:rFonts w:ascii="Times New Roman" w:eastAsia="Calibri" w:hAnsi="Times New Roman" w:cs="Times New Roman"/>
          <w:bCs/>
          <w:iCs/>
          <w:color w:val="000000"/>
          <w:sz w:val="24"/>
          <w:szCs w:val="24"/>
        </w:rPr>
        <w:t xml:space="preserve">ť požadované podporné opatrenia, a škola v príjmoch zo štátneho rozpočtu príde o normatívne financovanie na daného žiaka. </w:t>
      </w:r>
    </w:p>
    <w:p w14:paraId="194EB76E" w14:textId="3B8DCC16" w:rsidR="006C4518" w:rsidRDefault="0052168F" w:rsidP="00054C41">
      <w:pPr>
        <w:jc w:val="both"/>
        <w:rPr>
          <w:rFonts w:ascii="Times New Roman" w:eastAsia="Calibri" w:hAnsi="Times New Roman" w:cs="Times New Roman"/>
          <w:bCs/>
          <w:iCs/>
          <w:color w:val="000000"/>
          <w:sz w:val="24"/>
          <w:szCs w:val="24"/>
        </w:rPr>
      </w:pPr>
      <w:r w:rsidRPr="0052168F">
        <w:rPr>
          <w:rFonts w:ascii="Times New Roman" w:eastAsia="Calibri" w:hAnsi="Times New Roman" w:cs="Times New Roman"/>
          <w:bCs/>
          <w:iCs/>
          <w:color w:val="000000"/>
          <w:sz w:val="24"/>
          <w:szCs w:val="24"/>
        </w:rPr>
        <w:t>Zavedenie nároku na podporné opatrenie pre deti a žiakov so špeciálnymi výchovno-vzdelávacími potrebami</w:t>
      </w:r>
      <w:r w:rsidR="00756A25">
        <w:rPr>
          <w:rFonts w:ascii="Times New Roman" w:eastAsia="Calibri" w:hAnsi="Times New Roman" w:cs="Times New Roman"/>
          <w:bCs/>
          <w:iCs/>
          <w:color w:val="000000"/>
          <w:sz w:val="24"/>
          <w:szCs w:val="24"/>
        </w:rPr>
        <w:t xml:space="preserve"> (n</w:t>
      </w:r>
      <w:r w:rsidR="00756A25" w:rsidRPr="00756A25">
        <w:rPr>
          <w:rFonts w:ascii="Times New Roman" w:eastAsia="Calibri" w:hAnsi="Times New Roman" w:cs="Times New Roman"/>
          <w:bCs/>
          <w:iCs/>
          <w:color w:val="000000"/>
          <w:sz w:val="24"/>
          <w:szCs w:val="24"/>
        </w:rPr>
        <w:t>ový § 145a a nový § 145b</w:t>
      </w:r>
      <w:r w:rsidR="00756A25">
        <w:rPr>
          <w:rFonts w:ascii="Times New Roman" w:eastAsia="Calibri" w:hAnsi="Times New Roman" w:cs="Times New Roman"/>
          <w:bCs/>
          <w:iCs/>
          <w:color w:val="000000"/>
          <w:sz w:val="24"/>
          <w:szCs w:val="24"/>
        </w:rPr>
        <w:t xml:space="preserve"> z</w:t>
      </w:r>
      <w:r w:rsidR="00756A25" w:rsidRPr="00756A25">
        <w:rPr>
          <w:rFonts w:ascii="Times New Roman" w:eastAsia="Calibri" w:hAnsi="Times New Roman" w:cs="Times New Roman"/>
          <w:bCs/>
          <w:iCs/>
          <w:color w:val="000000"/>
          <w:sz w:val="24"/>
          <w:szCs w:val="24"/>
        </w:rPr>
        <w:t>ákon</w:t>
      </w:r>
      <w:r w:rsidR="00756A25">
        <w:rPr>
          <w:rFonts w:ascii="Times New Roman" w:eastAsia="Calibri" w:hAnsi="Times New Roman" w:cs="Times New Roman"/>
          <w:bCs/>
          <w:iCs/>
          <w:color w:val="000000"/>
          <w:sz w:val="24"/>
          <w:szCs w:val="24"/>
        </w:rPr>
        <w:t>a</w:t>
      </w:r>
      <w:r w:rsidR="00756A25" w:rsidRPr="00756A25">
        <w:rPr>
          <w:rFonts w:ascii="Times New Roman" w:eastAsia="Calibri" w:hAnsi="Times New Roman" w:cs="Times New Roman"/>
          <w:bCs/>
          <w:iCs/>
          <w:color w:val="000000"/>
          <w:sz w:val="24"/>
          <w:szCs w:val="24"/>
        </w:rPr>
        <w:t xml:space="preserve"> č. 245/2008 Z.</w:t>
      </w:r>
      <w:r w:rsidR="00871293">
        <w:rPr>
          <w:rFonts w:ascii="Times New Roman" w:eastAsia="Calibri" w:hAnsi="Times New Roman" w:cs="Times New Roman"/>
          <w:bCs/>
          <w:iCs/>
          <w:color w:val="000000"/>
          <w:sz w:val="24"/>
          <w:szCs w:val="24"/>
        </w:rPr>
        <w:t xml:space="preserve"> </w:t>
      </w:r>
      <w:r w:rsidR="00756A25" w:rsidRPr="00756A25">
        <w:rPr>
          <w:rFonts w:ascii="Times New Roman" w:eastAsia="Calibri" w:hAnsi="Times New Roman" w:cs="Times New Roman"/>
          <w:bCs/>
          <w:iCs/>
          <w:color w:val="000000"/>
          <w:sz w:val="24"/>
          <w:szCs w:val="24"/>
        </w:rPr>
        <w:t>z.</w:t>
      </w:r>
      <w:r w:rsidR="00756A25">
        <w:rPr>
          <w:rFonts w:ascii="Times New Roman" w:eastAsia="Calibri" w:hAnsi="Times New Roman" w:cs="Times New Roman"/>
          <w:bCs/>
          <w:iCs/>
          <w:color w:val="000000"/>
          <w:sz w:val="24"/>
          <w:szCs w:val="24"/>
        </w:rPr>
        <w:t xml:space="preserve">) znamená, že dieťa alebo žiak, ktorému na základe diagnostiky vznikne nárok na podporné opatrenie, bude môcť o poskytnutie podporného opatrenia žiadať riaditeľa školy. </w:t>
      </w:r>
      <w:r w:rsidR="001B712F">
        <w:rPr>
          <w:rFonts w:ascii="Times New Roman" w:eastAsia="Calibri" w:hAnsi="Times New Roman" w:cs="Times New Roman"/>
          <w:bCs/>
          <w:iCs/>
          <w:color w:val="000000"/>
          <w:sz w:val="24"/>
          <w:szCs w:val="24"/>
        </w:rPr>
        <w:t xml:space="preserve">Ak riaditeľ školy podporné opatrenie nebude vedieť poskytnúť, lebo na to škola nemá </w:t>
      </w:r>
      <w:r w:rsidR="001B712F" w:rsidRPr="001B712F">
        <w:rPr>
          <w:rFonts w:ascii="Times New Roman" w:eastAsia="Calibri" w:hAnsi="Times New Roman" w:cs="Times New Roman"/>
          <w:bCs/>
          <w:iCs/>
          <w:color w:val="000000"/>
          <w:sz w:val="24"/>
          <w:szCs w:val="24"/>
        </w:rPr>
        <w:t>personálne, priestorové, materiálno-technické a finančné podmienky</w:t>
      </w:r>
      <w:r w:rsidR="001B712F">
        <w:rPr>
          <w:rFonts w:ascii="Times New Roman" w:eastAsia="Calibri" w:hAnsi="Times New Roman" w:cs="Times New Roman"/>
          <w:bCs/>
          <w:iCs/>
          <w:color w:val="000000"/>
          <w:sz w:val="24"/>
          <w:szCs w:val="24"/>
        </w:rPr>
        <w:t>, zákonný zástupca žiaka sa bude môcť obrátiť na o</w:t>
      </w:r>
      <w:r w:rsidR="001B712F" w:rsidRPr="001B712F">
        <w:rPr>
          <w:rFonts w:ascii="Times New Roman" w:eastAsia="Calibri" w:hAnsi="Times New Roman" w:cs="Times New Roman"/>
          <w:bCs/>
          <w:iCs/>
          <w:color w:val="000000"/>
          <w:sz w:val="24"/>
          <w:szCs w:val="24"/>
        </w:rPr>
        <w:t>rgán miestnej štátnej správy v</w:t>
      </w:r>
      <w:r w:rsidR="001B712F">
        <w:rPr>
          <w:rFonts w:ascii="Times New Roman" w:eastAsia="Calibri" w:hAnsi="Times New Roman" w:cs="Times New Roman"/>
          <w:bCs/>
          <w:iCs/>
          <w:color w:val="000000"/>
          <w:sz w:val="24"/>
          <w:szCs w:val="24"/>
        </w:rPr>
        <w:t> </w:t>
      </w:r>
      <w:r w:rsidR="001B712F" w:rsidRPr="001B712F">
        <w:rPr>
          <w:rFonts w:ascii="Times New Roman" w:eastAsia="Calibri" w:hAnsi="Times New Roman" w:cs="Times New Roman"/>
          <w:bCs/>
          <w:iCs/>
          <w:color w:val="000000"/>
          <w:sz w:val="24"/>
          <w:szCs w:val="24"/>
        </w:rPr>
        <w:t>školstve</w:t>
      </w:r>
      <w:r w:rsidR="001B712F">
        <w:rPr>
          <w:rFonts w:ascii="Times New Roman" w:eastAsia="Calibri" w:hAnsi="Times New Roman" w:cs="Times New Roman"/>
          <w:bCs/>
          <w:iCs/>
          <w:color w:val="000000"/>
          <w:sz w:val="24"/>
          <w:szCs w:val="24"/>
        </w:rPr>
        <w:t xml:space="preserve"> a situácia môže vyústiť do riešenia, že žiak opustí kmeňovú školu a začne navštevovať inú školu, ktorá mu podporné opatrenia bude vedieť poskytnúť. Predpokladáme, že tento postup sa bude týkať najmä detí a žiakov s ťažším zdravotným znevýhodnením a vysokou potrebou o zabezpečenie podporných opatrení</w:t>
      </w:r>
      <w:r w:rsidR="00014D13">
        <w:rPr>
          <w:rFonts w:ascii="Times New Roman" w:eastAsia="Calibri" w:hAnsi="Times New Roman" w:cs="Times New Roman"/>
          <w:bCs/>
          <w:iCs/>
          <w:color w:val="000000"/>
          <w:sz w:val="24"/>
          <w:szCs w:val="24"/>
        </w:rPr>
        <w:t>.</w:t>
      </w:r>
    </w:p>
    <w:p w14:paraId="53EE2AE5" w14:textId="37461F88" w:rsidR="0052168F" w:rsidRPr="00880275" w:rsidRDefault="00014D13"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 xml:space="preserve">V aktuálnom školskom roku </w:t>
      </w:r>
      <w:r w:rsidR="00E22802">
        <w:rPr>
          <w:rFonts w:ascii="Times New Roman" w:eastAsia="Calibri" w:hAnsi="Times New Roman" w:cs="Times New Roman"/>
          <w:bCs/>
          <w:iCs/>
          <w:color w:val="000000"/>
          <w:sz w:val="24"/>
          <w:szCs w:val="24"/>
        </w:rPr>
        <w:t xml:space="preserve">súkromné základné a stredné školy navštevuje 38 260 žiakov, z toho 1 171 žiakov je podľa zdravotného znevýhodnenia </w:t>
      </w:r>
      <w:r w:rsidR="00AE78B7">
        <w:rPr>
          <w:rFonts w:ascii="Times New Roman" w:eastAsia="Calibri" w:hAnsi="Times New Roman" w:cs="Times New Roman"/>
          <w:bCs/>
          <w:iCs/>
          <w:color w:val="000000"/>
          <w:sz w:val="24"/>
          <w:szCs w:val="24"/>
        </w:rPr>
        <w:t xml:space="preserve">(v základných školách </w:t>
      </w:r>
      <w:r w:rsidR="00E22802">
        <w:rPr>
          <w:rFonts w:ascii="Times New Roman" w:eastAsia="Calibri" w:hAnsi="Times New Roman" w:cs="Times New Roman"/>
          <w:bCs/>
          <w:iCs/>
          <w:color w:val="000000"/>
          <w:sz w:val="24"/>
          <w:szCs w:val="24"/>
        </w:rPr>
        <w:t>v skupine 3</w:t>
      </w:r>
      <w:r w:rsidR="00871293">
        <w:rPr>
          <w:rFonts w:ascii="Times New Roman" w:eastAsia="Calibri" w:hAnsi="Times New Roman" w:cs="Times New Roman"/>
          <w:bCs/>
          <w:iCs/>
          <w:color w:val="000000"/>
          <w:sz w:val="24"/>
          <w:szCs w:val="24"/>
        </w:rPr>
        <w:t> </w:t>
      </w:r>
      <w:r w:rsidR="00E22802">
        <w:rPr>
          <w:rFonts w:ascii="Times New Roman" w:eastAsia="Calibri" w:hAnsi="Times New Roman" w:cs="Times New Roman"/>
          <w:bCs/>
          <w:iCs/>
          <w:color w:val="000000"/>
          <w:sz w:val="24"/>
          <w:szCs w:val="24"/>
        </w:rPr>
        <w:t>a</w:t>
      </w:r>
      <w:r w:rsidR="00AE78B7">
        <w:rPr>
          <w:rFonts w:ascii="Times New Roman" w:eastAsia="Calibri" w:hAnsi="Times New Roman" w:cs="Times New Roman"/>
          <w:bCs/>
          <w:iCs/>
          <w:color w:val="000000"/>
          <w:sz w:val="24"/>
          <w:szCs w:val="24"/>
        </w:rPr>
        <w:t> </w:t>
      </w:r>
      <w:r w:rsidR="00E22802">
        <w:rPr>
          <w:rFonts w:ascii="Times New Roman" w:eastAsia="Calibri" w:hAnsi="Times New Roman" w:cs="Times New Roman"/>
          <w:bCs/>
          <w:iCs/>
          <w:color w:val="000000"/>
          <w:sz w:val="24"/>
          <w:szCs w:val="24"/>
        </w:rPr>
        <w:t>vyššie</w:t>
      </w:r>
      <w:r w:rsidR="00AE78B7">
        <w:rPr>
          <w:rFonts w:ascii="Times New Roman" w:eastAsia="Calibri" w:hAnsi="Times New Roman" w:cs="Times New Roman"/>
          <w:bCs/>
          <w:iCs/>
          <w:color w:val="000000"/>
          <w:sz w:val="24"/>
          <w:szCs w:val="24"/>
        </w:rPr>
        <w:t xml:space="preserve"> </w:t>
      </w:r>
      <w:r w:rsidR="00E22802">
        <w:rPr>
          <w:rFonts w:ascii="Times New Roman" w:eastAsia="Calibri" w:hAnsi="Times New Roman" w:cs="Times New Roman"/>
          <w:bCs/>
          <w:iCs/>
          <w:color w:val="000000"/>
          <w:sz w:val="24"/>
          <w:szCs w:val="24"/>
        </w:rPr>
        <w:t xml:space="preserve"> </w:t>
      </w:r>
      <w:r w:rsidR="00AE78B7">
        <w:rPr>
          <w:rFonts w:ascii="Times New Roman" w:eastAsia="Calibri" w:hAnsi="Times New Roman" w:cs="Times New Roman"/>
          <w:bCs/>
          <w:iCs/>
          <w:color w:val="000000"/>
          <w:sz w:val="24"/>
          <w:szCs w:val="24"/>
        </w:rPr>
        <w:t xml:space="preserve">a v stredných školách v skupine 2 a 3 </w:t>
      </w:r>
      <w:r w:rsidR="00E22802">
        <w:rPr>
          <w:rFonts w:ascii="Times New Roman" w:eastAsia="Calibri" w:hAnsi="Times New Roman" w:cs="Times New Roman"/>
          <w:bCs/>
          <w:iCs/>
          <w:color w:val="000000"/>
          <w:sz w:val="24"/>
          <w:szCs w:val="24"/>
        </w:rPr>
        <w:t xml:space="preserve">podľa </w:t>
      </w:r>
      <w:r w:rsidR="008D7FE0">
        <w:rPr>
          <w:rFonts w:ascii="Times New Roman" w:eastAsia="Calibri" w:hAnsi="Times New Roman" w:cs="Times New Roman"/>
          <w:bCs/>
          <w:iCs/>
          <w:color w:val="000000"/>
          <w:sz w:val="24"/>
          <w:szCs w:val="24"/>
        </w:rPr>
        <w:t xml:space="preserve">Prílohy </w:t>
      </w:r>
      <w:r w:rsidR="00AE78B7">
        <w:rPr>
          <w:rFonts w:ascii="Times New Roman" w:eastAsia="Calibri" w:hAnsi="Times New Roman" w:cs="Times New Roman"/>
          <w:bCs/>
          <w:iCs/>
          <w:color w:val="000000"/>
          <w:sz w:val="24"/>
          <w:szCs w:val="24"/>
        </w:rPr>
        <w:t xml:space="preserve">č. </w:t>
      </w:r>
      <w:r w:rsidR="008D7FE0">
        <w:rPr>
          <w:rFonts w:ascii="Times New Roman" w:eastAsia="Calibri" w:hAnsi="Times New Roman" w:cs="Times New Roman"/>
          <w:bCs/>
          <w:iCs/>
          <w:color w:val="000000"/>
          <w:sz w:val="24"/>
          <w:szCs w:val="24"/>
        </w:rPr>
        <w:t xml:space="preserve">8 </w:t>
      </w:r>
      <w:r w:rsidR="00AE78B7">
        <w:rPr>
          <w:rFonts w:ascii="Times New Roman" w:eastAsia="Calibri" w:hAnsi="Times New Roman" w:cs="Times New Roman"/>
          <w:bCs/>
          <w:iCs/>
          <w:color w:val="000000"/>
          <w:sz w:val="24"/>
          <w:szCs w:val="24"/>
        </w:rPr>
        <w:t>a Prílohy č. 9 n</w:t>
      </w:r>
      <w:r w:rsidR="008D7FE0">
        <w:rPr>
          <w:rFonts w:ascii="Times New Roman" w:eastAsia="Calibri" w:hAnsi="Times New Roman" w:cs="Times New Roman"/>
          <w:bCs/>
          <w:iCs/>
          <w:color w:val="000000"/>
          <w:sz w:val="24"/>
          <w:szCs w:val="24"/>
        </w:rPr>
        <w:t>ariadenia vlády č</w:t>
      </w:r>
      <w:r w:rsidR="008D7FE0" w:rsidRPr="006C4518">
        <w:rPr>
          <w:rFonts w:ascii="Times New Roman" w:eastAsia="Calibri" w:hAnsi="Times New Roman" w:cs="Times New Roman"/>
          <w:bCs/>
          <w:iCs/>
          <w:color w:val="000000"/>
          <w:sz w:val="24"/>
          <w:szCs w:val="24"/>
        </w:rPr>
        <w:t>.</w:t>
      </w:r>
      <w:r w:rsidR="00E22802" w:rsidRPr="006C4518">
        <w:rPr>
          <w:rFonts w:ascii="Times New Roman" w:eastAsia="Calibri" w:hAnsi="Times New Roman" w:cs="Times New Roman"/>
          <w:bCs/>
          <w:iCs/>
          <w:color w:val="000000"/>
          <w:sz w:val="24"/>
          <w:szCs w:val="24"/>
        </w:rPr>
        <w:t xml:space="preserve"> 630/2008 Z.</w:t>
      </w:r>
      <w:r w:rsidR="00871293">
        <w:rPr>
          <w:rFonts w:ascii="Times New Roman" w:eastAsia="Calibri" w:hAnsi="Times New Roman" w:cs="Times New Roman"/>
          <w:bCs/>
          <w:iCs/>
          <w:color w:val="000000"/>
          <w:sz w:val="24"/>
          <w:szCs w:val="24"/>
        </w:rPr>
        <w:t xml:space="preserve"> </w:t>
      </w:r>
      <w:r w:rsidR="00E22802" w:rsidRPr="006C4518">
        <w:rPr>
          <w:rFonts w:ascii="Times New Roman" w:eastAsia="Calibri" w:hAnsi="Times New Roman" w:cs="Times New Roman"/>
          <w:bCs/>
          <w:iCs/>
          <w:color w:val="000000"/>
          <w:sz w:val="24"/>
          <w:szCs w:val="24"/>
        </w:rPr>
        <w:t>z.</w:t>
      </w:r>
      <w:r w:rsidR="008D7FE0" w:rsidRPr="006C4518">
        <w:rPr>
          <w:rFonts w:ascii="Times New Roman" w:eastAsia="Calibri" w:hAnsi="Times New Roman" w:cs="Times New Roman"/>
          <w:bCs/>
          <w:iCs/>
          <w:color w:val="000000"/>
          <w:sz w:val="24"/>
          <w:szCs w:val="24"/>
        </w:rPr>
        <w:t>, k</w:t>
      </w:r>
      <w:r w:rsidR="008D7FE0">
        <w:rPr>
          <w:rFonts w:ascii="Times New Roman" w:eastAsia="Calibri" w:hAnsi="Times New Roman" w:cs="Times New Roman"/>
          <w:bCs/>
          <w:iCs/>
          <w:color w:val="000000"/>
          <w:sz w:val="24"/>
          <w:szCs w:val="24"/>
        </w:rPr>
        <w:t>torá uvádza k</w:t>
      </w:r>
      <w:r w:rsidR="008D7FE0" w:rsidRPr="008D7FE0">
        <w:rPr>
          <w:rFonts w:ascii="Times New Roman" w:eastAsia="Calibri" w:hAnsi="Times New Roman" w:cs="Times New Roman"/>
          <w:bCs/>
          <w:iCs/>
          <w:color w:val="000000"/>
          <w:sz w:val="24"/>
          <w:szCs w:val="24"/>
        </w:rPr>
        <w:t>lasifikáci</w:t>
      </w:r>
      <w:r w:rsidR="008D7FE0">
        <w:rPr>
          <w:rFonts w:ascii="Times New Roman" w:eastAsia="Calibri" w:hAnsi="Times New Roman" w:cs="Times New Roman"/>
          <w:bCs/>
          <w:iCs/>
          <w:color w:val="000000"/>
          <w:sz w:val="24"/>
          <w:szCs w:val="24"/>
        </w:rPr>
        <w:t>u</w:t>
      </w:r>
      <w:r w:rsidR="008D7FE0" w:rsidRPr="008D7FE0">
        <w:rPr>
          <w:rFonts w:ascii="Times New Roman" w:eastAsia="Calibri" w:hAnsi="Times New Roman" w:cs="Times New Roman"/>
          <w:bCs/>
          <w:iCs/>
          <w:color w:val="000000"/>
          <w:sz w:val="24"/>
          <w:szCs w:val="24"/>
        </w:rPr>
        <w:t xml:space="preserve"> žiakov so zdravotným znevýhodnením</w:t>
      </w:r>
      <w:r w:rsidR="00E22802">
        <w:rPr>
          <w:rFonts w:ascii="Times New Roman" w:eastAsia="Calibri" w:hAnsi="Times New Roman" w:cs="Times New Roman"/>
          <w:bCs/>
          <w:iCs/>
          <w:color w:val="000000"/>
          <w:sz w:val="24"/>
          <w:szCs w:val="24"/>
        </w:rPr>
        <w:t>)</w:t>
      </w:r>
      <w:r w:rsidR="008D7FE0">
        <w:rPr>
          <w:rFonts w:ascii="Times New Roman" w:eastAsia="Calibri" w:hAnsi="Times New Roman" w:cs="Times New Roman"/>
          <w:bCs/>
          <w:iCs/>
          <w:color w:val="000000"/>
          <w:sz w:val="24"/>
          <w:szCs w:val="24"/>
        </w:rPr>
        <w:t>. U</w:t>
      </w:r>
      <w:r w:rsidR="00E22802">
        <w:rPr>
          <w:rFonts w:ascii="Times New Roman" w:eastAsia="Calibri" w:hAnsi="Times New Roman" w:cs="Times New Roman"/>
          <w:bCs/>
          <w:iCs/>
          <w:color w:val="000000"/>
          <w:sz w:val="24"/>
          <w:szCs w:val="24"/>
        </w:rPr>
        <w:t> týchto žiakov je zvýšená pravdepodobnosť, že by z dôvodu nároku na podporné opatrenia mohli meniť škôl. Keby</w:t>
      </w:r>
      <w:r w:rsidR="00411B1C">
        <w:rPr>
          <w:rFonts w:ascii="Times New Roman" w:eastAsia="Calibri" w:hAnsi="Times New Roman" w:cs="Times New Roman"/>
          <w:bCs/>
          <w:iCs/>
          <w:color w:val="000000"/>
          <w:sz w:val="24"/>
          <w:szCs w:val="24"/>
        </w:rPr>
        <w:t xml:space="preserve"> 3% týchto žiakov </w:t>
      </w:r>
      <w:r w:rsidR="00E22802">
        <w:rPr>
          <w:rFonts w:ascii="Times New Roman" w:eastAsia="Calibri" w:hAnsi="Times New Roman" w:cs="Times New Roman"/>
          <w:bCs/>
          <w:iCs/>
          <w:color w:val="000000"/>
          <w:sz w:val="24"/>
          <w:szCs w:val="24"/>
        </w:rPr>
        <w:t>odišl</w:t>
      </w:r>
      <w:r w:rsidR="00411B1C">
        <w:rPr>
          <w:rFonts w:ascii="Times New Roman" w:eastAsia="Calibri" w:hAnsi="Times New Roman" w:cs="Times New Roman"/>
          <w:bCs/>
          <w:iCs/>
          <w:color w:val="000000"/>
          <w:sz w:val="24"/>
          <w:szCs w:val="24"/>
        </w:rPr>
        <w:t>o</w:t>
      </w:r>
      <w:r w:rsidR="00E22802">
        <w:rPr>
          <w:rFonts w:ascii="Times New Roman" w:eastAsia="Calibri" w:hAnsi="Times New Roman" w:cs="Times New Roman"/>
          <w:bCs/>
          <w:iCs/>
          <w:color w:val="000000"/>
          <w:sz w:val="24"/>
          <w:szCs w:val="24"/>
        </w:rPr>
        <w:t xml:space="preserve"> zo súkromných škôl, súkromní zriaďovatelia by prišli </w:t>
      </w:r>
      <w:r w:rsidR="00411B1C">
        <w:rPr>
          <w:rFonts w:ascii="Times New Roman" w:eastAsia="Calibri" w:hAnsi="Times New Roman" w:cs="Times New Roman"/>
          <w:bCs/>
          <w:iCs/>
          <w:color w:val="000000"/>
          <w:sz w:val="24"/>
          <w:szCs w:val="24"/>
        </w:rPr>
        <w:t xml:space="preserve">cca </w:t>
      </w:r>
      <w:r w:rsidR="00E22802">
        <w:rPr>
          <w:rFonts w:ascii="Times New Roman" w:eastAsia="Calibri" w:hAnsi="Times New Roman" w:cs="Times New Roman"/>
          <w:bCs/>
          <w:iCs/>
          <w:color w:val="000000"/>
          <w:sz w:val="24"/>
          <w:szCs w:val="24"/>
        </w:rPr>
        <w:t>o 105 </w:t>
      </w:r>
      <w:r w:rsidR="00424A79">
        <w:rPr>
          <w:rFonts w:ascii="Times New Roman" w:eastAsia="Calibri" w:hAnsi="Times New Roman" w:cs="Times New Roman"/>
          <w:bCs/>
          <w:iCs/>
          <w:color w:val="000000"/>
          <w:sz w:val="24"/>
          <w:szCs w:val="24"/>
        </w:rPr>
        <w:t>tisíc</w:t>
      </w:r>
      <w:r w:rsidR="00E22802">
        <w:rPr>
          <w:rFonts w:ascii="Times New Roman" w:eastAsia="Calibri" w:hAnsi="Times New Roman" w:cs="Times New Roman"/>
          <w:bCs/>
          <w:iCs/>
          <w:color w:val="000000"/>
          <w:sz w:val="24"/>
          <w:szCs w:val="24"/>
        </w:rPr>
        <w:t xml:space="preserve"> Eur ročne z normatívnych finančných prostriedkov.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08753273" w14:textId="2733B945" w:rsidR="004114F1" w:rsidRPr="006616F9" w:rsidRDefault="004114F1" w:rsidP="004114F1">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Pr="00D8247C">
        <w:rPr>
          <w:rFonts w:ascii="Times New Roman" w:eastAsia="Calibri" w:hAnsi="Times New Roman" w:cs="Times New Roman"/>
          <w:bCs/>
          <w:sz w:val="24"/>
          <w:szCs w:val="24"/>
        </w:rPr>
        <w:t xml:space="preserve"> predkladanému materiálu </w:t>
      </w:r>
      <w:r>
        <w:rPr>
          <w:rFonts w:ascii="Times New Roman" w:eastAsia="Calibri" w:hAnsi="Times New Roman" w:cs="Times New Roman"/>
          <w:bCs/>
          <w:sz w:val="24"/>
          <w:szCs w:val="24"/>
        </w:rPr>
        <w:t>sa ne</w:t>
      </w:r>
      <w:r w:rsidRPr="00D8247C">
        <w:rPr>
          <w:rFonts w:ascii="Times New Roman" w:eastAsia="Calibri" w:hAnsi="Times New Roman" w:cs="Times New Roman"/>
          <w:bCs/>
          <w:sz w:val="24"/>
          <w:szCs w:val="24"/>
        </w:rPr>
        <w:t>konali konzultácie s</w:t>
      </w:r>
      <w:r>
        <w:rPr>
          <w:rFonts w:ascii="Times New Roman" w:eastAsia="Calibri" w:hAnsi="Times New Roman" w:cs="Times New Roman"/>
          <w:bCs/>
          <w:sz w:val="24"/>
          <w:szCs w:val="24"/>
        </w:rPr>
        <w:t> </w:t>
      </w:r>
      <w:r w:rsidRPr="006616F9">
        <w:rPr>
          <w:rFonts w:ascii="Times New Roman" w:eastAsia="Calibri" w:hAnsi="Times New Roman" w:cs="Times New Roman"/>
          <w:bCs/>
          <w:sz w:val="24"/>
          <w:szCs w:val="24"/>
        </w:rPr>
        <w:t>podnikateľskými subjektmi</w:t>
      </w:r>
      <w:r w:rsidR="00871293" w:rsidRPr="006616F9">
        <w:rPr>
          <w:rFonts w:ascii="Times New Roman" w:eastAsia="Calibri" w:hAnsi="Times New Roman" w:cs="Times New Roman"/>
          <w:bCs/>
          <w:sz w:val="24"/>
          <w:szCs w:val="24"/>
        </w:rPr>
        <w:t>, pretože súkromné školy a školské zariadenia nie sú zriaďované s cieľom vykonávania podnikateľskej činnosti</w:t>
      </w:r>
      <w:r w:rsidRPr="006616F9">
        <w:rPr>
          <w:rFonts w:ascii="Times New Roman" w:eastAsia="Calibri" w:hAnsi="Times New Roman" w:cs="Times New Roman"/>
          <w:bCs/>
          <w:sz w:val="24"/>
          <w:szCs w:val="24"/>
        </w:rPr>
        <w:t>.</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1175C03E" w14:textId="77777777" w:rsidR="00871293"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60D2F47F" w14:textId="1074BE78" w:rsidR="006616F9" w:rsidRDefault="006616F9" w:rsidP="0090410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nedochádza.</w:t>
      </w:r>
    </w:p>
    <w:p w14:paraId="184E2A8E" w14:textId="777F1198" w:rsidR="00871293" w:rsidRPr="006616F9" w:rsidRDefault="00871293" w:rsidP="00904103">
      <w:pPr>
        <w:spacing w:before="120" w:after="120" w:line="240" w:lineRule="auto"/>
        <w:jc w:val="both"/>
        <w:rPr>
          <w:rFonts w:ascii="Times New Roman" w:eastAsia="Calibri" w:hAnsi="Times New Roman" w:cs="Times New Roman"/>
          <w:sz w:val="24"/>
          <w:szCs w:val="24"/>
        </w:rPr>
      </w:pPr>
      <w:r w:rsidRPr="006616F9">
        <w:rPr>
          <w:rFonts w:ascii="Times New Roman" w:eastAsia="Calibri" w:hAnsi="Times New Roman" w:cs="Times New Roman"/>
          <w:sz w:val="24"/>
          <w:szCs w:val="24"/>
        </w:rPr>
        <w:t>Zriaďovatelia súkromných materských škôl majú rovnaké možnosti ako ostatní zriaďovatelia na pokrytie nákladov spojených so zavedením právneho nároku na prijatie na predprimárne vzdelávanie v materskej škole požiadať o finančné prostriedky MŠVVaŠ SR, ako aj zapojiť sa do výziev podporovaných z POO a z EŠIF.</w:t>
      </w:r>
    </w:p>
    <w:p w14:paraId="74A6C288" w14:textId="5A794933" w:rsidR="00054C41" w:rsidRPr="00262078" w:rsidRDefault="00CA370A" w:rsidP="0090410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Taktiež bude s</w:t>
      </w:r>
      <w:r w:rsidR="00262078">
        <w:rPr>
          <w:rFonts w:ascii="Times New Roman" w:eastAsia="Calibri" w:hAnsi="Times New Roman" w:cs="Times New Roman"/>
          <w:sz w:val="24"/>
          <w:szCs w:val="24"/>
        </w:rPr>
        <w:t>úkromným zriaďovateľom škôl a školský</w:t>
      </w:r>
      <w:r>
        <w:rPr>
          <w:rFonts w:ascii="Times New Roman" w:eastAsia="Calibri" w:hAnsi="Times New Roman" w:cs="Times New Roman"/>
          <w:sz w:val="24"/>
          <w:szCs w:val="24"/>
        </w:rPr>
        <w:t>ch</w:t>
      </w:r>
      <w:r w:rsidR="00262078">
        <w:rPr>
          <w:rFonts w:ascii="Times New Roman" w:eastAsia="Calibri" w:hAnsi="Times New Roman" w:cs="Times New Roman"/>
          <w:sz w:val="24"/>
          <w:szCs w:val="24"/>
        </w:rPr>
        <w:t xml:space="preserve"> zariaden</w:t>
      </w:r>
      <w:r>
        <w:rPr>
          <w:rFonts w:ascii="Times New Roman" w:eastAsia="Calibri" w:hAnsi="Times New Roman" w:cs="Times New Roman"/>
          <w:sz w:val="24"/>
          <w:szCs w:val="24"/>
        </w:rPr>
        <w:t>í</w:t>
      </w:r>
      <w:r w:rsidR="00262078">
        <w:rPr>
          <w:rFonts w:ascii="Times New Roman" w:eastAsia="Calibri" w:hAnsi="Times New Roman" w:cs="Times New Roman"/>
          <w:sz w:val="24"/>
          <w:szCs w:val="24"/>
        </w:rPr>
        <w:t xml:space="preserve"> príspevok na podporné opatrenia poskytovaný rovnako, ako iným zriaďovateľom. </w:t>
      </w:r>
      <w:r>
        <w:rPr>
          <w:rFonts w:ascii="Times New Roman" w:eastAsia="Calibri" w:hAnsi="Times New Roman" w:cs="Times New Roman"/>
          <w:sz w:val="24"/>
          <w:szCs w:val="24"/>
        </w:rPr>
        <w:t xml:space="preserve">Rovnako </w:t>
      </w:r>
      <w:r w:rsidR="00EE4CD8">
        <w:rPr>
          <w:rFonts w:ascii="Times New Roman" w:eastAsia="Calibri" w:hAnsi="Times New Roman" w:cs="Times New Roman"/>
          <w:sz w:val="24"/>
          <w:szCs w:val="24"/>
        </w:rPr>
        <w:t xml:space="preserve">iné nové právne ustanovenia nerozlišujú medzi </w:t>
      </w:r>
      <w:r w:rsidR="00F311CD">
        <w:rPr>
          <w:rFonts w:ascii="Times New Roman" w:eastAsia="Calibri" w:hAnsi="Times New Roman" w:cs="Times New Roman"/>
          <w:sz w:val="24"/>
          <w:szCs w:val="24"/>
        </w:rPr>
        <w:t>súkromnými</w:t>
      </w:r>
      <w:r w:rsidR="00EE4CD8">
        <w:rPr>
          <w:rFonts w:ascii="Times New Roman" w:eastAsia="Calibri" w:hAnsi="Times New Roman" w:cs="Times New Roman"/>
          <w:sz w:val="24"/>
          <w:szCs w:val="24"/>
        </w:rPr>
        <w:t xml:space="preserve"> a inými zriaďovateľmi škôl a školských zariadení.</w:t>
      </w:r>
      <w:r w:rsidR="00262078">
        <w:rPr>
          <w:rFonts w:ascii="Times New Roman" w:eastAsia="Calibri" w:hAnsi="Times New Roman" w:cs="Times New Roman"/>
          <w:sz w:val="24"/>
          <w:szCs w:val="24"/>
        </w:rPr>
        <w:t xml:space="preserve"> </w:t>
      </w:r>
    </w:p>
    <w:p w14:paraId="78B147CF" w14:textId="77777777" w:rsidR="008946A5" w:rsidRDefault="00054C41" w:rsidP="00904103">
      <w:pPr>
        <w:spacing w:before="120" w:after="12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3C81D3E4" w14:textId="633EBBA3" w:rsidR="00054C41" w:rsidRPr="00D8247C" w:rsidRDefault="00636360" w:rsidP="00904103">
      <w:pPr>
        <w:spacing w:before="120" w:after="120" w:line="240" w:lineRule="auto"/>
        <w:jc w:val="both"/>
        <w:rPr>
          <w:rFonts w:ascii="Times New Roman" w:eastAsia="Calibri" w:hAnsi="Times New Roman" w:cs="Times New Roman"/>
          <w:i/>
          <w:sz w:val="24"/>
          <w:szCs w:val="24"/>
        </w:rPr>
      </w:pPr>
      <w:r w:rsidRPr="00636360">
        <w:rPr>
          <w:rFonts w:ascii="Times New Roman" w:eastAsia="Calibri" w:hAnsi="Times New Roman" w:cs="Times New Roman"/>
          <w:sz w:val="24"/>
          <w:szCs w:val="24"/>
        </w:rPr>
        <w:t xml:space="preserve">Nie, nebude. </w:t>
      </w:r>
    </w:p>
    <w:p w14:paraId="5BAAAEAA" w14:textId="492A1F62"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r w:rsidR="00F64E57" w:rsidRPr="00F64E57">
        <w:rPr>
          <w:rFonts w:ascii="Times New Roman" w:eastAsia="Calibri" w:hAnsi="Times New Roman" w:cs="Times New Roman"/>
          <w:sz w:val="24"/>
          <w:szCs w:val="24"/>
        </w:rPr>
        <w:t>Nie</w:t>
      </w:r>
      <w:r w:rsidR="00F64E57">
        <w:rPr>
          <w:rFonts w:ascii="Times New Roman" w:eastAsia="Calibri" w:hAnsi="Times New Roman" w:cs="Times New Roman"/>
          <w:sz w:val="24"/>
          <w:szCs w:val="24"/>
        </w:rPr>
        <w:t xml:space="preserve">, neovplyvňuje. </w:t>
      </w:r>
    </w:p>
    <w:p w14:paraId="1F825C08" w14:textId="77777777" w:rsidR="008946A5"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DFB8B9F" w14:textId="441CCA1C" w:rsidR="00054C41" w:rsidRPr="008946A5" w:rsidRDefault="00871293" w:rsidP="00054C41">
      <w:pPr>
        <w:spacing w:after="0"/>
        <w:jc w:val="both"/>
        <w:rPr>
          <w:rFonts w:ascii="Times New Roman" w:eastAsia="Calibri" w:hAnsi="Times New Roman" w:cs="Times New Roman"/>
          <w:sz w:val="24"/>
          <w:szCs w:val="24"/>
        </w:rPr>
      </w:pPr>
      <w:r w:rsidRPr="008946A5">
        <w:rPr>
          <w:rFonts w:ascii="Times New Roman" w:eastAsia="Calibri" w:hAnsi="Times New Roman" w:cs="Times New Roman"/>
          <w:sz w:val="24"/>
          <w:szCs w:val="24"/>
        </w:rPr>
        <w:t>Nie neovplyvní.</w:t>
      </w:r>
    </w:p>
    <w:p w14:paraId="743E93FA" w14:textId="77777777" w:rsidR="00871293" w:rsidRDefault="00871293" w:rsidP="00054C41">
      <w:pPr>
        <w:spacing w:after="0"/>
        <w:jc w:val="both"/>
        <w:rPr>
          <w:rFonts w:ascii="Times New Roman" w:eastAsia="Calibri" w:hAnsi="Times New Roman" w:cs="Times New Roman"/>
          <w:i/>
          <w:sz w:val="24"/>
          <w:szCs w:val="24"/>
        </w:rPr>
      </w:pPr>
    </w:p>
    <w:p w14:paraId="1FAEDE79" w14:textId="77777777" w:rsidR="008946A5" w:rsidRDefault="007259CB" w:rsidP="00F64E57">
      <w:pPr>
        <w:spacing w:after="0"/>
        <w:jc w:val="both"/>
        <w:rPr>
          <w:rFonts w:ascii="Times New Roman" w:eastAsia="Calibri" w:hAnsi="Times New Roman" w:cs="Times New Roman"/>
          <w:sz w:val="24"/>
          <w:szCs w:val="24"/>
        </w:rPr>
      </w:pPr>
      <w:r>
        <w:rPr>
          <w:rFonts w:ascii="Times New Roman" w:eastAsia="Calibri" w:hAnsi="Times New Roman" w:cs="Times New Roman"/>
          <w:i/>
          <w:sz w:val="24"/>
          <w:szCs w:val="24"/>
        </w:rPr>
        <w:t>Ovplyvňuje zmena regulácie inovácie, vedu a výskum?</w:t>
      </w:r>
      <w:r w:rsidR="00F64E57" w:rsidRPr="00F64E57">
        <w:rPr>
          <w:rFonts w:ascii="Times New Roman" w:eastAsia="Calibri" w:hAnsi="Times New Roman" w:cs="Times New Roman"/>
          <w:sz w:val="24"/>
          <w:szCs w:val="24"/>
        </w:rPr>
        <w:t xml:space="preserve"> </w:t>
      </w:r>
    </w:p>
    <w:p w14:paraId="4E876A4A" w14:textId="671159CC" w:rsidR="00F64E57" w:rsidRPr="00D8247C" w:rsidRDefault="00F64E57" w:rsidP="00F64E57">
      <w:pPr>
        <w:spacing w:after="0"/>
        <w:jc w:val="both"/>
        <w:rPr>
          <w:rFonts w:ascii="Times New Roman" w:eastAsia="Calibri" w:hAnsi="Times New Roman" w:cs="Times New Roman"/>
          <w:i/>
          <w:sz w:val="24"/>
          <w:szCs w:val="24"/>
        </w:rPr>
      </w:pPr>
      <w:r w:rsidRPr="00F64E57">
        <w:rPr>
          <w:rFonts w:ascii="Times New Roman" w:eastAsia="Calibri" w:hAnsi="Times New Roman" w:cs="Times New Roman"/>
          <w:sz w:val="24"/>
          <w:szCs w:val="24"/>
        </w:rPr>
        <w:t>Nie</w:t>
      </w:r>
      <w:r>
        <w:rPr>
          <w:rFonts w:ascii="Times New Roman" w:eastAsia="Calibri" w:hAnsi="Times New Roman" w:cs="Times New Roman"/>
          <w:sz w:val="24"/>
          <w:szCs w:val="24"/>
        </w:rPr>
        <w:t xml:space="preserve">, neovplyvňuje.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p>
    <w:p w14:paraId="27296B97" w14:textId="77777777" w:rsidR="008946A5"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r w:rsidR="00F64E57">
        <w:rPr>
          <w:rFonts w:ascii="Times New Roman" w:eastAsia="Calibri" w:hAnsi="Times New Roman" w:cs="Times New Roman"/>
          <w:i/>
          <w:iCs/>
          <w:sz w:val="24"/>
          <w:szCs w:val="24"/>
        </w:rPr>
        <w:t xml:space="preserve"> </w:t>
      </w:r>
    </w:p>
    <w:p w14:paraId="762820C2" w14:textId="1BA179F0" w:rsidR="00054C41" w:rsidRPr="008946A5" w:rsidRDefault="008946A5" w:rsidP="00054C41">
      <w:pPr>
        <w:spacing w:after="0"/>
        <w:jc w:val="both"/>
        <w:rPr>
          <w:rFonts w:ascii="Times New Roman" w:eastAsia="Calibri" w:hAnsi="Times New Roman" w:cs="Times New Roman"/>
          <w:i/>
          <w:sz w:val="24"/>
          <w:szCs w:val="24"/>
        </w:rPr>
      </w:pPr>
      <w:r>
        <w:rPr>
          <w:rFonts w:ascii="Times New Roman" w:eastAsia="Calibri" w:hAnsi="Times New Roman" w:cs="Times New Roman"/>
          <w:iCs/>
          <w:sz w:val="24"/>
          <w:szCs w:val="24"/>
        </w:rPr>
        <w:t xml:space="preserve">Zmena nemá takýto dopad. </w:t>
      </w:r>
    </w:p>
    <w:p w14:paraId="7C7DB60C" w14:textId="2BA6CAB8" w:rsidR="00054C41" w:rsidRDefault="00054C41" w:rsidP="00054C41">
      <w:pPr>
        <w:spacing w:after="0"/>
        <w:jc w:val="both"/>
        <w:rPr>
          <w:rFonts w:ascii="Times New Roman" w:eastAsia="Calibri" w:hAnsi="Times New Roman" w:cs="Times New Roman"/>
          <w:i/>
          <w:sz w:val="24"/>
          <w:szCs w:val="24"/>
        </w:rPr>
      </w:pPr>
    </w:p>
    <w:p w14:paraId="38BBBC67" w14:textId="153780CE" w:rsidR="00E97346" w:rsidRDefault="00E97346" w:rsidP="00054C41">
      <w:pPr>
        <w:spacing w:after="0"/>
        <w:jc w:val="both"/>
        <w:rPr>
          <w:rFonts w:ascii="Times New Roman" w:eastAsia="Calibri" w:hAnsi="Times New Roman" w:cs="Times New Roman"/>
          <w:i/>
          <w:sz w:val="24"/>
          <w:szCs w:val="24"/>
        </w:rPr>
      </w:pPr>
    </w:p>
    <w:p w14:paraId="0D5519F5" w14:textId="77777777" w:rsidR="00E97346" w:rsidRPr="00D8247C" w:rsidRDefault="00E97346"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lastRenderedPageBreak/>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52574D73" w:rsidR="00054C41" w:rsidRPr="00D8247C" w:rsidRDefault="008A42D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636B5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4985312C" w14:textId="77777777" w:rsidR="00825238"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C89139A" w14:textId="70856BCB" w:rsidR="00054C41" w:rsidRPr="00871293" w:rsidRDefault="00F64E57" w:rsidP="00054C41">
      <w:pPr>
        <w:spacing w:after="0"/>
        <w:jc w:val="both"/>
        <w:rPr>
          <w:rFonts w:ascii="Times New Roman" w:eastAsia="Calibri" w:hAnsi="Times New Roman" w:cs="Times New Roman"/>
          <w:sz w:val="24"/>
          <w:szCs w:val="24"/>
        </w:rPr>
      </w:pPr>
      <w:r w:rsidRPr="00871293">
        <w:rPr>
          <w:rFonts w:ascii="Times New Roman" w:eastAsia="Calibri" w:hAnsi="Times New Roman" w:cs="Times New Roman"/>
          <w:sz w:val="24"/>
          <w:szCs w:val="24"/>
        </w:rPr>
        <w:t xml:space="preserve">Nemá vplyv.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F98790" w:rsidR="00054C41" w:rsidRPr="00D8247C" w:rsidRDefault="008A42D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636B5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Pr="007B57B5" w:rsidRDefault="00FF414B" w:rsidP="00FF414B">
      <w:pPr>
        <w:pStyle w:val="Odsekzoznamu"/>
        <w:numPr>
          <w:ilvl w:val="0"/>
          <w:numId w:val="6"/>
        </w:numPr>
        <w:spacing w:after="0" w:line="254" w:lineRule="auto"/>
        <w:jc w:val="both"/>
        <w:rPr>
          <w:rFonts w:ascii="Times New Roman" w:eastAsia="Calibri" w:hAnsi="Times New Roman" w:cs="Times New Roman"/>
          <w:b/>
          <w:i/>
          <w:sz w:val="24"/>
          <w:szCs w:val="24"/>
          <w:u w:val="single"/>
        </w:rPr>
      </w:pPr>
      <w:r w:rsidRPr="007B57B5">
        <w:rPr>
          <w:rFonts w:ascii="Times New Roman" w:eastAsia="Calibri" w:hAnsi="Times New Roman" w:cs="Times New Roman"/>
          <w:b/>
          <w:i/>
          <w:sz w:val="24"/>
          <w:szCs w:val="24"/>
          <w:u w:val="single"/>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73836226" w14:textId="77777777" w:rsidR="00825238" w:rsidRDefault="00825238" w:rsidP="00904103">
      <w:pPr>
        <w:spacing w:before="120" w:after="120" w:line="240" w:lineRule="auto"/>
        <w:jc w:val="both"/>
        <w:rPr>
          <w:rFonts w:ascii="Times New Roman" w:eastAsia="Calibri" w:hAnsi="Times New Roman" w:cs="Times New Roman"/>
          <w:sz w:val="24"/>
          <w:szCs w:val="24"/>
        </w:rPr>
      </w:pPr>
    </w:p>
    <w:p w14:paraId="789A0AC6" w14:textId="77777777"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Zavedením nového systému podporných opatrení vo výchove a vzdelávaní sa zavádza aj nový príspevok na podporné opatrenia do zákona č. 597/2003 Z. z., na základe ktorého ministerstvo školstva bude môcť prideliť účelovo viazaný finančný príspevok všetkým zriaďovateľom škôl a školských zariadení, vrátane súkromných. </w:t>
      </w:r>
    </w:p>
    <w:p w14:paraId="489C3FBF" w14:textId="77777777"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Finančne najrozsiahlejšie sú plánované dva príspevky: príspevok na financovanie pedagogických asistentov (nový </w:t>
      </w:r>
      <w:r w:rsidRPr="007A4E51">
        <w:rPr>
          <w:rFonts w:ascii="Times New Roman" w:eastAsia="Calibri" w:hAnsi="Times New Roman" w:cs="Times New Roman"/>
          <w:bCs/>
          <w:iCs/>
          <w:color w:val="000000"/>
          <w:sz w:val="24"/>
          <w:szCs w:val="24"/>
        </w:rPr>
        <w:t>§4e</w:t>
      </w:r>
      <w:r>
        <w:rPr>
          <w:rFonts w:ascii="Times New Roman" w:eastAsia="Calibri" w:hAnsi="Times New Roman" w:cs="Times New Roman"/>
          <w:bCs/>
          <w:iCs/>
          <w:color w:val="000000"/>
          <w:sz w:val="24"/>
          <w:szCs w:val="24"/>
        </w:rPr>
        <w:t>, ods. 1, písm. a))</w:t>
      </w:r>
      <w:r w:rsidRPr="007A4E51">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a financovanie školských podporných tímov (nový </w:t>
      </w:r>
      <w:r w:rsidRPr="007A4E51">
        <w:rPr>
          <w:rFonts w:ascii="Times New Roman" w:eastAsia="Calibri" w:hAnsi="Times New Roman" w:cs="Times New Roman"/>
          <w:bCs/>
          <w:iCs/>
          <w:color w:val="000000"/>
          <w:sz w:val="24"/>
          <w:szCs w:val="24"/>
        </w:rPr>
        <w:t>§4e</w:t>
      </w:r>
      <w:r>
        <w:rPr>
          <w:rFonts w:ascii="Times New Roman" w:eastAsia="Calibri" w:hAnsi="Times New Roman" w:cs="Times New Roman"/>
          <w:bCs/>
          <w:iCs/>
          <w:color w:val="000000"/>
          <w:sz w:val="24"/>
          <w:szCs w:val="24"/>
        </w:rPr>
        <w:t xml:space="preserve">, ods. 1, písm. a)). Pri prideľovaní oboch príspevkov sa predpokladá prideľovanie finančných prostriedkov podľa druhu školy, veľkosti školy a podielu detí/žiakov so špeciálnymi výchovnými vzdelávacími potrebami (viď popisná časť </w:t>
      </w:r>
      <w:r w:rsidRPr="00A7239A">
        <w:rPr>
          <w:rFonts w:ascii="Times New Roman" w:eastAsia="Calibri" w:hAnsi="Times New Roman" w:cs="Times New Roman"/>
          <w:bCs/>
          <w:iCs/>
          <w:color w:val="000000"/>
          <w:sz w:val="24"/>
          <w:szCs w:val="24"/>
        </w:rPr>
        <w:t>Analýz</w:t>
      </w:r>
      <w:r>
        <w:rPr>
          <w:rFonts w:ascii="Times New Roman" w:eastAsia="Calibri" w:hAnsi="Times New Roman" w:cs="Times New Roman"/>
          <w:bCs/>
          <w:iCs/>
          <w:color w:val="000000"/>
          <w:sz w:val="24"/>
          <w:szCs w:val="24"/>
        </w:rPr>
        <w:t>y</w:t>
      </w:r>
      <w:r w:rsidRPr="00A7239A">
        <w:rPr>
          <w:rFonts w:ascii="Times New Roman" w:eastAsia="Calibri" w:hAnsi="Times New Roman" w:cs="Times New Roman"/>
          <w:bCs/>
          <w:iCs/>
          <w:color w:val="000000"/>
          <w:sz w:val="24"/>
          <w:szCs w:val="24"/>
        </w:rPr>
        <w:t xml:space="preserve"> vplyvov na rozpočet verejnej správy,</w:t>
      </w:r>
      <w:r>
        <w:rPr>
          <w:rFonts w:ascii="Times New Roman" w:eastAsia="Calibri" w:hAnsi="Times New Roman" w:cs="Times New Roman"/>
          <w:bCs/>
          <w:iCs/>
          <w:color w:val="000000"/>
          <w:sz w:val="24"/>
          <w:szCs w:val="24"/>
        </w:rPr>
        <w:t xml:space="preserve"> </w:t>
      </w:r>
      <w:r w:rsidRPr="00A7239A">
        <w:rPr>
          <w:rFonts w:ascii="Times New Roman" w:eastAsia="Calibri" w:hAnsi="Times New Roman" w:cs="Times New Roman"/>
          <w:bCs/>
          <w:iCs/>
          <w:color w:val="000000"/>
          <w:sz w:val="24"/>
          <w:szCs w:val="24"/>
        </w:rPr>
        <w:t>na zamestnanosť vo verejnej správe a financovanie návrhu</w:t>
      </w:r>
      <w:r>
        <w:rPr>
          <w:rFonts w:ascii="Times New Roman" w:eastAsia="Calibri" w:hAnsi="Times New Roman" w:cs="Times New Roman"/>
          <w:bCs/>
          <w:iCs/>
          <w:color w:val="000000"/>
          <w:sz w:val="24"/>
          <w:szCs w:val="24"/>
        </w:rPr>
        <w:t xml:space="preserve">). Na základe tohto ustanovenia zriaďovatelia súkromných škôl dostanú finančné prostriedky z príspevku na podporné opatrenia na základe rovnakých pravidiel, ako iní zriaďovatelia. </w:t>
      </w:r>
    </w:p>
    <w:p w14:paraId="2D4658EE" w14:textId="14D18B8C"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Na základe predbežných návrhov financovania pedagogických asistentov by z príspevku na podporné opatrenia súkromní zriaďovatelia základných, stredných a špeciálnych škôl získali od 1.9.2024 dokopy 955 tisíc Eur ročne zo štátneho rozpočtu a  súkromní zriaďovatelia materských škôl od 1.9.2026 dokopy 764 475 Eur ročne navyše. Všetky tieto finančné prostriedky budú účelovo viazané na poskytovanie podporných opatrení. </w:t>
      </w:r>
    </w:p>
    <w:p w14:paraId="45E32E89" w14:textId="377D0BD8" w:rsidR="00E97346" w:rsidRDefault="00E97346" w:rsidP="007B57B5">
      <w:pPr>
        <w:jc w:val="both"/>
        <w:rPr>
          <w:rFonts w:ascii="Times New Roman" w:eastAsia="Calibri" w:hAnsi="Times New Roman" w:cs="Times New Roman"/>
          <w:bCs/>
          <w:iCs/>
          <w:color w:val="000000"/>
          <w:sz w:val="24"/>
          <w:szCs w:val="24"/>
        </w:rPr>
      </w:pPr>
    </w:p>
    <w:p w14:paraId="533C41A6" w14:textId="77777777" w:rsidR="00E97346" w:rsidRDefault="00E97346" w:rsidP="007B57B5">
      <w:pPr>
        <w:jc w:val="both"/>
        <w:rPr>
          <w:rFonts w:ascii="Times New Roman" w:eastAsia="Calibri" w:hAnsi="Times New Roman" w:cs="Times New Roman"/>
          <w:bCs/>
          <w:iCs/>
          <w:color w:val="000000"/>
          <w:sz w:val="24"/>
          <w:szCs w:val="24"/>
        </w:rPr>
      </w:pPr>
    </w:p>
    <w:p w14:paraId="7ECE746E" w14:textId="77777777" w:rsidR="007B57B5" w:rsidRPr="00E97346" w:rsidRDefault="007B57B5" w:rsidP="007B57B5">
      <w:pPr>
        <w:jc w:val="both"/>
        <w:rPr>
          <w:rFonts w:ascii="Times New Roman" w:eastAsia="Calibri" w:hAnsi="Times New Roman" w:cs="Times New Roman"/>
          <w:b/>
          <w:bCs/>
          <w:iCs/>
          <w:color w:val="000000"/>
          <w:sz w:val="24"/>
          <w:szCs w:val="24"/>
        </w:rPr>
      </w:pPr>
      <w:r w:rsidRPr="00E97346">
        <w:rPr>
          <w:rFonts w:ascii="Times New Roman" w:eastAsia="Calibri" w:hAnsi="Times New Roman" w:cs="Times New Roman"/>
          <w:b/>
          <w:bCs/>
          <w:iCs/>
          <w:color w:val="000000"/>
          <w:sz w:val="24"/>
          <w:szCs w:val="24"/>
        </w:rPr>
        <w:lastRenderedPageBreak/>
        <w:t>Nový príspevok na pedagogických asistentov pre súkromných zriaďovateľov škôl</w:t>
      </w:r>
    </w:p>
    <w:tbl>
      <w:tblPr>
        <w:tblStyle w:val="Mriekatabuky"/>
        <w:tblW w:w="9203" w:type="dxa"/>
        <w:tblLook w:val="04A0" w:firstRow="1" w:lastRow="0" w:firstColumn="1" w:lastColumn="0" w:noHBand="0" w:noVBand="1"/>
      </w:tblPr>
      <w:tblGrid>
        <w:gridCol w:w="2786"/>
        <w:gridCol w:w="1178"/>
        <w:gridCol w:w="993"/>
        <w:gridCol w:w="1462"/>
        <w:gridCol w:w="1395"/>
        <w:gridCol w:w="1389"/>
      </w:tblGrid>
      <w:tr w:rsidR="007B57B5" w14:paraId="73B478B3" w14:textId="77777777" w:rsidTr="00D10DBD">
        <w:trPr>
          <w:trHeight w:val="486"/>
        </w:trPr>
        <w:tc>
          <w:tcPr>
            <w:tcW w:w="2786" w:type="dxa"/>
          </w:tcPr>
          <w:p w14:paraId="51559539" w14:textId="77777777" w:rsidR="007B57B5" w:rsidRDefault="007B57B5" w:rsidP="00D10DBD">
            <w:pPr>
              <w:jc w:val="both"/>
              <w:rPr>
                <w:rFonts w:ascii="Times New Roman" w:eastAsia="Calibri" w:hAnsi="Times New Roman" w:cs="Times New Roman"/>
                <w:bCs/>
                <w:iCs/>
                <w:color w:val="000000"/>
                <w:sz w:val="24"/>
                <w:szCs w:val="24"/>
              </w:rPr>
            </w:pPr>
          </w:p>
        </w:tc>
        <w:tc>
          <w:tcPr>
            <w:tcW w:w="1178" w:type="dxa"/>
            <w:vAlign w:val="center"/>
          </w:tcPr>
          <w:p w14:paraId="5B4A8FE3"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hAnsi="Times New Roman" w:cs="Times New Roman"/>
                <w:bCs/>
                <w:color w:val="000000"/>
                <w:sz w:val="24"/>
                <w:szCs w:val="24"/>
              </w:rPr>
              <w:t>Termín zavedenia</w:t>
            </w:r>
          </w:p>
        </w:tc>
        <w:tc>
          <w:tcPr>
            <w:tcW w:w="993" w:type="dxa"/>
          </w:tcPr>
          <w:p w14:paraId="567ECBAF"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Počet PA</w:t>
            </w:r>
          </w:p>
        </w:tc>
        <w:tc>
          <w:tcPr>
            <w:tcW w:w="1462" w:type="dxa"/>
          </w:tcPr>
          <w:p w14:paraId="5958D8B5"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2024</w:t>
            </w:r>
          </w:p>
        </w:tc>
        <w:tc>
          <w:tcPr>
            <w:tcW w:w="1395" w:type="dxa"/>
          </w:tcPr>
          <w:p w14:paraId="407E7351"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2025</w:t>
            </w:r>
          </w:p>
        </w:tc>
        <w:tc>
          <w:tcPr>
            <w:tcW w:w="1389" w:type="dxa"/>
          </w:tcPr>
          <w:p w14:paraId="4E1AC2EA"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2026</w:t>
            </w:r>
          </w:p>
        </w:tc>
      </w:tr>
      <w:tr w:rsidR="007B57B5" w14:paraId="35E8D562" w14:textId="77777777" w:rsidTr="00D10DBD">
        <w:trPr>
          <w:trHeight w:val="486"/>
        </w:trPr>
        <w:tc>
          <w:tcPr>
            <w:tcW w:w="2786" w:type="dxa"/>
          </w:tcPr>
          <w:p w14:paraId="6D87683B" w14:textId="77777777" w:rsidR="007B57B5" w:rsidRPr="00D70C46" w:rsidRDefault="007B57B5" w:rsidP="00D10DBD">
            <w:pPr>
              <w:jc w:val="both"/>
              <w:rPr>
                <w:b/>
                <w:bCs/>
                <w:color w:val="000000"/>
              </w:rPr>
            </w:pPr>
          </w:p>
        </w:tc>
        <w:tc>
          <w:tcPr>
            <w:tcW w:w="1178" w:type="dxa"/>
            <w:vAlign w:val="center"/>
          </w:tcPr>
          <w:p w14:paraId="7EB68D5A" w14:textId="77777777" w:rsidR="007B57B5" w:rsidRDefault="007B57B5" w:rsidP="00D10DBD">
            <w:pPr>
              <w:jc w:val="both"/>
              <w:rPr>
                <w:rFonts w:ascii="Times New Roman" w:eastAsia="Calibri" w:hAnsi="Times New Roman" w:cs="Times New Roman"/>
                <w:bCs/>
                <w:iCs/>
                <w:color w:val="000000"/>
                <w:sz w:val="24"/>
                <w:szCs w:val="24"/>
              </w:rPr>
            </w:pPr>
          </w:p>
        </w:tc>
        <w:tc>
          <w:tcPr>
            <w:tcW w:w="993" w:type="dxa"/>
          </w:tcPr>
          <w:p w14:paraId="3C59A185" w14:textId="77777777" w:rsidR="007B57B5" w:rsidRDefault="007B57B5" w:rsidP="00D10DBD">
            <w:pPr>
              <w:jc w:val="both"/>
              <w:rPr>
                <w:rFonts w:ascii="Times New Roman" w:eastAsia="Calibri" w:hAnsi="Times New Roman" w:cs="Times New Roman"/>
                <w:bCs/>
                <w:iCs/>
                <w:color w:val="000000"/>
                <w:sz w:val="24"/>
                <w:szCs w:val="24"/>
              </w:rPr>
            </w:pPr>
          </w:p>
        </w:tc>
        <w:tc>
          <w:tcPr>
            <w:tcW w:w="1462" w:type="dxa"/>
          </w:tcPr>
          <w:p w14:paraId="55962D7A" w14:textId="77777777" w:rsidR="007B57B5" w:rsidRDefault="007B57B5" w:rsidP="00D10DBD">
            <w:pPr>
              <w:jc w:val="both"/>
              <w:rPr>
                <w:rFonts w:ascii="Times New Roman" w:eastAsia="Calibri" w:hAnsi="Times New Roman" w:cs="Times New Roman"/>
                <w:bCs/>
                <w:iCs/>
                <w:color w:val="000000"/>
                <w:sz w:val="24"/>
                <w:szCs w:val="24"/>
              </w:rPr>
            </w:pPr>
          </w:p>
        </w:tc>
        <w:tc>
          <w:tcPr>
            <w:tcW w:w="1395" w:type="dxa"/>
          </w:tcPr>
          <w:p w14:paraId="7D5B8A11" w14:textId="77777777" w:rsidR="007B57B5" w:rsidRDefault="007B57B5" w:rsidP="00D10DBD">
            <w:pPr>
              <w:jc w:val="both"/>
              <w:rPr>
                <w:rFonts w:ascii="Times New Roman" w:eastAsia="Calibri" w:hAnsi="Times New Roman" w:cs="Times New Roman"/>
                <w:bCs/>
                <w:iCs/>
                <w:color w:val="000000"/>
                <w:sz w:val="24"/>
                <w:szCs w:val="24"/>
              </w:rPr>
            </w:pPr>
          </w:p>
        </w:tc>
        <w:tc>
          <w:tcPr>
            <w:tcW w:w="1389" w:type="dxa"/>
          </w:tcPr>
          <w:p w14:paraId="3BCCABD5" w14:textId="77777777" w:rsidR="007B57B5" w:rsidRDefault="007B57B5" w:rsidP="00D10DBD">
            <w:pPr>
              <w:jc w:val="both"/>
              <w:rPr>
                <w:rFonts w:ascii="Times New Roman" w:eastAsia="Calibri" w:hAnsi="Times New Roman" w:cs="Times New Roman"/>
                <w:bCs/>
                <w:iCs/>
                <w:color w:val="000000"/>
                <w:sz w:val="24"/>
                <w:szCs w:val="24"/>
              </w:rPr>
            </w:pPr>
          </w:p>
        </w:tc>
      </w:tr>
      <w:tr w:rsidR="007B57B5" w14:paraId="2DCAE786" w14:textId="77777777" w:rsidTr="00D10DBD">
        <w:trPr>
          <w:trHeight w:val="243"/>
        </w:trPr>
        <w:tc>
          <w:tcPr>
            <w:tcW w:w="2786" w:type="dxa"/>
          </w:tcPr>
          <w:p w14:paraId="404EE39F"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ZŠ a SŠ</w:t>
            </w:r>
          </w:p>
        </w:tc>
        <w:tc>
          <w:tcPr>
            <w:tcW w:w="1178" w:type="dxa"/>
          </w:tcPr>
          <w:p w14:paraId="2D7F2E7E"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993" w:type="dxa"/>
          </w:tcPr>
          <w:p w14:paraId="0327688D"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50</w:t>
            </w:r>
          </w:p>
        </w:tc>
        <w:tc>
          <w:tcPr>
            <w:tcW w:w="1462" w:type="dxa"/>
          </w:tcPr>
          <w:p w14:paraId="19E2955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318 531 €</w:t>
            </w:r>
          </w:p>
        </w:tc>
        <w:tc>
          <w:tcPr>
            <w:tcW w:w="1395" w:type="dxa"/>
          </w:tcPr>
          <w:p w14:paraId="24889D61"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955 594 €</w:t>
            </w:r>
          </w:p>
        </w:tc>
        <w:tc>
          <w:tcPr>
            <w:tcW w:w="1389" w:type="dxa"/>
          </w:tcPr>
          <w:p w14:paraId="280A4A23"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955 594 €</w:t>
            </w:r>
          </w:p>
        </w:tc>
      </w:tr>
      <w:tr w:rsidR="007B57B5" w14:paraId="50F3B1FE" w14:textId="77777777" w:rsidTr="00D10DBD">
        <w:trPr>
          <w:trHeight w:val="243"/>
        </w:trPr>
        <w:tc>
          <w:tcPr>
            <w:tcW w:w="2786" w:type="dxa"/>
          </w:tcPr>
          <w:p w14:paraId="5C20CC1B"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xml:space="preserve">. zriaďovatelia </w:t>
            </w:r>
            <w:proofErr w:type="spellStart"/>
            <w:r>
              <w:rPr>
                <w:rFonts w:ascii="Times New Roman" w:eastAsia="Calibri" w:hAnsi="Times New Roman" w:cs="Times New Roman"/>
                <w:bCs/>
                <w:iCs/>
                <w:color w:val="000000"/>
                <w:sz w:val="24"/>
                <w:szCs w:val="24"/>
              </w:rPr>
              <w:t>špec</w:t>
            </w:r>
            <w:proofErr w:type="spellEnd"/>
            <w:r>
              <w:rPr>
                <w:rFonts w:ascii="Times New Roman" w:eastAsia="Calibri" w:hAnsi="Times New Roman" w:cs="Times New Roman"/>
                <w:bCs/>
                <w:iCs/>
                <w:color w:val="000000"/>
                <w:sz w:val="24"/>
                <w:szCs w:val="24"/>
              </w:rPr>
              <w:t>. škôl</w:t>
            </w:r>
          </w:p>
        </w:tc>
        <w:tc>
          <w:tcPr>
            <w:tcW w:w="1178" w:type="dxa"/>
          </w:tcPr>
          <w:p w14:paraId="71430C23"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993" w:type="dxa"/>
          </w:tcPr>
          <w:p w14:paraId="34357CDF"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40</w:t>
            </w:r>
          </w:p>
        </w:tc>
        <w:tc>
          <w:tcPr>
            <w:tcW w:w="1462" w:type="dxa"/>
          </w:tcPr>
          <w:p w14:paraId="03044F0E"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254 825 €</w:t>
            </w:r>
          </w:p>
        </w:tc>
        <w:tc>
          <w:tcPr>
            <w:tcW w:w="1395" w:type="dxa"/>
          </w:tcPr>
          <w:p w14:paraId="57598FF8"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764 475</w:t>
            </w:r>
            <w:r>
              <w:rPr>
                <w:rFonts w:ascii="Times New Roman" w:eastAsia="Calibri" w:hAnsi="Times New Roman" w:cs="Times New Roman"/>
                <w:bCs/>
                <w:iCs/>
                <w:color w:val="000000"/>
                <w:sz w:val="24"/>
                <w:szCs w:val="24"/>
              </w:rPr>
              <w:t xml:space="preserve"> €</w:t>
            </w:r>
          </w:p>
        </w:tc>
        <w:tc>
          <w:tcPr>
            <w:tcW w:w="1389" w:type="dxa"/>
          </w:tcPr>
          <w:p w14:paraId="21F50CAB" w14:textId="77777777" w:rsidR="007B57B5" w:rsidRPr="00F81CD9" w:rsidRDefault="007B57B5" w:rsidP="00D10DBD">
            <w:pPr>
              <w:jc w:val="right"/>
              <w:rPr>
                <w:rFonts w:ascii="Times New Roman" w:eastAsia="Calibri" w:hAnsi="Times New Roman" w:cs="Times New Roman"/>
                <w:sz w:val="24"/>
                <w:szCs w:val="24"/>
              </w:rPr>
            </w:pPr>
            <w:r>
              <w:rPr>
                <w:rFonts w:ascii="Times New Roman" w:eastAsia="Calibri" w:hAnsi="Times New Roman" w:cs="Times New Roman"/>
                <w:sz w:val="24"/>
                <w:szCs w:val="24"/>
              </w:rPr>
              <w:t>764 475</w:t>
            </w:r>
            <w:r>
              <w:rPr>
                <w:rFonts w:ascii="Times New Roman" w:eastAsia="Calibri" w:hAnsi="Times New Roman" w:cs="Times New Roman"/>
                <w:bCs/>
                <w:iCs/>
                <w:color w:val="000000"/>
                <w:sz w:val="24"/>
                <w:szCs w:val="24"/>
              </w:rPr>
              <w:t xml:space="preserve"> €</w:t>
            </w:r>
          </w:p>
        </w:tc>
      </w:tr>
      <w:tr w:rsidR="007B57B5" w14:paraId="6093697F" w14:textId="77777777" w:rsidTr="00D10DBD">
        <w:trPr>
          <w:trHeight w:val="243"/>
        </w:trPr>
        <w:tc>
          <w:tcPr>
            <w:tcW w:w="2786" w:type="dxa"/>
          </w:tcPr>
          <w:p w14:paraId="30004E1E"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materských škôl</w:t>
            </w:r>
          </w:p>
        </w:tc>
        <w:tc>
          <w:tcPr>
            <w:tcW w:w="1178" w:type="dxa"/>
          </w:tcPr>
          <w:p w14:paraId="16C19D82" w14:textId="77777777" w:rsidR="007B57B5" w:rsidRDefault="007B57B5" w:rsidP="00D10DBD">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1.9.2026</w:t>
            </w:r>
          </w:p>
        </w:tc>
        <w:tc>
          <w:tcPr>
            <w:tcW w:w="993" w:type="dxa"/>
          </w:tcPr>
          <w:p w14:paraId="1CC4381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40</w:t>
            </w:r>
          </w:p>
        </w:tc>
        <w:tc>
          <w:tcPr>
            <w:tcW w:w="1462" w:type="dxa"/>
          </w:tcPr>
          <w:p w14:paraId="2EA8256B"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95" w:type="dxa"/>
          </w:tcPr>
          <w:p w14:paraId="03B03EA9"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89" w:type="dxa"/>
          </w:tcPr>
          <w:p w14:paraId="1B608322"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254 825 €</w:t>
            </w:r>
          </w:p>
        </w:tc>
      </w:tr>
      <w:tr w:rsidR="00C81508" w14:paraId="12961575" w14:textId="77777777" w:rsidTr="00D10DBD">
        <w:trPr>
          <w:trHeight w:val="243"/>
        </w:trPr>
        <w:tc>
          <w:tcPr>
            <w:tcW w:w="2786" w:type="dxa"/>
          </w:tcPr>
          <w:p w14:paraId="671EA761" w14:textId="6B5A666B" w:rsidR="00C81508" w:rsidRPr="004B6CDF" w:rsidRDefault="00C81508" w:rsidP="00D10DBD">
            <w:pPr>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Súčet</w:t>
            </w:r>
          </w:p>
        </w:tc>
        <w:tc>
          <w:tcPr>
            <w:tcW w:w="1178" w:type="dxa"/>
          </w:tcPr>
          <w:p w14:paraId="1E08248F" w14:textId="77777777" w:rsidR="00C81508" w:rsidRPr="004B6CDF" w:rsidRDefault="00C81508" w:rsidP="00D10DBD">
            <w:pPr>
              <w:jc w:val="both"/>
              <w:rPr>
                <w:rFonts w:ascii="Times New Roman" w:eastAsia="Calibri" w:hAnsi="Times New Roman" w:cs="Times New Roman"/>
                <w:b/>
                <w:bCs/>
                <w:iCs/>
                <w:color w:val="000000"/>
                <w:sz w:val="24"/>
                <w:szCs w:val="24"/>
              </w:rPr>
            </w:pPr>
          </w:p>
        </w:tc>
        <w:tc>
          <w:tcPr>
            <w:tcW w:w="993" w:type="dxa"/>
          </w:tcPr>
          <w:p w14:paraId="396F4024" w14:textId="77777777" w:rsidR="00C81508" w:rsidRPr="004B6CDF" w:rsidRDefault="00C81508" w:rsidP="00D10DBD">
            <w:pPr>
              <w:jc w:val="right"/>
              <w:rPr>
                <w:rFonts w:ascii="Times New Roman" w:eastAsia="Calibri" w:hAnsi="Times New Roman" w:cs="Times New Roman"/>
                <w:b/>
                <w:bCs/>
                <w:iCs/>
                <w:color w:val="000000"/>
                <w:sz w:val="24"/>
                <w:szCs w:val="24"/>
              </w:rPr>
            </w:pPr>
          </w:p>
        </w:tc>
        <w:tc>
          <w:tcPr>
            <w:tcW w:w="1462" w:type="dxa"/>
          </w:tcPr>
          <w:p w14:paraId="7BFC75C6" w14:textId="23903130" w:rsidR="00C81508" w:rsidRPr="004B6CDF" w:rsidRDefault="00C81508"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573</w:t>
            </w:r>
            <w:r w:rsidR="00621D09" w:rsidRPr="004B6CDF">
              <w:rPr>
                <w:rFonts w:ascii="Times New Roman" w:eastAsia="Calibri" w:hAnsi="Times New Roman" w:cs="Times New Roman"/>
                <w:b/>
                <w:bCs/>
                <w:iCs/>
                <w:color w:val="000000"/>
                <w:sz w:val="24"/>
                <w:szCs w:val="24"/>
              </w:rPr>
              <w:t> </w:t>
            </w:r>
            <w:r w:rsidRPr="004B6CDF">
              <w:rPr>
                <w:rFonts w:ascii="Times New Roman" w:eastAsia="Calibri" w:hAnsi="Times New Roman" w:cs="Times New Roman"/>
                <w:b/>
                <w:bCs/>
                <w:iCs/>
                <w:color w:val="000000"/>
                <w:sz w:val="24"/>
                <w:szCs w:val="24"/>
              </w:rPr>
              <w:t>356</w:t>
            </w:r>
            <w:r w:rsidR="00621D09" w:rsidRPr="004B6CDF">
              <w:rPr>
                <w:rFonts w:ascii="Times New Roman" w:eastAsia="Calibri" w:hAnsi="Times New Roman" w:cs="Times New Roman"/>
                <w:b/>
                <w:bCs/>
                <w:iCs/>
                <w:color w:val="000000"/>
                <w:sz w:val="24"/>
                <w:szCs w:val="24"/>
              </w:rPr>
              <w:t xml:space="preserve"> €</w:t>
            </w:r>
          </w:p>
        </w:tc>
        <w:tc>
          <w:tcPr>
            <w:tcW w:w="1395" w:type="dxa"/>
          </w:tcPr>
          <w:p w14:paraId="1F3F1ED3" w14:textId="21E3E308" w:rsidR="00C81508" w:rsidRPr="004B6CDF" w:rsidRDefault="00621D09"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1 720 069 €</w:t>
            </w:r>
          </w:p>
        </w:tc>
        <w:tc>
          <w:tcPr>
            <w:tcW w:w="1389" w:type="dxa"/>
          </w:tcPr>
          <w:p w14:paraId="538E3BB9" w14:textId="4BC38739" w:rsidR="00C81508" w:rsidRPr="004B6CDF" w:rsidRDefault="00621D09"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1 974 894 €</w:t>
            </w:r>
          </w:p>
        </w:tc>
      </w:tr>
    </w:tbl>
    <w:p w14:paraId="1243052E" w14:textId="77777777" w:rsidR="007B57B5" w:rsidRDefault="007B57B5" w:rsidP="007B57B5">
      <w:pPr>
        <w:jc w:val="both"/>
        <w:rPr>
          <w:rFonts w:ascii="Times New Roman" w:eastAsia="Calibri" w:hAnsi="Times New Roman" w:cs="Times New Roman"/>
          <w:bCs/>
          <w:iCs/>
          <w:color w:val="000000"/>
          <w:sz w:val="24"/>
          <w:szCs w:val="24"/>
          <w:u w:val="single"/>
        </w:rPr>
      </w:pPr>
    </w:p>
    <w:p w14:paraId="302A7999" w14:textId="77777777" w:rsidR="007B57B5" w:rsidRPr="00E97346" w:rsidRDefault="007B57B5" w:rsidP="007B57B5">
      <w:pPr>
        <w:jc w:val="both"/>
        <w:rPr>
          <w:rFonts w:ascii="Times New Roman" w:eastAsia="Calibri" w:hAnsi="Times New Roman" w:cs="Times New Roman"/>
          <w:b/>
          <w:bCs/>
          <w:iCs/>
          <w:color w:val="000000"/>
          <w:sz w:val="24"/>
          <w:szCs w:val="24"/>
        </w:rPr>
      </w:pPr>
      <w:r w:rsidRPr="00E97346">
        <w:rPr>
          <w:rFonts w:ascii="Times New Roman" w:eastAsia="Calibri" w:hAnsi="Times New Roman" w:cs="Times New Roman"/>
          <w:b/>
          <w:bCs/>
          <w:iCs/>
          <w:color w:val="000000"/>
          <w:sz w:val="24"/>
          <w:szCs w:val="24"/>
        </w:rPr>
        <w:t>Nový príspevok na zamestnanie školského špeciálneho pedagóga alebo odborného zamestnanca pre súkromných zriaďovateľov škôl</w:t>
      </w:r>
    </w:p>
    <w:tbl>
      <w:tblPr>
        <w:tblStyle w:val="Mriekatabuky"/>
        <w:tblW w:w="9203" w:type="dxa"/>
        <w:tblLook w:val="04A0" w:firstRow="1" w:lastRow="0" w:firstColumn="1" w:lastColumn="0" w:noHBand="0" w:noVBand="1"/>
      </w:tblPr>
      <w:tblGrid>
        <w:gridCol w:w="2786"/>
        <w:gridCol w:w="1178"/>
        <w:gridCol w:w="851"/>
        <w:gridCol w:w="1604"/>
        <w:gridCol w:w="1395"/>
        <w:gridCol w:w="1389"/>
      </w:tblGrid>
      <w:tr w:rsidR="007B57B5" w14:paraId="624C6C5F" w14:textId="77777777" w:rsidTr="00D10DBD">
        <w:trPr>
          <w:trHeight w:val="486"/>
        </w:trPr>
        <w:tc>
          <w:tcPr>
            <w:tcW w:w="2786" w:type="dxa"/>
          </w:tcPr>
          <w:p w14:paraId="6887ABC9" w14:textId="77777777" w:rsidR="007B57B5" w:rsidRDefault="007B57B5" w:rsidP="00D10DBD">
            <w:pPr>
              <w:jc w:val="both"/>
              <w:rPr>
                <w:rFonts w:ascii="Times New Roman" w:eastAsia="Calibri" w:hAnsi="Times New Roman" w:cs="Times New Roman"/>
                <w:bCs/>
                <w:iCs/>
                <w:color w:val="000000"/>
                <w:sz w:val="24"/>
                <w:szCs w:val="24"/>
              </w:rPr>
            </w:pPr>
          </w:p>
        </w:tc>
        <w:tc>
          <w:tcPr>
            <w:tcW w:w="1178" w:type="dxa"/>
            <w:vAlign w:val="center"/>
          </w:tcPr>
          <w:p w14:paraId="37D6299E"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hAnsi="Times New Roman" w:cs="Times New Roman"/>
                <w:bCs/>
                <w:color w:val="000000"/>
                <w:sz w:val="24"/>
                <w:szCs w:val="24"/>
              </w:rPr>
              <w:t>Termín zavedenia</w:t>
            </w:r>
          </w:p>
        </w:tc>
        <w:tc>
          <w:tcPr>
            <w:tcW w:w="851" w:type="dxa"/>
          </w:tcPr>
          <w:p w14:paraId="2E0765F2"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 xml:space="preserve">Počet </w:t>
            </w:r>
            <w:r>
              <w:rPr>
                <w:rFonts w:ascii="Times New Roman" w:eastAsia="Calibri" w:hAnsi="Times New Roman" w:cs="Times New Roman"/>
                <w:bCs/>
                <w:iCs/>
                <w:color w:val="000000"/>
                <w:sz w:val="24"/>
                <w:szCs w:val="24"/>
              </w:rPr>
              <w:t>ŠPT</w:t>
            </w:r>
          </w:p>
        </w:tc>
        <w:tc>
          <w:tcPr>
            <w:tcW w:w="1604" w:type="dxa"/>
          </w:tcPr>
          <w:p w14:paraId="6CDEBCB1"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2024</w:t>
            </w:r>
          </w:p>
        </w:tc>
        <w:tc>
          <w:tcPr>
            <w:tcW w:w="1395" w:type="dxa"/>
          </w:tcPr>
          <w:p w14:paraId="37F9D2F4"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2025</w:t>
            </w:r>
          </w:p>
        </w:tc>
        <w:tc>
          <w:tcPr>
            <w:tcW w:w="1389" w:type="dxa"/>
          </w:tcPr>
          <w:p w14:paraId="061EAFD7"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2026</w:t>
            </w:r>
          </w:p>
        </w:tc>
      </w:tr>
      <w:tr w:rsidR="007B57B5" w14:paraId="6CE8462F" w14:textId="77777777" w:rsidTr="00D10DBD">
        <w:trPr>
          <w:trHeight w:val="486"/>
        </w:trPr>
        <w:tc>
          <w:tcPr>
            <w:tcW w:w="2786" w:type="dxa"/>
          </w:tcPr>
          <w:p w14:paraId="28E66B3B" w14:textId="77777777" w:rsidR="007B57B5" w:rsidRPr="00D70C46" w:rsidRDefault="007B57B5" w:rsidP="00D10DBD">
            <w:pPr>
              <w:jc w:val="both"/>
              <w:rPr>
                <w:b/>
                <w:bCs/>
                <w:color w:val="000000"/>
              </w:rPr>
            </w:pPr>
          </w:p>
        </w:tc>
        <w:tc>
          <w:tcPr>
            <w:tcW w:w="1178" w:type="dxa"/>
            <w:vAlign w:val="center"/>
          </w:tcPr>
          <w:p w14:paraId="2AAC6D6F" w14:textId="77777777" w:rsidR="007B57B5" w:rsidRDefault="007B57B5" w:rsidP="00D10DBD">
            <w:pPr>
              <w:jc w:val="both"/>
              <w:rPr>
                <w:rFonts w:ascii="Times New Roman" w:eastAsia="Calibri" w:hAnsi="Times New Roman" w:cs="Times New Roman"/>
                <w:bCs/>
                <w:iCs/>
                <w:color w:val="000000"/>
                <w:sz w:val="24"/>
                <w:szCs w:val="24"/>
              </w:rPr>
            </w:pPr>
          </w:p>
        </w:tc>
        <w:tc>
          <w:tcPr>
            <w:tcW w:w="851" w:type="dxa"/>
          </w:tcPr>
          <w:p w14:paraId="33EEFB3D" w14:textId="77777777" w:rsidR="007B57B5" w:rsidRDefault="007B57B5" w:rsidP="00D10DBD">
            <w:pPr>
              <w:jc w:val="both"/>
              <w:rPr>
                <w:rFonts w:ascii="Times New Roman" w:eastAsia="Calibri" w:hAnsi="Times New Roman" w:cs="Times New Roman"/>
                <w:bCs/>
                <w:iCs/>
                <w:color w:val="000000"/>
                <w:sz w:val="24"/>
                <w:szCs w:val="24"/>
              </w:rPr>
            </w:pPr>
          </w:p>
        </w:tc>
        <w:tc>
          <w:tcPr>
            <w:tcW w:w="1604" w:type="dxa"/>
          </w:tcPr>
          <w:p w14:paraId="72292AAC" w14:textId="77777777" w:rsidR="007B57B5" w:rsidRDefault="007B57B5" w:rsidP="00D10DBD">
            <w:pPr>
              <w:jc w:val="both"/>
              <w:rPr>
                <w:rFonts w:ascii="Times New Roman" w:eastAsia="Calibri" w:hAnsi="Times New Roman" w:cs="Times New Roman"/>
                <w:bCs/>
                <w:iCs/>
                <w:color w:val="000000"/>
                <w:sz w:val="24"/>
                <w:szCs w:val="24"/>
              </w:rPr>
            </w:pPr>
          </w:p>
        </w:tc>
        <w:tc>
          <w:tcPr>
            <w:tcW w:w="1395" w:type="dxa"/>
          </w:tcPr>
          <w:p w14:paraId="30570EAF" w14:textId="77777777" w:rsidR="007B57B5" w:rsidRDefault="007B57B5" w:rsidP="00D10DBD">
            <w:pPr>
              <w:jc w:val="both"/>
              <w:rPr>
                <w:rFonts w:ascii="Times New Roman" w:eastAsia="Calibri" w:hAnsi="Times New Roman" w:cs="Times New Roman"/>
                <w:bCs/>
                <w:iCs/>
                <w:color w:val="000000"/>
                <w:sz w:val="24"/>
                <w:szCs w:val="24"/>
              </w:rPr>
            </w:pPr>
          </w:p>
        </w:tc>
        <w:tc>
          <w:tcPr>
            <w:tcW w:w="1389" w:type="dxa"/>
          </w:tcPr>
          <w:p w14:paraId="16DB0F57" w14:textId="77777777" w:rsidR="007B57B5" w:rsidRDefault="007B57B5" w:rsidP="00D10DBD">
            <w:pPr>
              <w:jc w:val="both"/>
              <w:rPr>
                <w:rFonts w:ascii="Times New Roman" w:eastAsia="Calibri" w:hAnsi="Times New Roman" w:cs="Times New Roman"/>
                <w:bCs/>
                <w:iCs/>
                <w:color w:val="000000"/>
                <w:sz w:val="24"/>
                <w:szCs w:val="24"/>
              </w:rPr>
            </w:pPr>
          </w:p>
        </w:tc>
      </w:tr>
      <w:tr w:rsidR="007B57B5" w14:paraId="1EC9215A" w14:textId="77777777" w:rsidTr="00D10DBD">
        <w:trPr>
          <w:trHeight w:val="243"/>
        </w:trPr>
        <w:tc>
          <w:tcPr>
            <w:tcW w:w="2786" w:type="dxa"/>
          </w:tcPr>
          <w:p w14:paraId="25D96127"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ZŠ a SŠ</w:t>
            </w:r>
          </w:p>
        </w:tc>
        <w:tc>
          <w:tcPr>
            <w:tcW w:w="1178" w:type="dxa"/>
          </w:tcPr>
          <w:p w14:paraId="1F70D42F"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851" w:type="dxa"/>
          </w:tcPr>
          <w:p w14:paraId="4688DFB2"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50</w:t>
            </w:r>
          </w:p>
        </w:tc>
        <w:tc>
          <w:tcPr>
            <w:tcW w:w="1604" w:type="dxa"/>
          </w:tcPr>
          <w:p w14:paraId="0BFA9A97"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529 443 €</w:t>
            </w:r>
          </w:p>
        </w:tc>
        <w:tc>
          <w:tcPr>
            <w:tcW w:w="1395" w:type="dxa"/>
          </w:tcPr>
          <w:p w14:paraId="28094E0D"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1 588 330 €</w:t>
            </w:r>
          </w:p>
        </w:tc>
        <w:tc>
          <w:tcPr>
            <w:tcW w:w="1389" w:type="dxa"/>
          </w:tcPr>
          <w:p w14:paraId="08040F3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1 588 330 €</w:t>
            </w:r>
          </w:p>
        </w:tc>
      </w:tr>
      <w:tr w:rsidR="007B57B5" w14:paraId="5C3E694C" w14:textId="77777777" w:rsidTr="00D10DBD">
        <w:trPr>
          <w:trHeight w:val="243"/>
        </w:trPr>
        <w:tc>
          <w:tcPr>
            <w:tcW w:w="2786" w:type="dxa"/>
          </w:tcPr>
          <w:p w14:paraId="25114826"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xml:space="preserve">. zriaďovatelia </w:t>
            </w:r>
            <w:proofErr w:type="spellStart"/>
            <w:r>
              <w:rPr>
                <w:rFonts w:ascii="Times New Roman" w:eastAsia="Calibri" w:hAnsi="Times New Roman" w:cs="Times New Roman"/>
                <w:bCs/>
                <w:iCs/>
                <w:color w:val="000000"/>
                <w:sz w:val="24"/>
                <w:szCs w:val="24"/>
              </w:rPr>
              <w:t>špec</w:t>
            </w:r>
            <w:proofErr w:type="spellEnd"/>
            <w:r>
              <w:rPr>
                <w:rFonts w:ascii="Times New Roman" w:eastAsia="Calibri" w:hAnsi="Times New Roman" w:cs="Times New Roman"/>
                <w:bCs/>
                <w:iCs/>
                <w:color w:val="000000"/>
                <w:sz w:val="24"/>
                <w:szCs w:val="24"/>
              </w:rPr>
              <w:t>. škôl</w:t>
            </w:r>
          </w:p>
        </w:tc>
        <w:tc>
          <w:tcPr>
            <w:tcW w:w="1178" w:type="dxa"/>
          </w:tcPr>
          <w:p w14:paraId="2309941A"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851" w:type="dxa"/>
          </w:tcPr>
          <w:p w14:paraId="4183690F"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p>
        </w:tc>
        <w:tc>
          <w:tcPr>
            <w:tcW w:w="1604" w:type="dxa"/>
          </w:tcPr>
          <w:p w14:paraId="6962467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74 122 €</w:t>
            </w:r>
          </w:p>
        </w:tc>
        <w:tc>
          <w:tcPr>
            <w:tcW w:w="1395" w:type="dxa"/>
          </w:tcPr>
          <w:p w14:paraId="7A35C07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222 366 €</w:t>
            </w:r>
          </w:p>
        </w:tc>
        <w:tc>
          <w:tcPr>
            <w:tcW w:w="1389" w:type="dxa"/>
          </w:tcPr>
          <w:p w14:paraId="7B252D0E" w14:textId="77777777" w:rsidR="007B57B5" w:rsidRPr="00F81CD9" w:rsidRDefault="007B57B5" w:rsidP="00D10DBD">
            <w:pPr>
              <w:jc w:val="right"/>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222 366 €</w:t>
            </w:r>
          </w:p>
        </w:tc>
      </w:tr>
      <w:tr w:rsidR="007B57B5" w14:paraId="7B1014DB" w14:textId="77777777" w:rsidTr="00D10DBD">
        <w:trPr>
          <w:trHeight w:val="243"/>
        </w:trPr>
        <w:tc>
          <w:tcPr>
            <w:tcW w:w="2786" w:type="dxa"/>
          </w:tcPr>
          <w:p w14:paraId="615A6226"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materských škôl</w:t>
            </w:r>
          </w:p>
        </w:tc>
        <w:tc>
          <w:tcPr>
            <w:tcW w:w="1178" w:type="dxa"/>
          </w:tcPr>
          <w:p w14:paraId="637427F7" w14:textId="77777777" w:rsidR="007B57B5" w:rsidRDefault="007B57B5" w:rsidP="00D10DBD">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1.9.2026</w:t>
            </w:r>
          </w:p>
        </w:tc>
        <w:tc>
          <w:tcPr>
            <w:tcW w:w="851" w:type="dxa"/>
          </w:tcPr>
          <w:p w14:paraId="7A2E189A"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20</w:t>
            </w:r>
          </w:p>
        </w:tc>
        <w:tc>
          <w:tcPr>
            <w:tcW w:w="1604" w:type="dxa"/>
          </w:tcPr>
          <w:p w14:paraId="5572BF09"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95" w:type="dxa"/>
          </w:tcPr>
          <w:p w14:paraId="2E17961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89" w:type="dxa"/>
          </w:tcPr>
          <w:p w14:paraId="59E681D8"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211 777 €</w:t>
            </w:r>
          </w:p>
        </w:tc>
      </w:tr>
      <w:tr w:rsidR="0072672D" w14:paraId="7870F14B" w14:textId="77777777" w:rsidTr="00D10DBD">
        <w:trPr>
          <w:trHeight w:val="243"/>
        </w:trPr>
        <w:tc>
          <w:tcPr>
            <w:tcW w:w="2786" w:type="dxa"/>
          </w:tcPr>
          <w:p w14:paraId="3EB1FCF3" w14:textId="29C45ECC" w:rsidR="0072672D" w:rsidRPr="004B6CDF" w:rsidRDefault="00F63439" w:rsidP="00D10DBD">
            <w:pPr>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Súčet</w:t>
            </w:r>
          </w:p>
        </w:tc>
        <w:tc>
          <w:tcPr>
            <w:tcW w:w="1178" w:type="dxa"/>
          </w:tcPr>
          <w:p w14:paraId="4D41DA3B" w14:textId="77777777" w:rsidR="0072672D" w:rsidRPr="004B6CDF" w:rsidRDefault="0072672D" w:rsidP="00D10DBD">
            <w:pPr>
              <w:jc w:val="both"/>
              <w:rPr>
                <w:rFonts w:ascii="Times New Roman" w:eastAsia="Calibri" w:hAnsi="Times New Roman" w:cs="Times New Roman"/>
                <w:b/>
                <w:bCs/>
                <w:iCs/>
                <w:color w:val="000000"/>
                <w:sz w:val="24"/>
                <w:szCs w:val="24"/>
              </w:rPr>
            </w:pPr>
          </w:p>
        </w:tc>
        <w:tc>
          <w:tcPr>
            <w:tcW w:w="851" w:type="dxa"/>
          </w:tcPr>
          <w:p w14:paraId="725DEF1C" w14:textId="77777777" w:rsidR="0072672D" w:rsidRPr="004B6CDF" w:rsidRDefault="0072672D" w:rsidP="00D10DBD">
            <w:pPr>
              <w:jc w:val="right"/>
              <w:rPr>
                <w:rFonts w:ascii="Times New Roman" w:eastAsia="Calibri" w:hAnsi="Times New Roman" w:cs="Times New Roman"/>
                <w:b/>
                <w:bCs/>
                <w:iCs/>
                <w:color w:val="000000"/>
                <w:sz w:val="24"/>
                <w:szCs w:val="24"/>
              </w:rPr>
            </w:pPr>
          </w:p>
        </w:tc>
        <w:tc>
          <w:tcPr>
            <w:tcW w:w="1604" w:type="dxa"/>
          </w:tcPr>
          <w:p w14:paraId="18AAF1AC" w14:textId="35F90EBC"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603 565 €</w:t>
            </w:r>
          </w:p>
        </w:tc>
        <w:tc>
          <w:tcPr>
            <w:tcW w:w="1395" w:type="dxa"/>
          </w:tcPr>
          <w:p w14:paraId="7106078F" w14:textId="071D6783"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1 810 696 €</w:t>
            </w:r>
          </w:p>
        </w:tc>
        <w:tc>
          <w:tcPr>
            <w:tcW w:w="1389" w:type="dxa"/>
          </w:tcPr>
          <w:p w14:paraId="0F5CDC02" w14:textId="43FF26CF"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2 022 473 €</w:t>
            </w:r>
          </w:p>
        </w:tc>
      </w:tr>
    </w:tbl>
    <w:p w14:paraId="35E52163" w14:textId="77777777" w:rsidR="00825238" w:rsidRDefault="00825238" w:rsidP="00054C41">
      <w:pPr>
        <w:spacing w:after="0"/>
        <w:jc w:val="both"/>
        <w:rPr>
          <w:rFonts w:ascii="Times New Roman" w:eastAsia="Calibri" w:hAnsi="Times New Roman" w:cs="Times New Roman"/>
          <w:sz w:val="24"/>
          <w:szCs w:val="24"/>
          <w:u w:val="single"/>
        </w:rPr>
      </w:pPr>
    </w:p>
    <w:p w14:paraId="567581BF" w14:textId="09D11A28" w:rsidR="00054C41" w:rsidRPr="00E97346" w:rsidRDefault="002E17D6" w:rsidP="00054C41">
      <w:pPr>
        <w:spacing w:after="0"/>
        <w:jc w:val="both"/>
        <w:rPr>
          <w:rFonts w:ascii="Times New Roman" w:eastAsia="Calibri" w:hAnsi="Times New Roman" w:cs="Times New Roman"/>
          <w:b/>
          <w:sz w:val="24"/>
          <w:szCs w:val="24"/>
        </w:rPr>
      </w:pPr>
      <w:r w:rsidRPr="00E97346">
        <w:rPr>
          <w:rFonts w:ascii="Times New Roman" w:eastAsia="Calibri" w:hAnsi="Times New Roman" w:cs="Times New Roman"/>
          <w:b/>
          <w:sz w:val="24"/>
          <w:szCs w:val="24"/>
        </w:rPr>
        <w:t>Modelový p</w:t>
      </w:r>
      <w:r w:rsidR="00C719A6" w:rsidRPr="00E97346">
        <w:rPr>
          <w:rFonts w:ascii="Times New Roman" w:eastAsia="Calibri" w:hAnsi="Times New Roman" w:cs="Times New Roman"/>
          <w:b/>
          <w:sz w:val="24"/>
          <w:szCs w:val="24"/>
        </w:rPr>
        <w:t>ríklad</w:t>
      </w:r>
      <w:r w:rsidR="00904103" w:rsidRPr="00E97346">
        <w:rPr>
          <w:rFonts w:ascii="Times New Roman" w:eastAsia="Calibri" w:hAnsi="Times New Roman" w:cs="Times New Roman"/>
          <w:b/>
          <w:sz w:val="24"/>
          <w:szCs w:val="24"/>
        </w:rPr>
        <w:t xml:space="preserve"> </w:t>
      </w:r>
      <w:r w:rsidR="00871293" w:rsidRPr="00E97346">
        <w:rPr>
          <w:rFonts w:ascii="Times New Roman" w:eastAsia="Calibri" w:hAnsi="Times New Roman" w:cs="Times New Roman"/>
          <w:b/>
          <w:sz w:val="24"/>
          <w:szCs w:val="24"/>
        </w:rPr>
        <w:t>súvisiaci s podpornými opatreniami</w:t>
      </w:r>
    </w:p>
    <w:p w14:paraId="4D7B6DA5" w14:textId="3981697D" w:rsidR="002E17D6" w:rsidRPr="00A35C0B" w:rsidRDefault="002E17D6" w:rsidP="00054C41">
      <w:pPr>
        <w:spacing w:after="0"/>
        <w:jc w:val="both"/>
        <w:rPr>
          <w:rFonts w:ascii="Times New Roman" w:eastAsia="Calibri" w:hAnsi="Times New Roman" w:cs="Times New Roman"/>
          <w:sz w:val="24"/>
          <w:szCs w:val="24"/>
        </w:rPr>
      </w:pPr>
      <w:r w:rsidRPr="00A35C0B">
        <w:rPr>
          <w:rFonts w:ascii="Times New Roman" w:eastAsia="Calibri" w:hAnsi="Times New Roman" w:cs="Times New Roman"/>
          <w:sz w:val="24"/>
          <w:szCs w:val="24"/>
        </w:rPr>
        <w:t>Súkromný zriaďovateľ prevádzkuje súkromnú základnú školu, v ktorej sa vzdeláva 300 žiakov</w:t>
      </w:r>
      <w:r w:rsidR="00A87FDB">
        <w:rPr>
          <w:rFonts w:ascii="Times New Roman" w:eastAsia="Calibri" w:hAnsi="Times New Roman" w:cs="Times New Roman"/>
          <w:sz w:val="24"/>
          <w:szCs w:val="24"/>
        </w:rPr>
        <w:t xml:space="preserve">. </w:t>
      </w:r>
    </w:p>
    <w:p w14:paraId="2A8C33FB" w14:textId="0856AC28" w:rsidR="002E17D6" w:rsidRPr="00A87FDB" w:rsidRDefault="002E17D6" w:rsidP="002E17D6">
      <w:pPr>
        <w:spacing w:after="0"/>
        <w:jc w:val="both"/>
        <w:rPr>
          <w:rFonts w:ascii="Times New Roman" w:eastAsia="Calibri" w:hAnsi="Times New Roman" w:cs="Times New Roman"/>
          <w:sz w:val="24"/>
          <w:szCs w:val="24"/>
        </w:rPr>
      </w:pPr>
      <w:r w:rsidRPr="00A35C0B">
        <w:rPr>
          <w:rFonts w:ascii="Times New Roman" w:eastAsia="Calibri" w:hAnsi="Times New Roman" w:cs="Times New Roman"/>
          <w:sz w:val="24"/>
          <w:szCs w:val="24"/>
        </w:rPr>
        <w:t xml:space="preserve">Na základe zavedenia príspevku na podporné opatrenia by </w:t>
      </w:r>
      <w:r w:rsidR="00A4307C">
        <w:rPr>
          <w:rFonts w:ascii="Times New Roman" w:eastAsia="Calibri" w:hAnsi="Times New Roman" w:cs="Times New Roman"/>
          <w:sz w:val="24"/>
          <w:szCs w:val="24"/>
        </w:rPr>
        <w:t xml:space="preserve">mu </w:t>
      </w:r>
      <w:r w:rsidRPr="00A35C0B">
        <w:rPr>
          <w:rFonts w:ascii="Times New Roman" w:eastAsia="Calibri" w:hAnsi="Times New Roman" w:cs="Times New Roman"/>
          <w:sz w:val="24"/>
          <w:szCs w:val="24"/>
        </w:rPr>
        <w:t>podľa návrhu MŠVV</w:t>
      </w:r>
      <w:r w:rsidR="00C45DC5">
        <w:rPr>
          <w:rFonts w:ascii="Times New Roman" w:eastAsia="Calibri" w:hAnsi="Times New Roman" w:cs="Times New Roman"/>
          <w:sz w:val="24"/>
          <w:szCs w:val="24"/>
        </w:rPr>
        <w:t>a</w:t>
      </w:r>
      <w:r w:rsidRPr="00A35C0B">
        <w:rPr>
          <w:rFonts w:ascii="Times New Roman" w:eastAsia="Calibri" w:hAnsi="Times New Roman" w:cs="Times New Roman"/>
          <w:sz w:val="24"/>
          <w:szCs w:val="24"/>
        </w:rPr>
        <w:t xml:space="preserve">Š SR </w:t>
      </w:r>
      <w:r w:rsidR="00A4307C">
        <w:rPr>
          <w:rFonts w:ascii="Times New Roman" w:eastAsia="Calibri" w:hAnsi="Times New Roman" w:cs="Times New Roman"/>
          <w:sz w:val="24"/>
          <w:szCs w:val="24"/>
        </w:rPr>
        <w:t xml:space="preserve">mali byť </w:t>
      </w:r>
      <w:r w:rsidRPr="00A35C0B">
        <w:rPr>
          <w:rFonts w:ascii="Times New Roman" w:eastAsia="Calibri" w:hAnsi="Times New Roman" w:cs="Times New Roman"/>
          <w:sz w:val="24"/>
          <w:szCs w:val="24"/>
        </w:rPr>
        <w:t>od 1.9.2024 pridelen</w:t>
      </w:r>
      <w:r w:rsidR="00A35C0B">
        <w:rPr>
          <w:rFonts w:ascii="Times New Roman" w:eastAsia="Calibri" w:hAnsi="Times New Roman" w:cs="Times New Roman"/>
          <w:sz w:val="24"/>
          <w:szCs w:val="24"/>
        </w:rPr>
        <w:t xml:space="preserve">é </w:t>
      </w:r>
      <w:r w:rsidR="00A4307C">
        <w:rPr>
          <w:rFonts w:ascii="Times New Roman" w:eastAsia="Calibri" w:hAnsi="Times New Roman" w:cs="Times New Roman"/>
          <w:sz w:val="24"/>
          <w:szCs w:val="24"/>
        </w:rPr>
        <w:t xml:space="preserve">účelovo viazané </w:t>
      </w:r>
      <w:r w:rsidR="00A35C0B">
        <w:rPr>
          <w:rFonts w:ascii="Times New Roman" w:eastAsia="Calibri" w:hAnsi="Times New Roman" w:cs="Times New Roman"/>
          <w:sz w:val="24"/>
          <w:szCs w:val="24"/>
        </w:rPr>
        <w:t xml:space="preserve">finančné prostriedky na </w:t>
      </w:r>
      <w:r w:rsidR="00A4307C">
        <w:rPr>
          <w:rFonts w:ascii="Times New Roman" w:eastAsia="Calibri" w:hAnsi="Times New Roman" w:cs="Times New Roman"/>
          <w:sz w:val="24"/>
          <w:szCs w:val="24"/>
        </w:rPr>
        <w:t xml:space="preserve">zamestnanie </w:t>
      </w:r>
      <w:r w:rsidR="00A35C0B">
        <w:rPr>
          <w:rFonts w:ascii="Times New Roman" w:eastAsia="Calibri" w:hAnsi="Times New Roman" w:cs="Times New Roman"/>
          <w:sz w:val="24"/>
          <w:szCs w:val="24"/>
        </w:rPr>
        <w:t xml:space="preserve">1,25 úväzku </w:t>
      </w:r>
      <w:r w:rsidRPr="00A35C0B">
        <w:rPr>
          <w:rFonts w:ascii="Times New Roman" w:eastAsia="Calibri" w:hAnsi="Times New Roman" w:cs="Times New Roman"/>
          <w:sz w:val="24"/>
          <w:szCs w:val="24"/>
        </w:rPr>
        <w:t>pedagogického asistenta v základnej škol</w:t>
      </w:r>
      <w:r w:rsidR="00CF2DB0" w:rsidRPr="00A35C0B">
        <w:rPr>
          <w:rFonts w:ascii="Times New Roman" w:eastAsia="Calibri" w:hAnsi="Times New Roman" w:cs="Times New Roman"/>
          <w:sz w:val="24"/>
          <w:szCs w:val="24"/>
        </w:rPr>
        <w:t>e</w:t>
      </w:r>
      <w:r w:rsidR="00A35C0B">
        <w:rPr>
          <w:rFonts w:ascii="Times New Roman" w:eastAsia="Calibri" w:hAnsi="Times New Roman" w:cs="Times New Roman"/>
          <w:sz w:val="24"/>
          <w:szCs w:val="24"/>
        </w:rPr>
        <w:t xml:space="preserve">, </w:t>
      </w:r>
      <w:proofErr w:type="spellStart"/>
      <w:r w:rsidR="00A35C0B">
        <w:rPr>
          <w:rFonts w:ascii="Times New Roman" w:eastAsia="Calibri" w:hAnsi="Times New Roman" w:cs="Times New Roman"/>
          <w:sz w:val="24"/>
          <w:szCs w:val="24"/>
        </w:rPr>
        <w:t>t.j</w:t>
      </w:r>
      <w:proofErr w:type="spellEnd"/>
      <w:r w:rsidR="00A35C0B">
        <w:rPr>
          <w:rFonts w:ascii="Times New Roman" w:eastAsia="Calibri" w:hAnsi="Times New Roman" w:cs="Times New Roman"/>
          <w:sz w:val="24"/>
          <w:szCs w:val="24"/>
        </w:rPr>
        <w:t xml:space="preserve">. okolo </w:t>
      </w:r>
      <w:r w:rsidR="00A87FDB">
        <w:rPr>
          <w:rFonts w:ascii="Times New Roman" w:eastAsia="Calibri" w:hAnsi="Times New Roman" w:cs="Times New Roman"/>
          <w:sz w:val="24"/>
          <w:szCs w:val="24"/>
        </w:rPr>
        <w:t>23 400 eur ročne, a</w:t>
      </w:r>
      <w:r w:rsidRPr="00A35C0B">
        <w:rPr>
          <w:rFonts w:ascii="Times New Roman" w:eastAsia="Calibri" w:hAnsi="Times New Roman" w:cs="Times New Roman"/>
          <w:sz w:val="24"/>
          <w:szCs w:val="24"/>
        </w:rPr>
        <w:t xml:space="preserve"> na </w:t>
      </w:r>
      <w:bookmarkStart w:id="2" w:name="_Hlk126240452"/>
      <w:r w:rsidRPr="00A35C0B">
        <w:rPr>
          <w:rFonts w:ascii="Times New Roman" w:eastAsia="Calibri" w:hAnsi="Times New Roman" w:cs="Times New Roman"/>
          <w:sz w:val="24"/>
          <w:szCs w:val="24"/>
        </w:rPr>
        <w:t>zamestnanie</w:t>
      </w:r>
      <w:r w:rsidR="00A4307C">
        <w:rPr>
          <w:rFonts w:ascii="Times New Roman" w:eastAsia="Calibri" w:hAnsi="Times New Roman" w:cs="Times New Roman"/>
          <w:sz w:val="24"/>
          <w:szCs w:val="24"/>
        </w:rPr>
        <w:t xml:space="preserve"> 0,75 úväzku</w:t>
      </w:r>
      <w:r w:rsidRPr="00A35C0B">
        <w:rPr>
          <w:rFonts w:ascii="Times New Roman" w:eastAsia="Calibri" w:hAnsi="Times New Roman" w:cs="Times New Roman"/>
          <w:sz w:val="24"/>
          <w:szCs w:val="24"/>
        </w:rPr>
        <w:t xml:space="preserve"> školského špeciálneho pedagóga alebo odborného zamestnanca v základ</w:t>
      </w:r>
      <w:r w:rsidRPr="00A87FDB">
        <w:rPr>
          <w:rFonts w:ascii="Times New Roman" w:eastAsia="Calibri" w:hAnsi="Times New Roman" w:cs="Times New Roman"/>
          <w:sz w:val="24"/>
          <w:szCs w:val="24"/>
        </w:rPr>
        <w:t>nej škole</w:t>
      </w:r>
      <w:r w:rsidR="00A87FDB" w:rsidRPr="00A87FDB">
        <w:rPr>
          <w:rFonts w:ascii="Times New Roman" w:eastAsia="Calibri" w:hAnsi="Times New Roman" w:cs="Times New Roman"/>
          <w:sz w:val="24"/>
          <w:szCs w:val="24"/>
        </w:rPr>
        <w:t xml:space="preserve">, </w:t>
      </w:r>
      <w:proofErr w:type="spellStart"/>
      <w:r w:rsidR="00A87FDB" w:rsidRPr="00A87FDB">
        <w:rPr>
          <w:rFonts w:ascii="Times New Roman" w:eastAsia="Calibri" w:hAnsi="Times New Roman" w:cs="Times New Roman"/>
          <w:sz w:val="24"/>
          <w:szCs w:val="24"/>
        </w:rPr>
        <w:t>t.j</w:t>
      </w:r>
      <w:proofErr w:type="spellEnd"/>
      <w:r w:rsidR="00A87FDB" w:rsidRPr="00A87FDB">
        <w:rPr>
          <w:rFonts w:ascii="Times New Roman" w:eastAsia="Calibri" w:hAnsi="Times New Roman" w:cs="Times New Roman"/>
          <w:sz w:val="24"/>
          <w:szCs w:val="24"/>
        </w:rPr>
        <w:t>. okolo 23 800 Eur ročne</w:t>
      </w:r>
      <w:r w:rsidRPr="00A87FDB">
        <w:rPr>
          <w:rFonts w:ascii="Times New Roman" w:eastAsia="Calibri" w:hAnsi="Times New Roman" w:cs="Times New Roman"/>
          <w:sz w:val="24"/>
          <w:szCs w:val="24"/>
        </w:rPr>
        <w:t>.</w:t>
      </w:r>
    </w:p>
    <w:bookmarkEnd w:id="2"/>
    <w:p w14:paraId="556942EC" w14:textId="30F899F5" w:rsidR="002E17D6" w:rsidRPr="002E17D6" w:rsidRDefault="00A87FDB" w:rsidP="002E17D6">
      <w:pPr>
        <w:spacing w:after="0"/>
        <w:jc w:val="both"/>
        <w:rPr>
          <w:rFonts w:ascii="Times New Roman" w:eastAsia="Calibri" w:hAnsi="Times New Roman" w:cs="Times New Roman"/>
        </w:rPr>
      </w:pPr>
      <w:r w:rsidRPr="00A87FDB">
        <w:rPr>
          <w:rFonts w:ascii="Times New Roman" w:eastAsia="Calibri" w:hAnsi="Times New Roman" w:cs="Times New Roman"/>
          <w:sz w:val="24"/>
          <w:szCs w:val="24"/>
        </w:rPr>
        <w:tab/>
        <w:t>Zároveň v</w:t>
      </w:r>
      <w:r>
        <w:rPr>
          <w:rFonts w:ascii="Times New Roman" w:eastAsia="Calibri" w:hAnsi="Times New Roman" w:cs="Times New Roman"/>
          <w:sz w:val="24"/>
          <w:szCs w:val="24"/>
        </w:rPr>
        <w:t> </w:t>
      </w:r>
      <w:r w:rsidRPr="00A87FDB">
        <w:rPr>
          <w:rFonts w:ascii="Times New Roman" w:eastAsia="Calibri" w:hAnsi="Times New Roman" w:cs="Times New Roman"/>
          <w:sz w:val="24"/>
          <w:szCs w:val="24"/>
        </w:rPr>
        <w:t>danej</w:t>
      </w:r>
      <w:r>
        <w:rPr>
          <w:rFonts w:ascii="Times New Roman" w:eastAsia="Calibri" w:hAnsi="Times New Roman" w:cs="Times New Roman"/>
          <w:sz w:val="24"/>
          <w:szCs w:val="24"/>
        </w:rPr>
        <w:t xml:space="preserve"> škole je žiak, ktorý vyžaduje bezbariérový prístup a keďže danej škole nebol pridelený príspevok na </w:t>
      </w:r>
      <w:r w:rsidRPr="00A87FDB">
        <w:rPr>
          <w:rFonts w:ascii="Times New Roman" w:eastAsia="Calibri" w:hAnsi="Times New Roman" w:cs="Times New Roman"/>
          <w:sz w:val="24"/>
          <w:szCs w:val="24"/>
        </w:rPr>
        <w:t>odstraňovanie fyzických bariér v priestoroch školy alebo školského zariadenia</w:t>
      </w:r>
      <w:r>
        <w:rPr>
          <w:rFonts w:ascii="Times New Roman" w:eastAsia="Calibri" w:hAnsi="Times New Roman" w:cs="Times New Roman"/>
          <w:sz w:val="24"/>
          <w:szCs w:val="24"/>
        </w:rPr>
        <w:t>, žiak sa rozhodol školu zmeniť. Kým škola voľné miesto obsadí iným žiakom, škola môže v ďalšom školskom roku prísť o normatívne finančné prostriedky na žiaka, ktoré vzhľadom na jeho zdravotné znevýhodnenie (</w:t>
      </w:r>
      <w:r w:rsidRPr="00A87FDB">
        <w:rPr>
          <w:rFonts w:ascii="Times New Roman" w:eastAsia="Calibri" w:hAnsi="Times New Roman" w:cs="Times New Roman"/>
          <w:sz w:val="24"/>
          <w:szCs w:val="24"/>
        </w:rPr>
        <w:t>žiak s telesným postihnutím – nechodiaci žiak</w:t>
      </w:r>
      <w:r>
        <w:rPr>
          <w:rFonts w:ascii="Times New Roman" w:eastAsia="Calibri" w:hAnsi="Times New Roman" w:cs="Times New Roman"/>
          <w:sz w:val="24"/>
          <w:szCs w:val="24"/>
        </w:rPr>
        <w:t>)</w:t>
      </w:r>
      <w:r w:rsidR="00573A94">
        <w:rPr>
          <w:rFonts w:ascii="Times New Roman" w:eastAsia="Calibri" w:hAnsi="Times New Roman" w:cs="Times New Roman"/>
          <w:sz w:val="24"/>
          <w:szCs w:val="24"/>
        </w:rPr>
        <w:t xml:space="preserve"> </w:t>
      </w:r>
      <w:r w:rsidR="00A4307C">
        <w:rPr>
          <w:rFonts w:ascii="Times New Roman" w:eastAsia="Calibri" w:hAnsi="Times New Roman" w:cs="Times New Roman"/>
          <w:sz w:val="24"/>
          <w:szCs w:val="24"/>
        </w:rPr>
        <w:t xml:space="preserve">sú </w:t>
      </w:r>
      <w:r w:rsidR="00573A94">
        <w:rPr>
          <w:rFonts w:ascii="Times New Roman" w:eastAsia="Calibri" w:hAnsi="Times New Roman" w:cs="Times New Roman"/>
          <w:sz w:val="24"/>
          <w:szCs w:val="24"/>
        </w:rPr>
        <w:t>vo výške 5 415 Eur.</w:t>
      </w:r>
    </w:p>
    <w:p w14:paraId="6E8C72FA" w14:textId="5955E16E" w:rsidR="002E17D6" w:rsidRDefault="002E17D6" w:rsidP="00054C41">
      <w:pPr>
        <w:spacing w:after="0"/>
        <w:jc w:val="both"/>
        <w:rPr>
          <w:rFonts w:ascii="Times New Roman" w:eastAsia="Calibri" w:hAnsi="Times New Roman" w:cs="Times New Roman"/>
        </w:rPr>
      </w:pPr>
    </w:p>
    <w:p w14:paraId="4EB62741" w14:textId="3D0CD0D7" w:rsidR="00C540BD" w:rsidRDefault="00C540BD" w:rsidP="00054C41">
      <w:pPr>
        <w:spacing w:after="0"/>
        <w:jc w:val="both"/>
        <w:rPr>
          <w:rFonts w:ascii="Times New Roman" w:eastAsia="Calibri" w:hAnsi="Times New Roman" w:cs="Times New Roman"/>
        </w:rPr>
      </w:pPr>
    </w:p>
    <w:p w14:paraId="2FB494FC" w14:textId="3DC448F6" w:rsidR="00C540BD" w:rsidRDefault="00C540BD" w:rsidP="00054C41">
      <w:pPr>
        <w:spacing w:after="0"/>
        <w:jc w:val="both"/>
        <w:rPr>
          <w:rFonts w:ascii="Times New Roman" w:eastAsia="Calibri" w:hAnsi="Times New Roman" w:cs="Times New Roman"/>
        </w:rPr>
      </w:pPr>
    </w:p>
    <w:sectPr w:rsidR="00C540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2B8E" w14:textId="77777777" w:rsidR="008A42DE" w:rsidRDefault="008A42DE" w:rsidP="00054C41">
      <w:pPr>
        <w:spacing w:after="0" w:line="240" w:lineRule="auto"/>
      </w:pPr>
      <w:r>
        <w:separator/>
      </w:r>
    </w:p>
  </w:endnote>
  <w:endnote w:type="continuationSeparator" w:id="0">
    <w:p w14:paraId="154C47A9" w14:textId="77777777" w:rsidR="008A42DE" w:rsidRDefault="008A42D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2A4A79" w:rsidRPr="006045CB" w:rsidRDefault="002A4A79"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2A4A79" w:rsidRPr="00FF7125" w:rsidRDefault="002A4A79" w:rsidP="00054C41">
    <w:pPr>
      <w:pStyle w:val="Pta"/>
      <w:rPr>
        <w:sz w:val="24"/>
        <w:szCs w:val="24"/>
      </w:rPr>
    </w:pPr>
  </w:p>
  <w:p w14:paraId="68AC3825" w14:textId="77777777" w:rsidR="002A4A79" w:rsidRDefault="002A4A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4F47" w14:textId="77777777" w:rsidR="008A42DE" w:rsidRDefault="008A42DE" w:rsidP="00054C41">
      <w:pPr>
        <w:spacing w:after="0" w:line="240" w:lineRule="auto"/>
      </w:pPr>
      <w:r>
        <w:separator/>
      </w:r>
    </w:p>
  </w:footnote>
  <w:footnote w:type="continuationSeparator" w:id="0">
    <w:p w14:paraId="5A7D77DB" w14:textId="77777777" w:rsidR="008A42DE" w:rsidRDefault="008A42DE"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3C60" w14:textId="35DE3B53" w:rsidR="002A4A79" w:rsidRPr="006045CB" w:rsidRDefault="002A4A7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2A4A79" w:rsidRPr="006045CB" w:rsidRDefault="002A4A79"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9A4"/>
    <w:multiLevelType w:val="hybridMultilevel"/>
    <w:tmpl w:val="171035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80F6DE8"/>
    <w:multiLevelType w:val="hybridMultilevel"/>
    <w:tmpl w:val="E83289CE"/>
    <w:lvl w:ilvl="0" w:tplc="B8807C3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15B7B7D"/>
    <w:multiLevelType w:val="hybridMultilevel"/>
    <w:tmpl w:val="563835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135F8"/>
    <w:rsid w:val="00014695"/>
    <w:rsid w:val="00014D13"/>
    <w:rsid w:val="00035BFB"/>
    <w:rsid w:val="00045E5A"/>
    <w:rsid w:val="00046E43"/>
    <w:rsid w:val="00054C41"/>
    <w:rsid w:val="00060DA1"/>
    <w:rsid w:val="000C2133"/>
    <w:rsid w:val="000C5E9A"/>
    <w:rsid w:val="00105DD1"/>
    <w:rsid w:val="00106B6E"/>
    <w:rsid w:val="00142154"/>
    <w:rsid w:val="00144A22"/>
    <w:rsid w:val="001B4C03"/>
    <w:rsid w:val="001B712F"/>
    <w:rsid w:val="001C1B3F"/>
    <w:rsid w:val="001D1083"/>
    <w:rsid w:val="001D3FA0"/>
    <w:rsid w:val="001E53CB"/>
    <w:rsid w:val="001E7489"/>
    <w:rsid w:val="001F692E"/>
    <w:rsid w:val="00223157"/>
    <w:rsid w:val="00225A83"/>
    <w:rsid w:val="002263E6"/>
    <w:rsid w:val="00262078"/>
    <w:rsid w:val="00270EA5"/>
    <w:rsid w:val="002A4A79"/>
    <w:rsid w:val="002B19CF"/>
    <w:rsid w:val="002C1A7E"/>
    <w:rsid w:val="002C2151"/>
    <w:rsid w:val="002E17D6"/>
    <w:rsid w:val="002F6336"/>
    <w:rsid w:val="003167EB"/>
    <w:rsid w:val="00340CFD"/>
    <w:rsid w:val="00353D50"/>
    <w:rsid w:val="00366321"/>
    <w:rsid w:val="0038255E"/>
    <w:rsid w:val="00391648"/>
    <w:rsid w:val="0039304E"/>
    <w:rsid w:val="003A1B5E"/>
    <w:rsid w:val="003C7882"/>
    <w:rsid w:val="003E58B8"/>
    <w:rsid w:val="003E6AB7"/>
    <w:rsid w:val="003F06D7"/>
    <w:rsid w:val="0041109F"/>
    <w:rsid w:val="004114F1"/>
    <w:rsid w:val="00411B1C"/>
    <w:rsid w:val="00424A79"/>
    <w:rsid w:val="00430968"/>
    <w:rsid w:val="0044336D"/>
    <w:rsid w:val="00445638"/>
    <w:rsid w:val="00446432"/>
    <w:rsid w:val="004B6CDF"/>
    <w:rsid w:val="004D16D6"/>
    <w:rsid w:val="004D20CB"/>
    <w:rsid w:val="0052168F"/>
    <w:rsid w:val="00525BD7"/>
    <w:rsid w:val="00554FD1"/>
    <w:rsid w:val="00573A94"/>
    <w:rsid w:val="00575EC9"/>
    <w:rsid w:val="005D541A"/>
    <w:rsid w:val="00621D09"/>
    <w:rsid w:val="00636360"/>
    <w:rsid w:val="00636B58"/>
    <w:rsid w:val="006616F9"/>
    <w:rsid w:val="00680300"/>
    <w:rsid w:val="006C4518"/>
    <w:rsid w:val="006E7E75"/>
    <w:rsid w:val="006F068B"/>
    <w:rsid w:val="00717393"/>
    <w:rsid w:val="007259CB"/>
    <w:rsid w:val="0072672D"/>
    <w:rsid w:val="00735221"/>
    <w:rsid w:val="007372CD"/>
    <w:rsid w:val="00756A25"/>
    <w:rsid w:val="0077106D"/>
    <w:rsid w:val="0078365A"/>
    <w:rsid w:val="00793BB8"/>
    <w:rsid w:val="007A3AFE"/>
    <w:rsid w:val="007A4E51"/>
    <w:rsid w:val="007B024D"/>
    <w:rsid w:val="007B40FB"/>
    <w:rsid w:val="007B57B5"/>
    <w:rsid w:val="007D557A"/>
    <w:rsid w:val="007E24B2"/>
    <w:rsid w:val="00825238"/>
    <w:rsid w:val="00833710"/>
    <w:rsid w:val="00860BEB"/>
    <w:rsid w:val="008634E9"/>
    <w:rsid w:val="00871293"/>
    <w:rsid w:val="008801B5"/>
    <w:rsid w:val="00880275"/>
    <w:rsid w:val="00884030"/>
    <w:rsid w:val="008946A5"/>
    <w:rsid w:val="00897F56"/>
    <w:rsid w:val="008A42DE"/>
    <w:rsid w:val="008B224E"/>
    <w:rsid w:val="008B4AA1"/>
    <w:rsid w:val="008C1C71"/>
    <w:rsid w:val="008D7FE0"/>
    <w:rsid w:val="008E119A"/>
    <w:rsid w:val="008E12B9"/>
    <w:rsid w:val="00904103"/>
    <w:rsid w:val="00907E64"/>
    <w:rsid w:val="00923C0C"/>
    <w:rsid w:val="00937749"/>
    <w:rsid w:val="00950103"/>
    <w:rsid w:val="00963C00"/>
    <w:rsid w:val="00966E1A"/>
    <w:rsid w:val="00981F24"/>
    <w:rsid w:val="009A4D56"/>
    <w:rsid w:val="009C797B"/>
    <w:rsid w:val="009D530E"/>
    <w:rsid w:val="009E09F7"/>
    <w:rsid w:val="009F0B39"/>
    <w:rsid w:val="00A000DA"/>
    <w:rsid w:val="00A1736E"/>
    <w:rsid w:val="00A35C0B"/>
    <w:rsid w:val="00A4307C"/>
    <w:rsid w:val="00A617CE"/>
    <w:rsid w:val="00A7239A"/>
    <w:rsid w:val="00A87FDB"/>
    <w:rsid w:val="00A94700"/>
    <w:rsid w:val="00AA1138"/>
    <w:rsid w:val="00AA5786"/>
    <w:rsid w:val="00AD70CF"/>
    <w:rsid w:val="00AE78B7"/>
    <w:rsid w:val="00B3642C"/>
    <w:rsid w:val="00B41243"/>
    <w:rsid w:val="00B66232"/>
    <w:rsid w:val="00B66E33"/>
    <w:rsid w:val="00BC7CE2"/>
    <w:rsid w:val="00BD0EF7"/>
    <w:rsid w:val="00BE2DD9"/>
    <w:rsid w:val="00C21399"/>
    <w:rsid w:val="00C33EAB"/>
    <w:rsid w:val="00C45DC5"/>
    <w:rsid w:val="00C540BD"/>
    <w:rsid w:val="00C560C4"/>
    <w:rsid w:val="00C632A9"/>
    <w:rsid w:val="00C65A9A"/>
    <w:rsid w:val="00C6748F"/>
    <w:rsid w:val="00C719A6"/>
    <w:rsid w:val="00C81508"/>
    <w:rsid w:val="00CA370A"/>
    <w:rsid w:val="00CE1504"/>
    <w:rsid w:val="00CF2DB0"/>
    <w:rsid w:val="00D005F2"/>
    <w:rsid w:val="00D24669"/>
    <w:rsid w:val="00D24AE8"/>
    <w:rsid w:val="00D631FA"/>
    <w:rsid w:val="00D70C46"/>
    <w:rsid w:val="00D82356"/>
    <w:rsid w:val="00D84EEE"/>
    <w:rsid w:val="00D90A61"/>
    <w:rsid w:val="00DF02CE"/>
    <w:rsid w:val="00E030DA"/>
    <w:rsid w:val="00E11B0C"/>
    <w:rsid w:val="00E22802"/>
    <w:rsid w:val="00E7064C"/>
    <w:rsid w:val="00E71CBA"/>
    <w:rsid w:val="00E935CB"/>
    <w:rsid w:val="00E97346"/>
    <w:rsid w:val="00EB2BEC"/>
    <w:rsid w:val="00EC0704"/>
    <w:rsid w:val="00ED13A1"/>
    <w:rsid w:val="00ED6B5D"/>
    <w:rsid w:val="00EE4C99"/>
    <w:rsid w:val="00EE4CD8"/>
    <w:rsid w:val="00F311CD"/>
    <w:rsid w:val="00F63439"/>
    <w:rsid w:val="00F64E57"/>
    <w:rsid w:val="00F72725"/>
    <w:rsid w:val="00F74FC9"/>
    <w:rsid w:val="00F81CD9"/>
    <w:rsid w:val="00FB3A3D"/>
    <w:rsid w:val="00FF414B"/>
    <w:rsid w:val="00FF4B7A"/>
    <w:rsid w:val="00FF66F0"/>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Textpoznmkypodiarou">
    <w:name w:val="footnote text"/>
    <w:basedOn w:val="Normlny"/>
    <w:link w:val="TextpoznmkypodiarouChar"/>
    <w:uiPriority w:val="99"/>
    <w:semiHidden/>
    <w:unhideWhenUsed/>
    <w:rsid w:val="006E7E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E7E75"/>
    <w:rPr>
      <w:sz w:val="20"/>
      <w:szCs w:val="20"/>
    </w:rPr>
  </w:style>
  <w:style w:type="character" w:styleId="Odkaznapoznmkupodiarou">
    <w:name w:val="footnote reference"/>
    <w:basedOn w:val="Predvolenpsmoodseku"/>
    <w:uiPriority w:val="99"/>
    <w:semiHidden/>
    <w:unhideWhenUsed/>
    <w:rsid w:val="006E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943">
      <w:bodyDiv w:val="1"/>
      <w:marLeft w:val="0"/>
      <w:marRight w:val="0"/>
      <w:marTop w:val="0"/>
      <w:marBottom w:val="0"/>
      <w:divBdr>
        <w:top w:val="none" w:sz="0" w:space="0" w:color="auto"/>
        <w:left w:val="none" w:sz="0" w:space="0" w:color="auto"/>
        <w:bottom w:val="none" w:sz="0" w:space="0" w:color="auto"/>
        <w:right w:val="none" w:sz="0" w:space="0" w:color="auto"/>
      </w:divBdr>
    </w:div>
    <w:div w:id="883714484">
      <w:bodyDiv w:val="1"/>
      <w:marLeft w:val="0"/>
      <w:marRight w:val="0"/>
      <w:marTop w:val="0"/>
      <w:marBottom w:val="0"/>
      <w:divBdr>
        <w:top w:val="none" w:sz="0" w:space="0" w:color="auto"/>
        <w:left w:val="none" w:sz="0" w:space="0" w:color="auto"/>
        <w:bottom w:val="none" w:sz="0" w:space="0" w:color="auto"/>
        <w:right w:val="none" w:sz="0" w:space="0" w:color="auto"/>
      </w:divBdr>
    </w:div>
    <w:div w:id="1050958542">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2681031">
      <w:bodyDiv w:val="1"/>
      <w:marLeft w:val="0"/>
      <w:marRight w:val="0"/>
      <w:marTop w:val="0"/>
      <w:marBottom w:val="0"/>
      <w:divBdr>
        <w:top w:val="none" w:sz="0" w:space="0" w:color="auto"/>
        <w:left w:val="none" w:sz="0" w:space="0" w:color="auto"/>
        <w:bottom w:val="none" w:sz="0" w:space="0" w:color="auto"/>
        <w:right w:val="none" w:sz="0" w:space="0" w:color="auto"/>
      </w:divBdr>
    </w:div>
    <w:div w:id="188674625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23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D36169-D95F-4916-8815-3088B12B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1840</Words>
  <Characters>10489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Štúr Patrik</cp:lastModifiedBy>
  <cp:revision>50</cp:revision>
  <cp:lastPrinted>2023-02-03T07:10:00Z</cp:lastPrinted>
  <dcterms:created xsi:type="dcterms:W3CDTF">2023-02-06T13:48:00Z</dcterms:created>
  <dcterms:modified xsi:type="dcterms:W3CDTF">2023-02-08T09:19:00Z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