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6553" w14:textId="34994A1A" w:rsidR="00141013" w:rsidRDefault="00141013" w:rsidP="00141013">
      <w:pPr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97A08">
        <w:rPr>
          <w:rFonts w:ascii="Times New Roman" w:eastAsia="Times New Roman" w:hAnsi="Times New Roman"/>
          <w:b/>
          <w:sz w:val="24"/>
          <w:szCs w:val="24"/>
          <w:lang w:eastAsia="sk-SK"/>
        </w:rPr>
        <w:t>Predkladacia správa</w:t>
      </w:r>
    </w:p>
    <w:p w14:paraId="77BC9717" w14:textId="77777777" w:rsidR="008C1A80" w:rsidRPr="007947D4" w:rsidRDefault="008C1A80" w:rsidP="00141013">
      <w:pPr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727D2C1" w14:textId="77777777" w:rsidR="00141013" w:rsidRPr="00E97A08" w:rsidRDefault="00141013" w:rsidP="001410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DCD1966" w14:textId="44A011F8" w:rsidR="00141013" w:rsidRDefault="00141013" w:rsidP="001410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bCs/>
          <w:sz w:val="24"/>
          <w:szCs w:val="24"/>
        </w:rPr>
        <w:t xml:space="preserve">nariadenia vlády Slovenskej republiky, ktorým sa ustanovujú kritické zahraničné investície (ďalej len „návrh nariadenia“) sa </w:t>
      </w:r>
      <w:r w:rsidRPr="007141A4">
        <w:rPr>
          <w:rFonts w:ascii="Times New Roman" w:hAnsi="Times New Roman"/>
          <w:bCs/>
          <w:sz w:val="24"/>
          <w:szCs w:val="24"/>
        </w:rPr>
        <w:t xml:space="preserve">predkladá </w:t>
      </w:r>
      <w:r>
        <w:rPr>
          <w:rFonts w:ascii="Times New Roman" w:hAnsi="Times New Roman"/>
          <w:bCs/>
          <w:sz w:val="24"/>
          <w:szCs w:val="24"/>
        </w:rPr>
        <w:t xml:space="preserve">na základe </w:t>
      </w:r>
      <w:r w:rsidRPr="00772E0C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68</w:t>
      </w:r>
      <w:r w:rsidRPr="00772E0C">
        <w:rPr>
          <w:rFonts w:ascii="Times New Roman" w:hAnsi="Times New Roman"/>
          <w:bCs/>
          <w:sz w:val="24"/>
          <w:szCs w:val="24"/>
        </w:rPr>
        <w:t xml:space="preserve"> ods. 1 zákona</w:t>
      </w:r>
      <w:r>
        <w:rPr>
          <w:rFonts w:ascii="Times New Roman" w:hAnsi="Times New Roman"/>
          <w:bCs/>
          <w:sz w:val="24"/>
          <w:szCs w:val="24"/>
        </w:rPr>
        <w:t xml:space="preserve"> č. </w:t>
      </w:r>
      <w:r w:rsidR="004F3AF7">
        <w:rPr>
          <w:rFonts w:ascii="Times New Roman" w:hAnsi="Times New Roman"/>
          <w:bCs/>
          <w:sz w:val="24"/>
          <w:szCs w:val="24"/>
        </w:rPr>
        <w:t>497</w:t>
      </w:r>
      <w:r>
        <w:rPr>
          <w:rFonts w:ascii="Times New Roman" w:hAnsi="Times New Roman"/>
          <w:bCs/>
          <w:sz w:val="24"/>
          <w:szCs w:val="24"/>
        </w:rPr>
        <w:t>/2022 Z. z. o preverovaní zahraničných investícií</w:t>
      </w:r>
      <w:r w:rsidRPr="00C923A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 o zmene a doplnení niektorých zákonov (ďalej len „zákon o preverovaní zahraničných investícií“)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0540505" w14:textId="77777777" w:rsidR="00141013" w:rsidRDefault="00141013" w:rsidP="001410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Aktuálny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 vývoj a trendy v globálnom 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ospodárskom priestore a vzájomná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 otvorenosť ekonomík Európskej únie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prispeli k tomu, že aj napriek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všeobecne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zitívnemu vplyvu zahraničných investícií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nutné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venovať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prichádzajúcim zahraničným investíciám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zvýšenú pozornosť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identifikovať ich potenciál a spôsobilosť negatívne ovplyvniť be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zpečnosť alebo verejný poriadok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923AD">
        <w:rPr>
          <w:rFonts w:ascii="Times New Roman" w:eastAsia="Times New Roman" w:hAnsi="Times New Roman"/>
          <w:sz w:val="24"/>
          <w:szCs w:val="24"/>
          <w:lang w:eastAsia="sk-SK"/>
        </w:rPr>
        <w:t xml:space="preserve">Uvedené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naviac umocňujú negatívne dôsledky</w:t>
      </w:r>
      <w:r w:rsidRPr="00C923AD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znievajúcej pandémie COVID-19 a </w:t>
      </w:r>
      <w:r w:rsidRPr="00C923AD">
        <w:rPr>
          <w:rFonts w:ascii="Times New Roman" w:eastAsia="Times New Roman" w:hAnsi="Times New Roman"/>
          <w:sz w:val="24"/>
          <w:szCs w:val="24"/>
          <w:lang w:eastAsia="sk-SK"/>
        </w:rPr>
        <w:t>pretrvávajúcej agresie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Ruskej federácie</w:t>
      </w:r>
      <w:r w:rsidRPr="00C923AD">
        <w:rPr>
          <w:rFonts w:ascii="Times New Roman" w:eastAsia="Times New Roman" w:hAnsi="Times New Roman"/>
          <w:sz w:val="24"/>
          <w:szCs w:val="24"/>
          <w:lang w:eastAsia="sk-SK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Ukrajine</w:t>
      </w:r>
      <w:r w:rsidRPr="00C923A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25155AE" w14:textId="24ED7A61" w:rsidR="00141013" w:rsidRDefault="00141013" w:rsidP="001410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Nakoľko existujúca čiastková úprava preverovania, obsiahnutá v zákone č. 45/2011 Z. z. o kritickej infraštruktúre </w:t>
      </w:r>
      <w:r w:rsidRPr="00337706">
        <w:rPr>
          <w:rFonts w:ascii="Times New Roman" w:eastAsia="Times New Roman" w:hAnsi="Times New Roman"/>
          <w:sz w:val="24"/>
          <w:szCs w:val="24"/>
          <w:lang w:eastAsia="sk-SK"/>
        </w:rPr>
        <w:t>v znení neskorších predpisov, nie je postačujúca z pohľadu bezpečnostných záujmov Slovenskej republiky, ako ani Európskej únie,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predkladateľ pristúpil k príprave komplexnej právnej úpravy preverovania zahraničných investícií z dôvodu ochrany bezpečnosti a verejného poriadku. Uvedené o. i. prispeje k </w:t>
      </w:r>
      <w:r w:rsidRPr="002D4D90">
        <w:rPr>
          <w:rFonts w:ascii="Times New Roman" w:eastAsia="Times New Roman" w:hAnsi="Times New Roman"/>
          <w:sz w:val="24"/>
          <w:szCs w:val="24"/>
          <w:lang w:eastAsia="sk-SK"/>
        </w:rPr>
        <w:t>naplneniu Bezpečnostnej st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ratégie Slovenskej republiky, v </w:t>
      </w:r>
      <w:r w:rsidRPr="002D4D90">
        <w:rPr>
          <w:rFonts w:ascii="Times New Roman" w:eastAsia="Times New Roman" w:hAnsi="Times New Roman"/>
          <w:sz w:val="24"/>
          <w:szCs w:val="24"/>
          <w:lang w:eastAsia="sk-SK"/>
        </w:rPr>
        <w:t>rámci ktorej je účinné preverovanie zahraničných investícií označené ako jeden zo strategických bezpečnostných záujmov Slovenskej republiky, ako aj Akčného plánu 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oordinácie boja proti hybridným</w:t>
      </w:r>
      <w:r w:rsidRPr="002D4D90">
        <w:rPr>
          <w:rFonts w:ascii="Times New Roman" w:eastAsia="Times New Roman" w:hAnsi="Times New Roman"/>
          <w:sz w:val="24"/>
          <w:szCs w:val="24"/>
          <w:lang w:eastAsia="sk-SK"/>
        </w:rPr>
        <w:t xml:space="preserve"> hrozbám na roky 2022 až 2024, z ktorého tiež vyplýva požiadavka na zavedenie účinného komplexného mechanizmu na preverovanie zahraničných investícií z dôvodu ochrany bezpečnosti a verejného poriadku.</w:t>
      </w:r>
    </w:p>
    <w:p w14:paraId="0550A4EB" w14:textId="77777777" w:rsidR="00141013" w:rsidRDefault="00141013" w:rsidP="001410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Základom tejto komplexnej legislatívy je zákon o preverovaní </w:t>
      </w:r>
      <w:r w:rsidRPr="00337706">
        <w:rPr>
          <w:rFonts w:ascii="Times New Roman" w:eastAsia="Times New Roman" w:hAnsi="Times New Roman"/>
          <w:sz w:val="24"/>
          <w:szCs w:val="24"/>
          <w:lang w:eastAsia="sk-SK"/>
        </w:rPr>
        <w:t>zahraničných investícií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ktorý venuje osobitnú pozornosť tzv. kritickým zahraničným investíciám.</w:t>
      </w:r>
      <w:r w:rsidRPr="0033770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>Ide o okruh zahranič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ných investícií, v súvislosti s 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ktorými 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vopred 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>vo všeobecnosti predpokla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dá zvýšené bezpečnostné riziko, ako 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>aj závažnejšie následky v prípade narušenia bezpečnosti alebo verejného poriadku.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 toho dôvodu zákon ustanovuje, že kritické zahraničné investície nemôžu byť uskutočnené bez ich predchádzajúceho preverenia.</w:t>
      </w:r>
    </w:p>
    <w:p w14:paraId="01D38167" w14:textId="3A7E87DD" w:rsidR="00141013" w:rsidRPr="00C82365" w:rsidRDefault="00141013" w:rsidP="00C8236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Skúsenosti krajín, ktoré majú s uplatňovaním národných mechanizmov preverovania zahraničných investícií dlhoročnú prax, ukazujú, že v dôsledku rýchlych zmien v globálnom priestore a rýchleho technologického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 vývoj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 sa strategi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cky dôležitými pre bezpečnosť a 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>verejný poriadok môžu stať aj</w:t>
      </w:r>
      <w:r w:rsidR="00DA188D">
        <w:rPr>
          <w:rFonts w:ascii="Times New Roman" w:eastAsia="Times New Roman" w:hAnsi="Times New Roman"/>
          <w:sz w:val="24"/>
          <w:szCs w:val="24"/>
          <w:lang w:eastAsia="sk-SK"/>
        </w:rPr>
        <w:t xml:space="preserve"> ďalšie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 technológie, systémy, infraštruktúra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vstupy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 a pod., ktorý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ch dôležitosť v 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súčasnosti nie je možné predvídať. Zároveň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možno predpokladať iné 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>nepredvídateľné situácie, ktoré by mohli viesť k ohrozeniu bezpečnosti a verejného poriadku prostredníctvom zahraničnej investície v cieľovej osobe, resp.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>sektore, k</w:t>
      </w:r>
      <w:r w:rsidR="00C82365">
        <w:rPr>
          <w:rFonts w:ascii="Times New Roman" w:eastAsia="Times New Roman" w:hAnsi="Times New Roman"/>
          <w:sz w:val="24"/>
          <w:szCs w:val="24"/>
          <w:lang w:eastAsia="sk-SK"/>
        </w:rPr>
        <w:t xml:space="preserve">torý sa z logických dôvodov pri 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príprave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 preverovaní zahraničných investícií </w:t>
      </w:r>
      <w:r w:rsidR="00C82365">
        <w:rPr>
          <w:rFonts w:ascii="Times New Roman" w:eastAsia="Times New Roman" w:hAnsi="Times New Roman"/>
          <w:sz w:val="24"/>
          <w:szCs w:val="24"/>
          <w:lang w:eastAsia="sk-SK"/>
        </w:rPr>
        <w:t xml:space="preserve">nepovažoval za strategický.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Preto bolo vymedzenie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 kritických zahraničný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ch investícií</w:t>
      </w:r>
      <w:r w:rsidR="00C82365">
        <w:rPr>
          <w:rFonts w:ascii="Times New Roman" w:eastAsia="Times New Roman" w:hAnsi="Times New Roman"/>
          <w:sz w:val="24"/>
          <w:szCs w:val="24"/>
          <w:lang w:eastAsia="sk-SK"/>
        </w:rPr>
        <w:t xml:space="preserve"> ponechané na nariadenie vlády. Zároveň však h</w:t>
      </w:r>
      <w:r w:rsidR="00C82365" w:rsidRPr="00C82365">
        <w:rPr>
          <w:rFonts w:ascii="Times New Roman" w:eastAsia="Times New Roman" w:hAnsi="Times New Roman"/>
          <w:sz w:val="24"/>
          <w:szCs w:val="24"/>
          <w:lang w:eastAsia="sk-SK"/>
        </w:rPr>
        <w:t>ranice účasti zahraničného investora v cieľovej osobe, ktoré budú kľúčové pre určenie, či konkrétna kritická zahraničná investícia musí byť preverená, sú ustanovené zákonom. Týmto spôsobom je zabezpečená primeraná miera flexibility.</w:t>
      </w:r>
    </w:p>
    <w:p w14:paraId="2A17EF1A" w14:textId="77777777" w:rsidR="00141013" w:rsidRDefault="00141013" w:rsidP="001410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Vzhľadom na uvedené a s ohľadom na 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§ 3 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§ 68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 ods. 1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 preverovaní zahraničných investícií bol pripravený návrh nariadenia. Pri vymedzení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 xml:space="preserve"> kritických zahraničných investícií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 predkladateľ inšpiroval legislatívou a skúsenosťami iných členských štátov Európskej únie, ako aj názormi zástupcov ostatných rezortov a bezpečnostných zložiek</w:t>
      </w:r>
      <w:r w:rsidRPr="00DC381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33C86D9" w14:textId="071E5CFE" w:rsidR="00141013" w:rsidRDefault="00141013" w:rsidP="001410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Zároveň bol pri príprave nariadenia zohľadnený záujem na nediskriminačnom zaobchádzaní vo vzťahu k zahraničným investíciám, resp. zahraničným investorom, z tretích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krajín. Kritické zahraničné investície preto neboli vymedzené prostredníctvom kritéria pôvodu zahraničného investora alebo kapitálu </w:t>
      </w:r>
      <w:r w:rsidRPr="005A4A92">
        <w:rPr>
          <w:rFonts w:ascii="Times New Roman" w:eastAsia="Times New Roman" w:hAnsi="Times New Roman"/>
          <w:sz w:val="24"/>
          <w:szCs w:val="24"/>
          <w:lang w:eastAsia="sk-SK"/>
        </w:rPr>
        <w:t xml:space="preserve">ale s ohľadom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činnosť cieľovej osoby (napr. výroba položiek s dvojakým použitím), resp. s ohľadom na sektor, či</w:t>
      </w:r>
      <w:r w:rsidRPr="005A4A92">
        <w:rPr>
          <w:rFonts w:ascii="Times New Roman" w:eastAsia="Times New Roman" w:hAnsi="Times New Roman"/>
          <w:sz w:val="24"/>
          <w:szCs w:val="24"/>
          <w:lang w:eastAsia="sk-SK"/>
        </w:rPr>
        <w:t xml:space="preserve"> oblasť, do ktorej zahraničná investícia smeruje alebo určitý špecifický status cieľovej osoby (napr. </w:t>
      </w:r>
      <w:r w:rsidR="00070D10">
        <w:rPr>
          <w:rFonts w:ascii="Times New Roman" w:eastAsia="Times New Roman" w:hAnsi="Times New Roman"/>
          <w:sz w:val="24"/>
          <w:szCs w:val="24"/>
          <w:lang w:eastAsia="sk-SK"/>
        </w:rPr>
        <w:t>prevádzkovateľ základnej služby</w:t>
      </w:r>
      <w:r w:rsidRPr="005A4A92">
        <w:rPr>
          <w:rFonts w:ascii="Times New Roman" w:eastAsia="Times New Roman" w:hAnsi="Times New Roman"/>
          <w:sz w:val="24"/>
          <w:szCs w:val="24"/>
          <w:lang w:eastAsia="sk-SK"/>
        </w:rPr>
        <w:t>).</w:t>
      </w:r>
      <w:r w:rsidRPr="00337706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740E2AF0" w14:textId="61E279AB" w:rsidR="00141013" w:rsidRDefault="00141013" w:rsidP="001410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 prijatí komplexnej </w:t>
      </w:r>
      <w:r w:rsidRPr="00F9737F">
        <w:rPr>
          <w:rFonts w:ascii="Times New Roman" w:eastAsia="Times New Roman" w:hAnsi="Times New Roman"/>
          <w:sz w:val="24"/>
          <w:szCs w:val="24"/>
          <w:lang w:eastAsia="sk-SK"/>
        </w:rPr>
        <w:t xml:space="preserve">právnej úpravy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upravujúcej preverovanie zahraničných investícií vrátane návrhu nariadenia Slovensko zostane naďalej otvorenou ekonomikou, nakoľko  zámerom</w:t>
      </w:r>
      <w:r w:rsidRPr="00F9737F">
        <w:rPr>
          <w:rFonts w:ascii="Times New Roman" w:eastAsia="Times New Roman" w:hAnsi="Times New Roman"/>
          <w:sz w:val="24"/>
          <w:szCs w:val="24"/>
          <w:lang w:eastAsia="sk-SK"/>
        </w:rPr>
        <w:t xml:space="preserve"> navrhovanej úpravy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nie je zníženie prílevu zahraničných investícií ale výlučne ochrana bezpečnosti a verejného poriadku. Uvedené potvrdzuje o. i. aj prax členských štátov Európskej únie, ktoré národné mechanizmy preverovania uplatňujú a ktoré nezaznamenali pokles prílevu zahraničných investícií.</w:t>
      </w:r>
    </w:p>
    <w:p w14:paraId="0039657E" w14:textId="70A95260" w:rsidR="00D51559" w:rsidRDefault="002E65FE" w:rsidP="00742CA6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nariadenia</w:t>
      </w:r>
      <w:r w:rsidR="00141013" w:rsidRPr="00F24188">
        <w:rPr>
          <w:rFonts w:ascii="Times New Roman" w:eastAsia="Times New Roman" w:hAnsi="Times New Roman"/>
          <w:sz w:val="24"/>
          <w:szCs w:val="24"/>
          <w:lang w:eastAsia="sk-SK"/>
        </w:rPr>
        <w:t xml:space="preserve"> nebude predmetom vnútrokomunitárneho pripomienkového konania.</w:t>
      </w:r>
    </w:p>
    <w:p w14:paraId="0D20D8FF" w14:textId="000819EE" w:rsidR="00D51559" w:rsidRDefault="00D51559" w:rsidP="00141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1559">
        <w:rPr>
          <w:rFonts w:ascii="Times New Roman" w:eastAsia="Times New Roman" w:hAnsi="Times New Roman"/>
          <w:sz w:val="24"/>
          <w:szCs w:val="24"/>
          <w:lang w:eastAsia="sk-SK"/>
        </w:rPr>
        <w:t>Materiál bol predmetom medzirezortného pripomienkového konania, ktorého výsledky sú uvedené vo vyhodnotení pripomienkového konania.</w:t>
      </w:r>
      <w:bookmarkStart w:id="0" w:name="_GoBack"/>
      <w:bookmarkEnd w:id="0"/>
    </w:p>
    <w:sectPr w:rsidR="00D51559" w:rsidSect="00B9460F">
      <w:pgSz w:w="11906" w:h="16838"/>
      <w:pgMar w:top="1134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B42E" w14:textId="77777777" w:rsidR="001C2386" w:rsidRDefault="001C2386" w:rsidP="00B176E1">
      <w:pPr>
        <w:spacing w:after="0" w:line="240" w:lineRule="auto"/>
      </w:pPr>
      <w:r>
        <w:separator/>
      </w:r>
    </w:p>
  </w:endnote>
  <w:endnote w:type="continuationSeparator" w:id="0">
    <w:p w14:paraId="719D44D2" w14:textId="77777777" w:rsidR="001C2386" w:rsidRDefault="001C2386" w:rsidP="00B1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9D42" w14:textId="77777777" w:rsidR="001C2386" w:rsidRDefault="001C2386" w:rsidP="00B176E1">
      <w:pPr>
        <w:spacing w:after="0" w:line="240" w:lineRule="auto"/>
      </w:pPr>
      <w:r>
        <w:separator/>
      </w:r>
    </w:p>
  </w:footnote>
  <w:footnote w:type="continuationSeparator" w:id="0">
    <w:p w14:paraId="49A9FD18" w14:textId="77777777" w:rsidR="001C2386" w:rsidRDefault="001C2386" w:rsidP="00B1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190"/>
    <w:multiLevelType w:val="hybridMultilevel"/>
    <w:tmpl w:val="B4A25AD0"/>
    <w:lvl w:ilvl="0" w:tplc="544694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C7"/>
    <w:multiLevelType w:val="hybridMultilevel"/>
    <w:tmpl w:val="B4C0D268"/>
    <w:lvl w:ilvl="0" w:tplc="B948977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8442D4"/>
    <w:multiLevelType w:val="multilevel"/>
    <w:tmpl w:val="9AE01AF8"/>
    <w:numStyleLink w:val="tl1"/>
  </w:abstractNum>
  <w:abstractNum w:abstractNumId="5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45F"/>
    <w:multiLevelType w:val="multilevel"/>
    <w:tmpl w:val="0922DB1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630A1"/>
    <w:multiLevelType w:val="hybridMultilevel"/>
    <w:tmpl w:val="C26E66F4"/>
    <w:lvl w:ilvl="0" w:tplc="A5E6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7"/>
    <w:rsid w:val="000243B3"/>
    <w:rsid w:val="000302A6"/>
    <w:rsid w:val="00070D10"/>
    <w:rsid w:val="00085248"/>
    <w:rsid w:val="00095E9C"/>
    <w:rsid w:val="000A47AB"/>
    <w:rsid w:val="000A5D8D"/>
    <w:rsid w:val="000F40ED"/>
    <w:rsid w:val="000F4BD9"/>
    <w:rsid w:val="00110D96"/>
    <w:rsid w:val="00120692"/>
    <w:rsid w:val="00125E2A"/>
    <w:rsid w:val="00126B48"/>
    <w:rsid w:val="001358B1"/>
    <w:rsid w:val="00141013"/>
    <w:rsid w:val="00146F66"/>
    <w:rsid w:val="001600CB"/>
    <w:rsid w:val="001C2386"/>
    <w:rsid w:val="001F51E2"/>
    <w:rsid w:val="00205E17"/>
    <w:rsid w:val="00244F37"/>
    <w:rsid w:val="00266FAE"/>
    <w:rsid w:val="002951AF"/>
    <w:rsid w:val="002A4A4F"/>
    <w:rsid w:val="002B7731"/>
    <w:rsid w:val="002E65FE"/>
    <w:rsid w:val="002F18ED"/>
    <w:rsid w:val="002F2C71"/>
    <w:rsid w:val="002F4C99"/>
    <w:rsid w:val="003171EF"/>
    <w:rsid w:val="003219A7"/>
    <w:rsid w:val="00330056"/>
    <w:rsid w:val="003600B6"/>
    <w:rsid w:val="00367DFB"/>
    <w:rsid w:val="003971EB"/>
    <w:rsid w:val="003A17F6"/>
    <w:rsid w:val="003C1BFC"/>
    <w:rsid w:val="003E6B26"/>
    <w:rsid w:val="003F6615"/>
    <w:rsid w:val="00407A35"/>
    <w:rsid w:val="00410DA4"/>
    <w:rsid w:val="0041201A"/>
    <w:rsid w:val="004249C3"/>
    <w:rsid w:val="00436846"/>
    <w:rsid w:val="00451830"/>
    <w:rsid w:val="004518DE"/>
    <w:rsid w:val="00456644"/>
    <w:rsid w:val="00466AFF"/>
    <w:rsid w:val="0047020B"/>
    <w:rsid w:val="004A6E72"/>
    <w:rsid w:val="004D5D9B"/>
    <w:rsid w:val="004F08A8"/>
    <w:rsid w:val="004F3AF7"/>
    <w:rsid w:val="004F3C02"/>
    <w:rsid w:val="0051590E"/>
    <w:rsid w:val="00515F03"/>
    <w:rsid w:val="00550493"/>
    <w:rsid w:val="005568DB"/>
    <w:rsid w:val="005632BC"/>
    <w:rsid w:val="0056776E"/>
    <w:rsid w:val="00567AE2"/>
    <w:rsid w:val="00596024"/>
    <w:rsid w:val="005A2567"/>
    <w:rsid w:val="005A4A92"/>
    <w:rsid w:val="005B26C3"/>
    <w:rsid w:val="005C08D7"/>
    <w:rsid w:val="005C4C05"/>
    <w:rsid w:val="005C7890"/>
    <w:rsid w:val="005D111E"/>
    <w:rsid w:val="00623B02"/>
    <w:rsid w:val="0063328F"/>
    <w:rsid w:val="00646D6F"/>
    <w:rsid w:val="00651FFF"/>
    <w:rsid w:val="006617CB"/>
    <w:rsid w:val="006809B7"/>
    <w:rsid w:val="0069064E"/>
    <w:rsid w:val="006B541B"/>
    <w:rsid w:val="006D7481"/>
    <w:rsid w:val="007141A4"/>
    <w:rsid w:val="00737C93"/>
    <w:rsid w:val="00742CA6"/>
    <w:rsid w:val="00755B51"/>
    <w:rsid w:val="0075772A"/>
    <w:rsid w:val="007726D8"/>
    <w:rsid w:val="00776D1B"/>
    <w:rsid w:val="00790D76"/>
    <w:rsid w:val="007947D4"/>
    <w:rsid w:val="007B5395"/>
    <w:rsid w:val="007B5AA2"/>
    <w:rsid w:val="007B6387"/>
    <w:rsid w:val="00805A8A"/>
    <w:rsid w:val="00813D67"/>
    <w:rsid w:val="0083324B"/>
    <w:rsid w:val="00847F9C"/>
    <w:rsid w:val="00883F8A"/>
    <w:rsid w:val="00886850"/>
    <w:rsid w:val="008A72C0"/>
    <w:rsid w:val="008B1A7E"/>
    <w:rsid w:val="008C1A80"/>
    <w:rsid w:val="008C1BCD"/>
    <w:rsid w:val="008E411D"/>
    <w:rsid w:val="009018BD"/>
    <w:rsid w:val="00916278"/>
    <w:rsid w:val="00971F13"/>
    <w:rsid w:val="00993BB1"/>
    <w:rsid w:val="009A4E5C"/>
    <w:rsid w:val="009B18DE"/>
    <w:rsid w:val="00A56A82"/>
    <w:rsid w:val="00A56C03"/>
    <w:rsid w:val="00A675E9"/>
    <w:rsid w:val="00A827EA"/>
    <w:rsid w:val="00AD54C0"/>
    <w:rsid w:val="00AE1F0E"/>
    <w:rsid w:val="00AE2C78"/>
    <w:rsid w:val="00B03D0C"/>
    <w:rsid w:val="00B176E1"/>
    <w:rsid w:val="00B37C3C"/>
    <w:rsid w:val="00B459F5"/>
    <w:rsid w:val="00B51804"/>
    <w:rsid w:val="00B5224E"/>
    <w:rsid w:val="00B756DB"/>
    <w:rsid w:val="00B81E05"/>
    <w:rsid w:val="00B85B85"/>
    <w:rsid w:val="00B9460F"/>
    <w:rsid w:val="00B94C98"/>
    <w:rsid w:val="00B94D64"/>
    <w:rsid w:val="00BB6829"/>
    <w:rsid w:val="00BC2263"/>
    <w:rsid w:val="00BE3233"/>
    <w:rsid w:val="00C760DF"/>
    <w:rsid w:val="00C82365"/>
    <w:rsid w:val="00C923AD"/>
    <w:rsid w:val="00C953E4"/>
    <w:rsid w:val="00C957E1"/>
    <w:rsid w:val="00CD07C8"/>
    <w:rsid w:val="00CF15EA"/>
    <w:rsid w:val="00CF56B4"/>
    <w:rsid w:val="00D1561A"/>
    <w:rsid w:val="00D22E52"/>
    <w:rsid w:val="00D324F2"/>
    <w:rsid w:val="00D34645"/>
    <w:rsid w:val="00D51559"/>
    <w:rsid w:val="00D51DC7"/>
    <w:rsid w:val="00D573A4"/>
    <w:rsid w:val="00D71D6F"/>
    <w:rsid w:val="00D7533F"/>
    <w:rsid w:val="00D8675A"/>
    <w:rsid w:val="00DA188D"/>
    <w:rsid w:val="00DC3818"/>
    <w:rsid w:val="00DD5A09"/>
    <w:rsid w:val="00DF6AB7"/>
    <w:rsid w:val="00E06AC7"/>
    <w:rsid w:val="00E15A12"/>
    <w:rsid w:val="00E207AB"/>
    <w:rsid w:val="00E34897"/>
    <w:rsid w:val="00E4232C"/>
    <w:rsid w:val="00E5032C"/>
    <w:rsid w:val="00E55530"/>
    <w:rsid w:val="00E55D62"/>
    <w:rsid w:val="00E56DC6"/>
    <w:rsid w:val="00E643FD"/>
    <w:rsid w:val="00E74EF2"/>
    <w:rsid w:val="00E97A08"/>
    <w:rsid w:val="00EA2C46"/>
    <w:rsid w:val="00ED4936"/>
    <w:rsid w:val="00ED4FC9"/>
    <w:rsid w:val="00EE3E4F"/>
    <w:rsid w:val="00EF0A54"/>
    <w:rsid w:val="00F06140"/>
    <w:rsid w:val="00F26C74"/>
    <w:rsid w:val="00F35EF9"/>
    <w:rsid w:val="00F5079C"/>
    <w:rsid w:val="00F55184"/>
    <w:rsid w:val="00F9373F"/>
    <w:rsid w:val="00F9737F"/>
    <w:rsid w:val="00FB3022"/>
    <w:rsid w:val="00FB6C1F"/>
    <w:rsid w:val="00FC4E43"/>
    <w:rsid w:val="00FE3DB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44A874"/>
  <w15:docId w15:val="{E7B10156-F41B-4019-8803-2217FB8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F3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rsid w:val="0041201A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53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3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3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39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A4A4F"/>
    <w:rPr>
      <w:color w:val="808080"/>
    </w:rPr>
  </w:style>
  <w:style w:type="numbering" w:customStyle="1" w:styleId="tl1">
    <w:name w:val="Štýl1"/>
    <w:rsid w:val="00B176E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6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6E1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41201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201A"/>
    <w:pPr>
      <w:spacing w:after="0" w:line="240" w:lineRule="auto"/>
    </w:pPr>
    <w:rPr>
      <w:rFonts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201A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201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A2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A2C46"/>
    <w:pPr>
      <w:spacing w:after="160" w:line="259" w:lineRule="auto"/>
      <w:ind w:left="720"/>
      <w:contextualSpacing/>
    </w:pPr>
    <w:rPr>
      <w:rFonts w:cs="Calibri"/>
      <w:lang w:eastAsia="sk-SK"/>
    </w:rPr>
  </w:style>
  <w:style w:type="table" w:styleId="Mriekatabuky">
    <w:name w:val="Table Grid"/>
    <w:basedOn w:val="Normlnatabuka"/>
    <w:uiPriority w:val="59"/>
    <w:rsid w:val="0062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23B02"/>
    <w:rPr>
      <w:color w:val="0000FF" w:themeColor="hyperlink"/>
      <w:u w:val="single"/>
    </w:rPr>
  </w:style>
  <w:style w:type="paragraph" w:customStyle="1" w:styleId="norm00e1lny">
    <w:name w:val="norm_00e1lny"/>
    <w:basedOn w:val="Normlny"/>
    <w:rsid w:val="00623B02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B02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6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8236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C823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5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4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9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3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9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4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4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3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2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3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5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8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9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9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3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8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7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5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3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0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5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9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0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8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65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00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6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0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52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58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0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52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E157-0BEA-40E1-B62A-6C354D5E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2022-12-13T17:54:00Z</cp:lastPrinted>
  <dcterms:created xsi:type="dcterms:W3CDTF">2023-01-18T14:55:00Z</dcterms:created>
  <dcterms:modified xsi:type="dcterms:W3CDTF">2023-01-25T09:30:00Z</dcterms:modified>
</cp:coreProperties>
</file>