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F40C0" w:rsidRDefault="006F40C0">
      <w:pPr>
        <w:jc w:val="center"/>
        <w:divId w:val="265626390"/>
        <w:rPr>
          <w:rFonts w:ascii="Times" w:hAnsi="Times" w:cs="Times"/>
          <w:sz w:val="25"/>
          <w:szCs w:val="25"/>
        </w:rPr>
      </w:pPr>
      <w:r>
        <w:rPr>
          <w:rFonts w:ascii="Times" w:hAnsi="Times" w:cs="Times"/>
          <w:sz w:val="25"/>
          <w:szCs w:val="25"/>
        </w:rPr>
        <w:t>Zákon, ktorým sa mení a dopĺňa zákon č. 110/2004 Z. z. o fungovaní Bezpečnostnej rady Slovenskej republiky v čase mieru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F40C0" w:rsidP="006F40C0">
            <w:pPr>
              <w:spacing w:after="0" w:line="240" w:lineRule="auto"/>
              <w:rPr>
                <w:rFonts w:ascii="Times New Roman" w:hAnsi="Times New Roman" w:cs="Calibri"/>
                <w:sz w:val="20"/>
                <w:szCs w:val="20"/>
              </w:rPr>
            </w:pPr>
            <w:r>
              <w:rPr>
                <w:rFonts w:ascii="Times" w:hAnsi="Times" w:cs="Times"/>
                <w:sz w:val="25"/>
                <w:szCs w:val="25"/>
              </w:rPr>
              <w:t>33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F40C0" w:rsidP="006F40C0">
            <w:pPr>
              <w:spacing w:after="0" w:line="240" w:lineRule="auto"/>
              <w:rPr>
                <w:rFonts w:ascii="Times New Roman" w:hAnsi="Times New Roman" w:cs="Calibri"/>
                <w:sz w:val="20"/>
                <w:szCs w:val="20"/>
              </w:rPr>
            </w:pPr>
            <w:r>
              <w:rPr>
                <w:rFonts w:ascii="Times" w:hAnsi="Times" w:cs="Times"/>
                <w:sz w:val="25"/>
                <w:szCs w:val="25"/>
              </w:rPr>
              <w:t>33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F40C0" w:rsidP="006F40C0">
            <w:pPr>
              <w:spacing w:after="0" w:line="240" w:lineRule="auto"/>
              <w:rPr>
                <w:rFonts w:ascii="Times New Roman" w:hAnsi="Times New Roman" w:cs="Calibri"/>
                <w:sz w:val="20"/>
                <w:szCs w:val="20"/>
              </w:rPr>
            </w:pPr>
            <w:r>
              <w:rPr>
                <w:rFonts w:ascii="Times" w:hAnsi="Times" w:cs="Times"/>
                <w:sz w:val="25"/>
                <w:szCs w:val="25"/>
              </w:rPr>
              <w:t>16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F40C0" w:rsidP="006F40C0">
            <w:pPr>
              <w:spacing w:after="0" w:line="240" w:lineRule="auto"/>
              <w:rPr>
                <w:rFonts w:ascii="Times New Roman" w:hAnsi="Times New Roman" w:cs="Calibri"/>
                <w:sz w:val="20"/>
                <w:szCs w:val="20"/>
              </w:rPr>
            </w:pPr>
            <w:r>
              <w:rPr>
                <w:rFonts w:ascii="Times" w:hAnsi="Times" w:cs="Times"/>
                <w:sz w:val="25"/>
                <w:szCs w:val="25"/>
              </w:rPr>
              <w:t>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F40C0" w:rsidP="006F40C0">
            <w:pPr>
              <w:spacing w:after="0" w:line="240" w:lineRule="auto"/>
              <w:rPr>
                <w:rFonts w:ascii="Times New Roman" w:hAnsi="Times New Roman" w:cs="Calibri"/>
                <w:sz w:val="20"/>
                <w:szCs w:val="20"/>
              </w:rPr>
            </w:pPr>
            <w:r>
              <w:rPr>
                <w:rFonts w:ascii="Times" w:hAnsi="Times" w:cs="Times"/>
                <w:sz w:val="25"/>
                <w:szCs w:val="25"/>
              </w:rPr>
              <w:t>14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F40C0" w:rsidRDefault="006F40C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6F40C0">
        <w:trPr>
          <w:divId w:val="18487740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Vôbec nezaslali</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sz w:val="20"/>
                <w:szCs w:val="20"/>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sz w:val="20"/>
                <w:szCs w:val="20"/>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sz w:val="20"/>
                <w:szCs w:val="20"/>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sz w:val="20"/>
                <w:szCs w:val="20"/>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sz w:val="20"/>
                <w:szCs w:val="20"/>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sz w:val="20"/>
                <w:szCs w:val="20"/>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sz w:val="20"/>
                <w:szCs w:val="20"/>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sz w:val="20"/>
                <w:szCs w:val="20"/>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sz w:val="20"/>
                <w:szCs w:val="20"/>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9 (4o,5z)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sz w:val="20"/>
                <w:szCs w:val="20"/>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x</w:t>
            </w:r>
          </w:p>
        </w:tc>
      </w:tr>
      <w:tr w:rsidR="006F40C0">
        <w:trPr>
          <w:divId w:val="184877406"/>
          <w:jc w:val="center"/>
        </w:trPr>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33 (23o,10z)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F40C0" w:rsidRDefault="006F40C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F40C0" w:rsidRDefault="006F40C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Spôsob vyhodnotenia</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Podľa doložky vybraných vplyvov návrh zákona nemá žiadne vplyvy na rozpočet verejnej správy. Návrhom zákona sa zriaďuje nový pracovný orgán Bezpečnostnej rady Slovenskej republiky, a to Výbor pre hybridné hrozby. Vzhľadom na uvedené žiadame do doložky vybraných vplyvov bodu 10. Poznámky uviesť, že prípadné výdavky, ktoré vyplynú zo zriadenia nového pracovného orgánu Bezpečnostnej rady Slovenskej republiky (Výbor pre hybridné hrozby) budú zabezpečené v rámci schválených limitov dotknutej kapitoly na príslušné rozpočtové roky bez dodatočných požiadaviek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doložke vybraných vplyvov v časti poznámky.</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Pojem „hybridná hrozba“ nie je v navrhovanom zákone vymedzený, a nie je vymedzený ani v samotnom zákone č. 110/2004 Z. z. o fungovaní Bezpečnostnej rady Slovenskej republiky v čase mieru v znení neskorších predpisov, či v ústavnom zákone č. 227/2002 Z. z. o bezpečnosti štátu v čase vojny, vojnového stavu, výnimočného stavu a núdzového stavu v znení neskorších predpisov, ktorým sa Bezpečnostná rada Slovenskej republiky zriadila. Význam tohto pojmu sa dá len nepriamo odvodiť od demonštratívneho výpočtu škodlivých aktivít uvedených v § 27b ods. 3 druhej vete zákona č. 69/2018 Z. z. o kybernetickej bezpečnosti a o zmene a doplnení niektorých zákonov v znení zákona č. 55/2022 Z. z., ktoré však s výnimkou </w:t>
            </w:r>
            <w:r>
              <w:rPr>
                <w:rFonts w:ascii="Times" w:hAnsi="Times" w:cs="Times"/>
                <w:sz w:val="25"/>
                <w:szCs w:val="25"/>
              </w:rPr>
              <w:lastRenderedPageBreak/>
              <w:t>tohto pojmu a ďalšieho, právnym poriadkom Slovenskej republiky nevymedzeného pojmu „závažná dezinformácia“ , spadajú pod aktivity, pred ktorými sa Slovenská republika a v rámci nej pôsobiace osoby v kybernetickom priestore podľa § 3 písm. c) zákona č. 69/2018 Z. z. v znení zákona č. 287/2021 Z. z. chránia stavom kybernetickej bezpečnosti podľa § 3 písm. h) zákona č. 69/2018 Z. z. v znení zákona č. 287/2021 Z. z. Výbor pre kybernetickú bezpečnosť Bezpečnostnej rady Slovenskej republiky možno ako stály pracovný orgán Bezpečnostnej rady Slovenskej republiky podľa § 10b zákona č. 110/2004 Z. z. znení zákona č. 346/2015 Z. z. zriadiť už podľa účinného znenia tohto zákona. Pokiaľ teda význam pojmu „hybridná hrozba“ nie je na účely uvedeného zákona vymedzený, nie je možné ani určiť praktickú náplň práce navrhovaným zákonom navrhovaného stáleho pracovného orgánu Bezpečnostnej rady Slovenskej republiky, ktorý by mal mať názov „výbor pre hybridné hrozby“. Navrhujeme preto tento pojem v navrhovanom zákone vymedziť, prípadne ho nahradiť presnejším popisom toho, čomu by sa mal tento stály pracovný orgán Bezpečnostnej rady Slovenskej republiky v skutočnosti venovať. Pokiaľ by však v prípade konkretizácie tejto činnosti nezostala adekvátna náplň predmetu činnosti navrhovaného stáleho pracovného orgánu Bezpečnostnej rady Slovenskej republiky, navrhujeme navrhovaný zákon vôbec nepredkladať na prerokovanie vládou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Predkladateľ zvážil úpravu legálnej definície pojmu „hybridné hrozby“, avšak vzhľadom na rôznorodosť a premenlivosť obsahu a definícií tohto pojmu sa rozhodol ponechať jeho objasnenie iba v rámci dôvodovej správy. Predkladateľ poukazuje v tejto súvislosti na dokument Európskej únie Spoločný rámec pre boj s hybridnými hrozbami, ktorý uvádza, že „definície hybridných hrozieb sú rôzne a musia zostať flexibilné, aby mohli reagovať na premenlivú povahu týchto hrozieb.“ </w:t>
            </w:r>
            <w:r>
              <w:rPr>
                <w:rFonts w:ascii="Times" w:hAnsi="Times" w:cs="Times"/>
                <w:sz w:val="25"/>
                <w:szCs w:val="25"/>
              </w:rPr>
              <w:lastRenderedPageBreak/>
              <w:t xml:space="preserve">Daný pojem sa v súčasnosti bežne používa (aj v mediálnom priestore). Z uvedených dôvodov nie je v súčasnosti vhodné definovať ho zákonom. </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K Čl. I § 10c ods. 3</w:t>
            </w:r>
            <w:r>
              <w:rPr>
                <w:rFonts w:ascii="Times" w:hAnsi="Times" w:cs="Times"/>
                <w:sz w:val="25"/>
                <w:szCs w:val="25"/>
              </w:rPr>
              <w:br/>
              <w:t xml:space="preserve">Odporúčame v Čl. I § 10c odsek 3 doplniť písmenom p), ktoré znie: „p) Ministerstva práce, sociálnych vecí a rodiny Slovenskej </w:t>
            </w:r>
            <w:r>
              <w:rPr>
                <w:rFonts w:ascii="Times" w:hAnsi="Times" w:cs="Times"/>
                <w:sz w:val="25"/>
                <w:szCs w:val="25"/>
              </w:rPr>
              <w:lastRenderedPageBreak/>
              <w:t>republiky.“. Odôvodnenie: Pokladáme za dôležité, aby aj Ministerstvo práce, sociálnych vecí a rodiny Slovenskej republiky bolo súčasťou a teda členom výboru pre hybridné hrozby, a to najmä vzhľadom na skutočnosť, že hybridné hrozby sa okrem iného týkajú verejnej správy a spoločnosti, a teda aj sociálnej oblasti, kde môže nastať situácia, že budú voči sebe postavené etniká a spoločnosť môže byť polarizovaná. Dôkazom je aj súčasná situácia, kedy Ministerstvo práce, sociálnych vecí a rodiny Slovenskej republiky zabezpečuje komplexnú pomoc pre odídencov z Ukrajiny.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znení dokumentu.</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Návrh uznesenia vlády SR</w:t>
            </w:r>
            <w:r>
              <w:rPr>
                <w:rFonts w:ascii="Times" w:hAnsi="Times" w:cs="Times"/>
                <w:sz w:val="25"/>
                <w:szCs w:val="25"/>
              </w:rPr>
              <w:br/>
              <w:t>Odporúčame v Návrhu uznesenia vlády doplniť predkladateľa návrhu zákona. Odôvodnenie: Pripomienka vychádza zo znenia bodu 5.1 Metodického pokynu na prípravu a predkladanie materiálov na rokovanie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znení dokumentu.</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Čl. I § 10c ods. 2</w:t>
            </w:r>
            <w:r>
              <w:rPr>
                <w:rFonts w:ascii="Times" w:hAnsi="Times" w:cs="Times"/>
                <w:sz w:val="25"/>
                <w:szCs w:val="25"/>
              </w:rPr>
              <w:br/>
              <w:t xml:space="preserve">Ministerstvo vnútra predložilo do medzirezortného pripomienkového konania návrh Koncepcie bezpečnostného systému Slovenskej republiky (LP/2022/636), ktoré bolo ukončené 26. októbra 2022. Navrhované ustanovenie § 10c ods. 2 zákona upravujúce kreovanie predsedu Výboru pre hybridné hrozby však nie je v súlade s predmetným návrhom koncepcie, podľa ktorej je riaditeľ Národného bezpečnostného analytického centra zároveň predsedom Výboru pre hybridné hrozby. Z uvedeného dôvodu žiadame zosúladiť navrhované ustanovenie § 10c ods. 2 s predmetnou koncepciou. Odôvodnenie: Akčný plán koordinácie boja proti hybridným hrozbám na roky 2022 – 2024, </w:t>
            </w:r>
            <w:r>
              <w:rPr>
                <w:rFonts w:ascii="Times" w:hAnsi="Times" w:cs="Times"/>
                <w:sz w:val="25"/>
                <w:szCs w:val="25"/>
              </w:rPr>
              <w:lastRenderedPageBreak/>
              <w:t>schválený uznesením vlády Slovenskej republiky č. 235 dňa 30.3.2022, predpokladá účasť zástupcu NBAC vo výbore (úloha č. Z.1). V súlade s návrhom Koncepcie bezpečnostného systému Slovenskej republiky je riaditeľ NBAC súčasne predsedom výboru a v rámci činnosti BR SR spolupracuje s riaditeľom KBR. Už existujúce prepojenie koordinácie spoločného postupu NBAC a KBR v oblasti riešenia problematiky hybridných hrozieb a začlenenie výboru pre hybridné hrozby do štruktúry BR SR je logickým predpokladom zefektívnenia boja proti hybridným hrozbám.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30. novembra 2022 vysvetlením problematiky v súlade s dohodou medzi MO SR, SIS a MV SR.</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Čl. I § 10c ods. 1</w:t>
            </w:r>
            <w:r>
              <w:rPr>
                <w:rFonts w:ascii="Times" w:hAnsi="Times" w:cs="Times"/>
                <w:sz w:val="25"/>
                <w:szCs w:val="25"/>
              </w:rPr>
              <w:br/>
              <w:t>V § 10c ods. 1 písm. a) odporúčame slová „jedenkrát ročne“ nahradiť slovami „jedenkrát mesačne“. Odôvodnenie: Z hľadiska súčasnej bezpečnostnej situácie považujeme za potrebné vyhodnocovať bezpečnostnú situáciu v oblasti hybridných hrozieb s dôrazom na hodnotenie hybridného pôsobenia na bezpečnostný systém štátu v obdobnej periodicite, ako je to v prípade Výboru pre energetickú bezpečnosť a Výboru pre kybernetickú bezpečnosť, ktorých správy o výsledkoch vyhodnotení sú v zmysle § 10a ods. 1 písm. a) a § 10b ods. 1 písm. a) zákona č. 110/2004 Z. z. o fungovaní Bezpečnostnej rady Slovenskej republiky v čase mieru v znení neskorších predpisov zasielané Kancelárii Bezpečnostnej rady Slovenskej republiky bezodkladne, najmenej jedenkrát mesačne.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Pripomienka nebola predkladateľom akceptovaná. Navrhovaná úprava zasielania správ jedenkrát ročne je z hľadiska frekvencie a miery informovanosti postačujúca a zmena frekvencie zasielania nebude mať vplyv na bezpečnosť Slovenskej republiky v kybernetickom priestore. </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Čl. I § 10c ods. 1</w:t>
            </w:r>
            <w:r>
              <w:rPr>
                <w:rFonts w:ascii="Times" w:hAnsi="Times" w:cs="Times"/>
                <w:sz w:val="25"/>
                <w:szCs w:val="25"/>
              </w:rPr>
              <w:br/>
              <w:t>V § 10c ods. 1 písm. e) odporúčame vypustiť slová „najmä v politickej, právnej a hospodárskej oblasti“. Odôvodnenie: Nie je vhodné preferovať niektoré oblasti v prípade návrhov opatrení na zvyšovanie celospoločenského povedomia o hybridných hrozbách, keďže zvyšovanie celospoločenského povedomia o hybridných hrozbách napríklad v bezpečnostnej, kultúrnej a sociálnej oblasti je rovnako dôležité.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znení dokumentu.</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Čl. I § 10c ods. 3</w:t>
            </w:r>
            <w:r>
              <w:rPr>
                <w:rFonts w:ascii="Times" w:hAnsi="Times" w:cs="Times"/>
                <w:sz w:val="25"/>
                <w:szCs w:val="25"/>
              </w:rPr>
              <w:br/>
              <w:t>V § 10c žiadame v odseku 3 doplniť písmeno p), ktoré bude znieť: „p) Policajného zboru.“. Odôvodnenie: Vzhľadom na postavenie a úlohy Policajného zboru vo veciach vnútorného poriadku, bezpečnosti, boja proti zločinnosti vrátane jej organizovaných foriem a medzinárodných foriem a úlohy, ktoré vyplývajú z medzinárodných záväzkov Slovenskej republiky, považujeme za potrebné, aby členom výboru bol aj zástupca Policajného zboru.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znení dokumentu.</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K čl. I [§ 10c ods. 2]:</w:t>
            </w:r>
            <w:r>
              <w:rPr>
                <w:rFonts w:ascii="Times" w:hAnsi="Times" w:cs="Times"/>
                <w:sz w:val="25"/>
                <w:szCs w:val="25"/>
              </w:rPr>
              <w:br/>
              <w:t>Dávame do pozornosti, že podľa § 10c ods. 2 návrhu zákona predsedu výboru pre hybridné hrozby navrhuje minister obrany, avšak podľa Koncepcie bezpečnostného systému Slovenskej republiky (ktorá je v súčasnosti v medzirezortnom pripomienkovom konaní LP/2022/636) sa za predsedu výboru pre hybridné hrozby navrhuje ustanoviť riaditeľa Národného bezpečnostného analytického centra (NBAC).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Uvedený problém bol vyriešení po vysvetlení problematiky vzájomnou dohodou medzi MO SR, SIS a MV SR. So zverením postu predsedu výboru pre hybridné hrozby riaditeľovi NBAC ráta aj návrh Koncepcie bezpečnostného systému Slovenskej republiky, ktorý Ministerstvo vnútra Slovenskej republiky predložilo do medzirezortného pripomienkového </w:t>
            </w:r>
            <w:r>
              <w:rPr>
                <w:rFonts w:ascii="Times" w:hAnsi="Times" w:cs="Times"/>
                <w:sz w:val="25"/>
                <w:szCs w:val="25"/>
              </w:rPr>
              <w:lastRenderedPageBreak/>
              <w:t xml:space="preserve">konania č. LP/2022/636. Avšak Ministerstvo obrany Slovenskej republiky k predmetnému materiálu uplatnilo zásadnú pripomienku, v ktorej vyjadrilo svoj nesúhlas s navrhovaným personálnym obsadením postu predsedu výboru pre hybridné hrozby. Samotná Slovenská informačná služba vo svojej zásadnej pripomienke pritom ráta iba s tým, že riaditeľ NBAC bude radovým členom, a nie predsedom výboru pre hybridné hrozby. </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K čl. I [§ 10c ods. 1]:</w:t>
            </w:r>
            <w:r>
              <w:rPr>
                <w:rFonts w:ascii="Times" w:hAnsi="Times" w:cs="Times"/>
                <w:sz w:val="25"/>
                <w:szCs w:val="25"/>
              </w:rPr>
              <w:br/>
              <w:t>V § 10c odporúčame odsek 1 doplniť písmenom j), ktoré znie: ,,j) úzko spolupracuje s výborom pre kybernetickú bezpečnosť v oblasti kybernetických hrozieb ako súčasti hybridného pôsobenia a podľa potreby aj s ďalšími výbormi Bezpečnostnej rady.“. Odôvodnenie: Hybridné pôsobenie je tvorené kombinovaným pôsobením viacerých bezpečnostných hrozieb, vrátane kybernetických útokov. V závislosti od charakteru jednotlivých použitých nástrojov hybridného pôsobenia je preto potrebné zabezpečiť spoluprácu vznikajúceho výboru s ďalšími relevantnými výbormi Bezpečnostnej rady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Platné znenie zákona č. 110/2004 Z. z. neobsahuje ustanovenia, ktoré by explicitne upravovali spoluprácu medzi jednotlivými výbormi Bezpečnostnej rady Slovenskej republiky, pretože nadviazanie takejto spolupráce zákon č. 110/2004 Z. z. a priori nevylučuje. Doplnenie navrhovaného ustanovenia preto považujeme za neúčelné, a to najmä s ohľadom na jeho potenciál vyvolať potrebu doplnenia ďalších obdobných ustanovení, ktoré by mohli viesť iba k zníženiu prehľadnosti sústavy vzťahov medzi pracovnými </w:t>
            </w:r>
            <w:r>
              <w:rPr>
                <w:rFonts w:ascii="Times" w:hAnsi="Times" w:cs="Times"/>
                <w:sz w:val="25"/>
                <w:szCs w:val="25"/>
              </w:rPr>
              <w:lastRenderedPageBreak/>
              <w:t>orgánmi Bezpečnostnej rady Slovenskej republiky.</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čl. I [§ 10c ods. 1 písm. a)]</w:t>
            </w:r>
            <w:r>
              <w:rPr>
                <w:rFonts w:ascii="Times" w:hAnsi="Times" w:cs="Times"/>
                <w:sz w:val="25"/>
                <w:szCs w:val="25"/>
              </w:rPr>
              <w:br/>
              <w:t xml:space="preserve">V § 10c ods. 1 písm. a) odporúčame pred slovo ,,vyhodnocuje“ vložiť slovo ,,pravidelne“ a slová ,,bezpečnostný systém štátu“ nahradiť slovami ,,odolnosť štátu a spoločnosti“. Odôvodnenie: Formulačná </w:t>
            </w:r>
            <w:proofErr w:type="spellStart"/>
            <w:r>
              <w:rPr>
                <w:rFonts w:ascii="Times" w:hAnsi="Times" w:cs="Times"/>
                <w:sz w:val="25"/>
                <w:szCs w:val="25"/>
              </w:rPr>
              <w:t>precizácia</w:t>
            </w:r>
            <w:proofErr w:type="spellEnd"/>
            <w:r>
              <w:rPr>
                <w:rFonts w:ascii="Times" w:hAnsi="Times" w:cs="Times"/>
                <w:sz w:val="25"/>
                <w:szCs w:val="25"/>
              </w:rPr>
              <w:t xml:space="preserve"> a terminologická </w:t>
            </w:r>
            <w:proofErr w:type="spellStart"/>
            <w:r>
              <w:rPr>
                <w:rFonts w:ascii="Times" w:hAnsi="Times" w:cs="Times"/>
                <w:sz w:val="25"/>
                <w:szCs w:val="25"/>
              </w:rPr>
              <w:t>precizácia</w:t>
            </w:r>
            <w:proofErr w:type="spellEnd"/>
            <w:r>
              <w:rPr>
                <w:rFonts w:ascii="Times" w:hAnsi="Times" w:cs="Times"/>
                <w:sz w:val="25"/>
                <w:szCs w:val="25"/>
              </w:rPr>
              <w:t xml:space="preserve"> z dôvodu vhodnejšieho a širšieho zaužívaného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znení dokumentu.</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K čl. I [§ 10c ods. 1 písm. b)]:</w:t>
            </w:r>
            <w:r>
              <w:rPr>
                <w:rFonts w:ascii="Times" w:hAnsi="Times" w:cs="Times"/>
                <w:sz w:val="25"/>
                <w:szCs w:val="25"/>
              </w:rPr>
              <w:br/>
              <w:t xml:space="preserve">V § 10c ods. 1 písm. b) odporúčame slová ,,zníženie alebo odstránenie rizík hybridného pôsobenia a opatrení na boj proti hybridným hrozbám“ nahradiť slovami ,,zvýšenie odolnosti štátu a spoločnosti voči rizikám hybridného pôsobenia“. Odôvodnenie: Terminologická </w:t>
            </w:r>
            <w:proofErr w:type="spellStart"/>
            <w:r>
              <w:rPr>
                <w:rFonts w:ascii="Times" w:hAnsi="Times" w:cs="Times"/>
                <w:sz w:val="25"/>
                <w:szCs w:val="25"/>
              </w:rPr>
              <w:t>precizácia</w:t>
            </w:r>
            <w:proofErr w:type="spellEnd"/>
            <w:r>
              <w:rPr>
                <w:rFonts w:ascii="Times" w:hAnsi="Times" w:cs="Times"/>
                <w:sz w:val="25"/>
                <w:szCs w:val="25"/>
              </w:rPr>
              <w:t xml:space="preserve"> z dôvodu vhodnejšieho a širšieho zaužívaného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znení dokumentu.</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K čl. I [§ 10c ods. 1 písm. e)]:</w:t>
            </w:r>
            <w:r>
              <w:rPr>
                <w:rFonts w:ascii="Times" w:hAnsi="Times" w:cs="Times"/>
                <w:sz w:val="25"/>
                <w:szCs w:val="25"/>
              </w:rPr>
              <w:br/>
              <w:t xml:space="preserve">V § 10c ods. 1 písm. e) odporúčame slová ,,o hybridných hrozbách najmä v politickej, právnej a hospodárskej oblasti“ nahradiť slovami ,,o rizikách hybridných hrozieb najmä v bezpečnostnej, politickej, právnej, spoločenskej, informačnej a hospodárskej oblasti“. Odôvodnenie: Formulačná </w:t>
            </w:r>
            <w:proofErr w:type="spellStart"/>
            <w:r>
              <w:rPr>
                <w:rFonts w:ascii="Times" w:hAnsi="Times" w:cs="Times"/>
                <w:sz w:val="25"/>
                <w:szCs w:val="25"/>
              </w:rPr>
              <w:t>precizácia</w:t>
            </w:r>
            <w:proofErr w:type="spellEnd"/>
            <w:r>
              <w:rPr>
                <w:rFonts w:ascii="Times" w:hAnsi="Times" w:cs="Times"/>
                <w:sz w:val="25"/>
                <w:szCs w:val="25"/>
              </w:rPr>
              <w:t xml:space="preserve"> doplnením ďalších relevantných domén hybridného pôsobenia.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Predmetné ustanovenie návrhu zákona bolo upravené v súlade s pripomienkou MV SR a ÚV SR.</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2. Definovanie problému prvej vete druhého odseku odporúčame slová ,,V Slovenskej republike </w:t>
            </w:r>
            <w:r>
              <w:rPr>
                <w:rFonts w:ascii="Times" w:hAnsi="Times" w:cs="Times"/>
                <w:sz w:val="25"/>
                <w:szCs w:val="25"/>
              </w:rPr>
              <w:lastRenderedPageBreak/>
              <w:t>je dlhodobo zaznamenávaný nárast hybridného pôsobenia Ruskej federácie, Bieloruska, ako aj Čínskej ľudovej republiky.“ nahradiť slovami „V Slovenskej republike je dlhodobo zaznamenávaný nárast hybridného pôsobenia Ruskej federácie, ako aj ďalších aktérov.“. Odôvodnenie: Formulačné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znení dokumentu.</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K dôvodovej správe, všeobecnej časti:</w:t>
            </w:r>
            <w:r>
              <w:rPr>
                <w:rFonts w:ascii="Times" w:hAnsi="Times" w:cs="Times"/>
                <w:sz w:val="25"/>
                <w:szCs w:val="25"/>
              </w:rPr>
              <w:br/>
              <w:t>Vo všeobecnej časti dôvodovej správy druhej vete druhého odseku odporúčame za slovo ,,mienkou,“ vložiť slová „oslabovať dôveru v demokratické inštitúcie a právny štát,“. Odôvodnenie: Ide o doplnenie cieľov hybridného pôsobenia voči Slovenskej republiky aj o oslabovanie dôvery v demokratické inštitúcie a právny štát.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znení dokumentu.</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K dôvodovej správe, všeobecnej časti:</w:t>
            </w:r>
            <w:r>
              <w:rPr>
                <w:rFonts w:ascii="Times" w:hAnsi="Times" w:cs="Times"/>
                <w:sz w:val="25"/>
                <w:szCs w:val="25"/>
              </w:rPr>
              <w:br/>
              <w:t xml:space="preserve">Vo všeobecnej časti dôvodovej správy odporúčame na konci štvrtého odseku pripojiť tieto vety: „V Bezpečnostnej stratégií Slovenskej republiky sa vláda zároveň zaviazala, že „na zvýšenie odolnosti štátu a spoločnosti voči hybridným hrozbám Slovenská republika posilní kapacity a expertízu vo verejnej správe, ako aj celoštátnu koordináciu predovšetkým v oblasti plánovania, riadenia a tvorby politík na vládnej a rezortnej úrovni“. Zároveň štát v zmysle Obrannej stratégie Slovenskej republiky na zabezpečenie včasnej identifikácie a analýzy hrozieb a ich rizík, vrátane hybridného pôsobenia „systémovo usporiada vzájomné zdieľanie informácií, proces koordinovanej medzirezortnej analýzy a postup predkladania informácií príslušným ústavným orgánom a štátnym orgánom na včasné prijatie rozhodnutí.“. Odôvodnenie: Ide o doplnenie odkazu na príslušné záväzky z </w:t>
            </w:r>
            <w:r>
              <w:rPr>
                <w:rFonts w:ascii="Times" w:hAnsi="Times" w:cs="Times"/>
                <w:sz w:val="25"/>
                <w:szCs w:val="25"/>
              </w:rPr>
              <w:lastRenderedPageBreak/>
              <w:t>Bezpečnostnej stratégie Slovenskej republiky a Obrannej stratégie Slovenskej republiky ako základných bezpečnostných dokumentov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znení dokumentu.</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K dôvodovej správe, všeobecnej časti:</w:t>
            </w:r>
            <w:r>
              <w:rPr>
                <w:rFonts w:ascii="Times" w:hAnsi="Times" w:cs="Times"/>
                <w:sz w:val="25"/>
                <w:szCs w:val="25"/>
              </w:rPr>
              <w:br/>
              <w:t>Vo všeobecnej časti dôvodovej správy prvej vete štvrtého odseku odporúčame za slovo ,,najmä“ vložiť slová „z Bezpečnostnej stratégie Slovenskej republiky, ktorú schválila Národná rada Slovenskej republiky 28. januára 2021, Obrannej stratégie Slovenskej republiky, schválenej Národnou radou Slovenskej republiky 27. januára 2021,“. Odôvodnenie: Ide o doplnenie Bezpečnostnej stratégie Slovenskej republiky a Obrannej stratégie Slovenskej republiky ako základných bezpečnostných dokumentov štátu medzi referenčné dokumenty.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znení dokumentu.</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Čl. I § 10b ods. 1</w:t>
            </w:r>
            <w:r>
              <w:rPr>
                <w:rFonts w:ascii="Times" w:hAnsi="Times" w:cs="Times"/>
                <w:sz w:val="25"/>
                <w:szCs w:val="25"/>
              </w:rPr>
              <w:br/>
              <w:t xml:space="preserve">V § 10b ods. 1 sa slová „bezodkladne najmenej jedenkrát mesačne“ nahrádzajú slovami „jedenkrát ročne“. Odôvodnenie: Národný bezpečnostný úrad navrhuje pripomienky nad rámec novelizovaných úprav z dôvodu potreby realizácie nevyhnutných zmien v rámci Výboru pre kybernetickú bezpečnosť. Tieto zmeny vychádzajú z poznatkov praxe a majú za cieľ zefektívniť fungovanie výboru. Jednou z úloh Výboru pre kybernetickú bezpečnosť podľa § 10b ods. 1 písm. a) je aj vyhodnocovať bezpečnostnú situáciu v Slovenskej republike a správu o výsledkoch vyhodnotení zasielať Kancelárii Bezpečnostnej rady Slovenskej republiky bezodkladne najmenej jedenkrát mesačne. Navrhovaná úprava zasielania správ jedenkrát ročne je z hľadiska frekvencie a miery informovanosti postačujúca a zmena </w:t>
            </w:r>
            <w:r>
              <w:rPr>
                <w:rFonts w:ascii="Times" w:hAnsi="Times" w:cs="Times"/>
                <w:sz w:val="25"/>
                <w:szCs w:val="25"/>
              </w:rPr>
              <w:lastRenderedPageBreak/>
              <w:t>frekvencie zasielania nebude mať vplyv na bezpečnosť Slovenskej republiky v kybernetickom priestore.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30. novembra 2022 vysvetlením problematiky a návrh zákona bol upravený v súlade s požiadavkou NBÚ. MO SR akceptovalo argumentáciu NBÚ, podľa ktorej periodicita závažných kybernetických bezpečnostných incidentov, o ktorých by mala byť informovaná BR nie je v zásade postavená na mesačnej báze a ich výskyt je sporadického charakteru a správa by tak bola bezobsažná. V praktickej rovine je v záujme úradu vyhnúť sa aj prípadnému porušeniu </w:t>
            </w:r>
            <w:r>
              <w:rPr>
                <w:rFonts w:ascii="Times" w:hAnsi="Times" w:cs="Times"/>
                <w:sz w:val="25"/>
                <w:szCs w:val="25"/>
              </w:rPr>
              <w:lastRenderedPageBreak/>
              <w:t xml:space="preserve">zákona a povinnosti z neho vyplývajúcej. Vypracovanie správy každý mesiac je vzhľadom na iné činnosti časovo náročné a prihliadnutím na vyššie uvedené aj nadbytočné pre praktický nedostatok relevantných údajov. Vypracovanie správy raz za rok je na účely oboznámenia BR dostatočné. Národný bezpečnostný úrad predkladá správy obdobného charakteru aj v iných oblastiach, a to raz ročne. Zabezpečí sa tak konzistentnosť vykonávaných činností a poskytovania informácií. </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Čl. I § 10b ods. 3</w:t>
            </w:r>
            <w:r>
              <w:rPr>
                <w:rFonts w:ascii="Times" w:hAnsi="Times" w:cs="Times"/>
                <w:sz w:val="25"/>
                <w:szCs w:val="25"/>
              </w:rPr>
              <w:br/>
              <w:t xml:space="preserve">V § 10b odsek 3 znie: „(3) Členom výboru pre kybernetickú bezpečnosť je Bezpečnostnou radou schválený a predsedom vymenovaný zástupca a) Ministerstva zahraničných vecí a európskych záležitostí Slovenskej republiky, b) Ministerstva obrany Slovenskej republiky, c) Ministerstva vnútra Slovenskej republiky, d) Ministerstva hospodárstva Slovenskej republiky, e) Ministerstva financií Slovenskej republiky, f) Ministerstva dopravy, výstavby a regionálneho rozvoja Slovenskej republiky, g) Ministerstva zdravotníctva Slovenskej republiky, h) Ministerstva životného prostredia Slovenskej republiky, i) Ministerstva investícií, regionálneho rozvoja a informatizácie Slovenskej republiky, j) Úradu jadrového dozoru Slovenskej </w:t>
            </w:r>
            <w:r>
              <w:rPr>
                <w:rFonts w:ascii="Times" w:hAnsi="Times" w:cs="Times"/>
                <w:sz w:val="25"/>
                <w:szCs w:val="25"/>
              </w:rPr>
              <w:lastRenderedPageBreak/>
              <w:t>republiky, k) Národného bezpečnostného úradu, l) Slovenskej informačnej služby, m) Národného centra kybernetickej bezpečnosti, n) Vládnej jednotky CSIRT, o) Centra pre kybernetickú obranu Slovenskej republiky.“. Odôvodnenie: Národný bezpečnostný úrad navrhuje pripomienky nad rámec novelizovaných úprav z dôvodu potreby realizácie nevyhnutných zmien v rámci Výboru pre kybernetickú bezpečnosť. Tieto zmeny vychádzajú z poznatkov praxe a majú za cieľ zefektívniť fungovanie výboru. Pôsobnosť v oblasti kybernetickej bezpečnosti vykonávajú okrem Národného bezpečnostného úradu ako ústredného orgánu štátnej správy aj ústredné orgány, iné orgány štátnej správy, ako aj jednotky CSIRT. Členom Výboru pre kybernetickú bezpečnosť sú podľa doterajšej úpravy aj subjekty, ktoré neplnia úlohy ústredného orgánu podľa zákona o kybernetickej bezpečnosti a pôsobenie ich zástupcov v predmetnom výbore nemá objektívny význam. Navrhované znenie odseku 3 teda žiadame upraviť a členov Výboru pre kybernetickú bezpečnosť precizovať zosúladením s úpravou ústredných orgánov podľa zákona o kybernetickej bezpečnosti. Navrhovaná úprava vyplýva z potrieb doterajšej praxe v uvedenej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30. novembra 2022 vysvetlením problematiky. NBÚ ustúpil od zásadnej pripomienky.</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Čl. I § 10b ods. 1</w:t>
            </w:r>
            <w:r>
              <w:rPr>
                <w:rFonts w:ascii="Times" w:hAnsi="Times" w:cs="Times"/>
                <w:sz w:val="25"/>
                <w:szCs w:val="25"/>
              </w:rPr>
              <w:br/>
              <w:t xml:space="preserve">V § 10b sa odsek 1 dopĺňa písmenom j), ktoré znie: „j) posudzuje a deteguje škodlivé kybernetické činnosti pre označenie pôvodcu kybernetických útokov uplatnením jednotlivých nástrojov, ktoré závisia od účelu, rozsahu, trvania, intenzity zložitosti a vplyvu takýchto činností.“. Odôvodnenie: Národný bezpečnostný úrad </w:t>
            </w:r>
            <w:r>
              <w:rPr>
                <w:rFonts w:ascii="Times" w:hAnsi="Times" w:cs="Times"/>
                <w:sz w:val="25"/>
                <w:szCs w:val="25"/>
              </w:rPr>
              <w:lastRenderedPageBreak/>
              <w:t xml:space="preserve">navrhuje pripomienky nad rámec novelizovaných úprav z dôvodu potreby realizácie nevyhnutných zmien v rámci Výboru pre kybernetickú bezpečnosť. Tieto zmeny vychádzajú z poznatkov praxe a majú za cieľ zefektívniť fungovanie výboru. Dôležitým aspektom pri odhaľovaní pôvodcov kybernetického útoku je aj priradenie zodpovednosti za jeho uskutočnenie. Z uvedeného dôvodu žiadame odsek 1 doplniť o novú oblasť pôsobnosti Výboru pre kybernetickú bezpečnosť, a to </w:t>
            </w:r>
            <w:proofErr w:type="spellStart"/>
            <w:r>
              <w:rPr>
                <w:rFonts w:ascii="Times" w:hAnsi="Times" w:cs="Times"/>
                <w:sz w:val="25"/>
                <w:szCs w:val="25"/>
              </w:rPr>
              <w:t>atribúciu</w:t>
            </w:r>
            <w:proofErr w:type="spellEnd"/>
            <w:r>
              <w:rPr>
                <w:rFonts w:ascii="Times" w:hAnsi="Times" w:cs="Times"/>
                <w:sz w:val="25"/>
                <w:szCs w:val="25"/>
              </w:rPr>
              <w:t xml:space="preserve"> kybernetických útokov.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30. novembra 2022 vysvetlením problematiky. NBÚ ustúpil od zásadnej pripomienky.</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Čl. I</w:t>
            </w:r>
            <w:r>
              <w:rPr>
                <w:rFonts w:ascii="Times" w:hAnsi="Times" w:cs="Times"/>
                <w:sz w:val="25"/>
                <w:szCs w:val="25"/>
              </w:rPr>
              <w:br/>
              <w:t>V čl. I úvodnej vete sa slová „zákona č. 319/2002 Z. z.“ nahrádzajú slovami „zákona č. 319/2012 Z. z.“. Odôvodnenie: Gramatická pripomienka. Zákon č. 110/2004 Z. z. o fungovaní Bezpečnostnej rady Slovenskej rady v čase mieru v znení neskorších predpisov bol novelizovaný zákonom č. 319/2012 Z. z., ktorým sa mení zákon č. 198/1994 Z. z. o Vojenskom spravodajstve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znení dokumentu.</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Čl. I. § 10c ods. 1</w:t>
            </w:r>
            <w:r>
              <w:rPr>
                <w:rFonts w:ascii="Times" w:hAnsi="Times" w:cs="Times"/>
                <w:sz w:val="25"/>
                <w:szCs w:val="25"/>
              </w:rPr>
              <w:br/>
              <w:t xml:space="preserve">Pripomienka je ZÁSADNÁ. V § 10c ods. 1 žiadame vypustiť písmeno d). Odôvodnenie: Navrhované ustanovenie § 10c ods. 1 ustanovuje predmet činnosti novo kreovaného Výboru pre hybridné hrozby. Cieľom pripomienky je zosúladiť obsahové zameranie činnosti uvedeného výboru s uznesením vlády Slovenskej republiky č. 345 zo dňa 11. 07. 2018, ktorým došlo k schváleniu Koncepcie pre boj Slovenskej republiky proti hybridným hrozbám. Podľa uvedenej koncepcie koordinačnú </w:t>
            </w:r>
            <w:r>
              <w:rPr>
                <w:rFonts w:ascii="Times" w:hAnsi="Times" w:cs="Times"/>
                <w:sz w:val="25"/>
                <w:szCs w:val="25"/>
              </w:rPr>
              <w:lastRenderedPageBreak/>
              <w:t>medzirezortnú funkciu plní Národné bezpečnostné analytické centrum a funkciu národného kontaktného miesta pre hybridné hrozby Situačné centrum Slovenskej republiky. Uvedené potvrdzuje aj vládou (uznesením č. 235 zo dňa 30. 03. 2022) schválený Akčný plán koordinácie boja proti hybridným hrozbám na roky 2022 až 2024, na základe ktorého sa kreuje Výbor pre hybridné hrozby a súčasne vymedzuje rámec jeho pôsobnosti na koordináciu tvorby relevantných politík. Z predmetného materiálu (úloha č. A.6) a uznesenia vlády č. 235 zo dňa 30. 03. 2022 zároveň vyplýva, že vláda Slovenskej republiky za národného koordinátora boja proti hybridným hrozbám ustanovuje Národné bezpečnostné analytické centrum. Považujeme za potrebné poukázať v tejto súvislosti na skutočnosť, že medzinárodná spolupráca v oblasti hybridných hrozieb je v súčasnosti v pôsobnosti jednotlivých štátnych orgánov a do budúcna by v ich pôsobnosti mala aj zostať. Z pohľadu spravodajských služieb zverenie takejto kompetencie uvedenému výboru by negatívne zasahovalo do medzinárodnej spravodajskej spolupráce v oblasti hybridných hrozieb, predovšetkým možným ohrozením systémov ochrany utajovaných skutočností založených predovšetkým na zásade „</w:t>
            </w:r>
            <w:proofErr w:type="spellStart"/>
            <w:r>
              <w:rPr>
                <w:rFonts w:ascii="Times" w:hAnsi="Times" w:cs="Times"/>
                <w:sz w:val="25"/>
                <w:szCs w:val="25"/>
              </w:rPr>
              <w:t>need</w:t>
            </w:r>
            <w:proofErr w:type="spellEnd"/>
            <w:r>
              <w:rPr>
                <w:rFonts w:ascii="Times" w:hAnsi="Times" w:cs="Times"/>
                <w:sz w:val="25"/>
                <w:szCs w:val="25"/>
              </w:rPr>
              <w:t xml:space="preserve"> to </w:t>
            </w:r>
            <w:proofErr w:type="spellStart"/>
            <w:r>
              <w:rPr>
                <w:rFonts w:ascii="Times" w:hAnsi="Times" w:cs="Times"/>
                <w:sz w:val="25"/>
                <w:szCs w:val="25"/>
              </w:rPr>
              <w:t>know</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29. novembra 2022. MO SR, SIS a MV SR sa dohodli na doplnení osobitnej časti dôvodovej správy v tomto znení: „ Navrhovaná právna úprava definuje rozsah pôsobnosti stáleho výboru Bezpečnostnej rady Slovenskej republiky v oblasti hybridných hrozieb s tým, že </w:t>
            </w:r>
            <w:r>
              <w:rPr>
                <w:rFonts w:ascii="Times" w:hAnsi="Times" w:cs="Times"/>
                <w:sz w:val="25"/>
                <w:szCs w:val="25"/>
              </w:rPr>
              <w:lastRenderedPageBreak/>
              <w:t>vykonávaním činností v oblasti koordinácie medzirezortnej a medzinárodnej spolupráce v oblasti hybridných hrozieb nový výbor Bezpečnostnej rady Slovenskej republiky nebude zasahovať do vymedzenia úloh a pôsobnosti Situačného centra Slovenskej republiky, Národného bezpečnostného analytického centra a výboru Bezpečnostnej rady Slovenskej republiky pre koordináciu spravodajských služieb.“</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Čl. I. § 10c</w:t>
            </w:r>
            <w:r>
              <w:rPr>
                <w:rFonts w:ascii="Times" w:hAnsi="Times" w:cs="Times"/>
                <w:sz w:val="25"/>
                <w:szCs w:val="25"/>
              </w:rPr>
              <w:br/>
              <w:t xml:space="preserve">Pripomienka je ZÁSADNÁ. V § 10c žiadame za odsek 3 vložiť nový odsek 4: „Členom výboru pre hybridné hrozby je aj riaditeľ Národného bezpečnostného analytického centra.“. Doterajší odsek 4 sa označuje ako odsek 5. Odôvodnenie: Cieľom nami </w:t>
            </w:r>
            <w:r>
              <w:rPr>
                <w:rFonts w:ascii="Times" w:hAnsi="Times" w:cs="Times"/>
                <w:sz w:val="25"/>
                <w:szCs w:val="25"/>
              </w:rPr>
              <w:lastRenderedPageBreak/>
              <w:t>navrhovanej pripomienky je zosúladiť personálne obsadenie výboru s uznesením vlády Slovenskej republiky č. 235 zo dňa 30. 03. 2022, ktorým bol schválený Akčný plán koordinácie boja proti hybridným hrozbám na roky 2022 až 2024, ktorý výslovne predpokladá účasť zástupcu Národného bezpečnostného analytického centra v predmetnom výbore. Prijatie zákona, ktorý by riaditeľovi NBAC nepriznal status člena uvedeného výboru, by v zásade poprel závery vyplývajúce z uznesenia vlády Slovenskej republiky č. 235 zo dňa 30. 03. 2022. Navrhujeme preto do návrhu zákona zapracovať zmenu, ktorá by riaditeľovi Národného bezpečnostného analytického centra priznala členstvo vo výbore, čím by sa umožnila jeho účasť na rokovaniach výboru, nakoľko Národné bezpečnostné analytické centrum je národným koordinačným centrom pre hybridné hrozby. Tento záver vyplýva aj zo skutočnosti, že podľa Koncepcie pre boj Slovenskej republiky proti hybridným hrozbám plní Národné bezpečnostné analytické centrum koordinačnú medzirezortnú funkciu, a teda je opodstatnené, aby členom výboru bola osoba, ktorá zodpovedá za fungovanie tejto inštitúcie.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29. novembra 2022. Návrh zákona bol upravený v súlade s dohodou medzi MO SR a SIS – do § 10c ods. 3 bol doplnený riaditeľ </w:t>
            </w:r>
            <w:r>
              <w:rPr>
                <w:rFonts w:ascii="Times" w:hAnsi="Times" w:cs="Times"/>
                <w:sz w:val="25"/>
                <w:szCs w:val="25"/>
              </w:rPr>
              <w:lastRenderedPageBreak/>
              <w:t xml:space="preserve">Národného bezpečnostného analytického centra ako ďalší člen výboru pre hybridné hrozby. </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Čl. I § 10c ods. 3</w:t>
            </w:r>
            <w:r>
              <w:rPr>
                <w:rFonts w:ascii="Times" w:hAnsi="Times" w:cs="Times"/>
                <w:sz w:val="25"/>
                <w:szCs w:val="25"/>
              </w:rPr>
              <w:br/>
              <w:t xml:space="preserve">1. V § 10c ods. 3 za písmeno o) vložiť čiarku a doplniť písmeno p), ktoré znie: „p) Úrad jadrového dozoru Slovenskej republiky“. Odôvodnenie: zástupca Úradu jadrového dozoru Slovenskej republiky (ďalej len „úrad“) je podľa § 9 ods. 3 písm. n) zákona č. 110/2004 Z. z. o fungovaní Bezpečnostnej rady Slovenskej republiky v čase mieru v znení neskorších predpisov (ďalej len „zákon“) členom výboru pre civilné núdzové plánovanie, podľa § </w:t>
            </w:r>
            <w:r>
              <w:rPr>
                <w:rFonts w:ascii="Times" w:hAnsi="Times" w:cs="Times"/>
                <w:sz w:val="25"/>
                <w:szCs w:val="25"/>
              </w:rPr>
              <w:lastRenderedPageBreak/>
              <w:t>10a ods. 3 písm. e) zákona členom výboru pre energetickú bezpečnosť a podľa § 10b ods. 3 písm. k) zákona členom výboru pre kybernetickú bezpečnosť. Zastávame názor, že hybridné hrozby sú obdobnou problematikou akými sa zaoberá výbor pre kybernetickú bezpečnosť. Podľa základných indikátorov hybridných hrozieb uvedených v predkladacej správe a vzhľadom na to, že úrad vykonáva štátny dozor nad jadrovou bezpečnosťou jadrových zariadení a vykonáva štátny dozor v oblasti využívania jadrovej energie, pri fyzickej ochrane a pri havarijnom plánovaní a jeho zástupca je členom spomenutých výborov, má úrad zato, že by mal byť jeho zástupca členom aj výboru pre hybridné hrozby.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znení dokumentu.</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vlastnému materiálu,§10c ods. 1 písm. b)</w:t>
            </w:r>
            <w:r>
              <w:rPr>
                <w:rFonts w:ascii="Times" w:hAnsi="Times" w:cs="Times"/>
                <w:sz w:val="25"/>
                <w:szCs w:val="25"/>
              </w:rPr>
              <w:br/>
              <w:t>Odporúčame nahradiť slovo „boj“ slovami „zvyšovanie odolnosti“. Odôvodnenie: Formálna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Predmetné ustanovenie návrhu zákona bolo upravené v súlade s pripomienkou MZVEZ SR.</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vlastnému materiálu, §10c ods. 3 písm. g)</w:t>
            </w:r>
            <w:r>
              <w:rPr>
                <w:rFonts w:ascii="Times" w:hAnsi="Times" w:cs="Times"/>
                <w:sz w:val="25"/>
                <w:szCs w:val="25"/>
              </w:rPr>
              <w:br/>
              <w:t xml:space="preserve">Odporúčame správne upraviť člena novovznikajúceho výboru a za slovo „dopravy“ doplniť slová „ a výstavby“. Rovnako správne upraviť člena aj pri ďalších výboroch a to zástupcu „Ministerstva dopravy a výstavby Slovenskej republiky“ v §8 ods. 3 písm. f) zákona č.110/2004 </w:t>
            </w:r>
            <w:proofErr w:type="spellStart"/>
            <w:r>
              <w:rPr>
                <w:rFonts w:ascii="Times" w:hAnsi="Times" w:cs="Times"/>
                <w:sz w:val="25"/>
                <w:szCs w:val="25"/>
              </w:rPr>
              <w:t>Z.z</w:t>
            </w:r>
            <w:proofErr w:type="spellEnd"/>
            <w:r>
              <w:rPr>
                <w:rFonts w:ascii="Times" w:hAnsi="Times" w:cs="Times"/>
                <w:sz w:val="25"/>
                <w:szCs w:val="25"/>
              </w:rPr>
              <w:t>. a v §9 ods. 3 písm. f) , v §10b ods. 3 písm. f). Odôvodnenie: Formálna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Návrh zákona reflektuje na zmeny vyvolané zákonom č. 201/2022 Z. z. o výstavbe a zákonom č. 172/2022 Z. z., ktorým sa mení a dopĺňa zákon č. 575/2001 Z. z. o organizácii činnosti vlády a organizácii ústrednej štátnej správy v znení neskorších predpisov a ktorým sa menia a dopĺňajú niektoré zákony, podľa ktorých agenda týkajúca sa výstavby prejde z gescie súčasného Ministerstva dopravy a výstavby Slovenskej republiky na novo </w:t>
            </w:r>
            <w:r>
              <w:rPr>
                <w:rFonts w:ascii="Times" w:hAnsi="Times" w:cs="Times"/>
                <w:sz w:val="25"/>
                <w:szCs w:val="25"/>
              </w:rPr>
              <w:lastRenderedPageBreak/>
              <w:t xml:space="preserve">zriaďovaný Úrad pre územné plánovanie a výstavbu Slovenskej republiky, v dôsledku čoho sa s účinnosťou od 1. januára 2023 názov predmetného ministerstva zmení na „Ministerstvo dopravy Slovenskej republiky.“ </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vlastnému materiálu, §10c ods. 1 písm. e)</w:t>
            </w:r>
            <w:r>
              <w:rPr>
                <w:rFonts w:ascii="Times" w:hAnsi="Times" w:cs="Times"/>
                <w:sz w:val="25"/>
                <w:szCs w:val="25"/>
              </w:rPr>
              <w:br/>
              <w:t>Odporúčame vypustiť v písmene e) slová „najmä v politickej, právnej a hospodárskej oblasti.“. Odôvodnenie: Zvyšovanie povedomia o hybridných hrozbách by malo byť prierezové a nie len v troch oblastiach, ale bez špecifického vymedzovania.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znení dokumentu.</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Upozorňujeme na nesúlad materiálu v časti týkajúcej sa predsedu Výboru Bezpečnostnej rady SR pre hybridné hrozby. Odôvodnenie: Predsedu uvedeného novovznikajúceho výboru má vymenovávať alebo odvolávať na návrh ministra obrany Slovenskej republiky Bezpečnostná rada Slovenskej republiky, čo si odporuje s tým, čo je ustanovené v návrhu Koncepcie bezpečnostného systému Slovenskej republiky, ktorá je aktuálne po skončení medzirezortného pripomienkového konania. Podľa predmetnej koncepcie má byť predsedom novovznikajúceho výboru riaditeľ Národného bezpečnostného analytického centra. Spôsob kreovania výboru a najmä personálne obsadenie predsedu uvedené v zákone č. 110/2004 </w:t>
            </w:r>
            <w:proofErr w:type="spellStart"/>
            <w:r>
              <w:rPr>
                <w:rFonts w:ascii="Times" w:hAnsi="Times" w:cs="Times"/>
                <w:sz w:val="25"/>
                <w:szCs w:val="25"/>
              </w:rPr>
              <w:t>Z.z</w:t>
            </w:r>
            <w:proofErr w:type="spellEnd"/>
            <w:r>
              <w:rPr>
                <w:rFonts w:ascii="Times" w:hAnsi="Times" w:cs="Times"/>
                <w:sz w:val="25"/>
                <w:szCs w:val="25"/>
              </w:rPr>
              <w:t xml:space="preserve">. je v nesúlade s navrhovanou </w:t>
            </w:r>
            <w:r>
              <w:rPr>
                <w:rFonts w:ascii="Times" w:hAnsi="Times" w:cs="Times"/>
                <w:sz w:val="25"/>
                <w:szCs w:val="25"/>
              </w:rPr>
              <w:lastRenderedPageBreak/>
              <w:t>zmenou uvedenou v Koncepcii bezpečnostného systému SR, ktorá je v gescii Ministerstva vnútra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Uvedený problém bol vyriešený po vysvetlení problematiky vzájomnou dohodou medzi MO SR, SIS a MV SR. So zverením postu predsedu výboru pre hybridné hrozby riaditeľovi NBAC ráta aj návrh Koncepcie bezpečnostného systému Slovenskej republiky, ktorý Ministerstvo vnútra Slovenskej republiky predložilo do medzirezortného pripomienkového konania č. LP/2022/636. Avšak Ministerstvo obrany Slovenskej republiky k predmetnému materiálu uplatnilo zásadnú pripomienku, v ktorej vyjadrilo svoj nesúhlas s </w:t>
            </w:r>
            <w:r>
              <w:rPr>
                <w:rFonts w:ascii="Times" w:hAnsi="Times" w:cs="Times"/>
                <w:sz w:val="25"/>
                <w:szCs w:val="25"/>
              </w:rPr>
              <w:lastRenderedPageBreak/>
              <w:t xml:space="preserve">navrhovaným personálnym obsadením postu predsedu výboru pre hybridné hrozby. Samotná Slovenská informačná služba vo svojej zásadnej pripomienke pritom ráta iba s tým, že riaditeľ NBAC bude radovým členom, a nie predsedom výboru pre hybridné hrozby. </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Žiadame doplniť do vlastného materiálu, že „V §7 ods. 4, §8 ods. 4, §9 ods. 4 sa za slovo „člen“ vkladajú slová „alebo na odôvodnený návrh predsedu výboru,“ a v §10a ods. 5 a §10b ods. 5 sa za slovo „osoby“ vkladajú slová „alebo na odôvodnený návrh predsedu výboru,“. Zároveň v súvislosti s touto pripomienkou žiadame vo vlastnom materiáli v §10c ods. 4 za slovo „orgánu“ vložiť slová „alebo na odôvodnený návrh predsedu výboru,“. Odôvodnenie: Vzhľadom na aplikačnú prax je účelom zrýchlenie a zefektívnenie procesu odvolania členov výborov a o návrhu na odvolanie člena výboru rozhodne Bezpečnostná rada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29. novembra 2022, kde bola problematika vysvetlená. </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Žiadame doplniť do vlastného materiálu, že „V §8 ods. 3 sa dopĺňa nové písmeno k), ktoré znie : „k) Úradu vlády Slovenskej republiky“. Doterajšie písmeno k) sa označuje ako písmeno l).“. Odôvodnenie: Považujeme za potrebné, aby členom Výboru Bezpečnostnej rady SR pre obranné plánovanie bol aj zástupca Úradu vlády Slovenskej republiky vzhľadom k tomu, že vláda </w:t>
            </w:r>
            <w:r>
              <w:rPr>
                <w:rFonts w:ascii="Times" w:hAnsi="Times" w:cs="Times"/>
                <w:sz w:val="25"/>
                <w:szCs w:val="25"/>
              </w:rPr>
              <w:lastRenderedPageBreak/>
              <w:t>SR, ktorej činnosť zabezpečuje Úrad vlády SR má nezastupiteľné miesto v systéme zabezpečenia obrany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Pripomienka bola predkladateľom akceptovaná a je reflektovaná v znení dokumentu.</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Žiadame doplniť do vlastného materiálu, že v §12 ods. 1 sa dopĺňa nové písmeno g), ktoré znie: „g) predkladá na Bezpečnostnú radu Slovenskej republiky odôvodnený návrh na odvolanie člena výboru.“. Odôvodnenie: Vzhľadom na aplikačnú prax je účelom zrýchlenie a zefektívnenie procesu odvolania členov výborov a o návrhu na odvolanie člena výboru rozhodne Bezpečnostná rada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29. novembra 2022, kde bola problematika prediskutovaná .</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vlastnému materiálu, §10c ods. 1 písm. d)</w:t>
            </w:r>
            <w:r>
              <w:rPr>
                <w:rFonts w:ascii="Times" w:hAnsi="Times" w:cs="Times"/>
                <w:sz w:val="25"/>
                <w:szCs w:val="25"/>
              </w:rPr>
              <w:br/>
              <w:t>Žiadame vypustiť písmeno d). Odôvodnenie: V zmysle Koncepcie pre boj Slovenskej republiky proti hybridným hrozbám schválenej uznesením vlády SR č. 345 zo dňa 11.7.2018 koordinačnú medzirezortnú funkciu plní Národné bezpečnostné analytické centrum a funkciu národného kontaktného miesta pre hybridné hrozby Situačné centrum SR Kancelárie Bezpečnostnej rady SR Úradu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Rozpor odstránený úpravou osobitnej časti dôvodovej správy po dohode MO SR, ÚV SR a SIS v tomto znení: „Navrhovaná právna úprava definuje rozsah pôsobnosti stáleho výboru Bezpečnostnej rady Slovenskej republiky v oblasti hybridných hrozieb s tým, že vykonávaním činností v oblasti koordinácie medzirezortnej a medzinárodnej spolupráce v oblasti hybridných hrozieb nový výbor Bezpečnostnej rady Slovenskej republiky nebude zasahovať do vymedzenia úloh a pôsobnosti Situačného centra Slovenskej republiky, Národného bezpečnostného analytického centra a výboru </w:t>
            </w:r>
            <w:r>
              <w:rPr>
                <w:rFonts w:ascii="Times" w:hAnsi="Times" w:cs="Times"/>
                <w:sz w:val="25"/>
                <w:szCs w:val="25"/>
              </w:rPr>
              <w:lastRenderedPageBreak/>
              <w:t>Bezpečnostnej rady Slovenskej republiky pre koordináciu spravodajských služieb.“</w:t>
            </w:r>
          </w:p>
        </w:tc>
      </w:tr>
      <w:tr w:rsidR="006F40C0">
        <w:trPr>
          <w:divId w:val="5002023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b/>
                <w:bCs/>
                <w:sz w:val="25"/>
                <w:szCs w:val="25"/>
              </w:rPr>
              <w:t>vlastnému materiálu, §10c ods. 1 písm. i)</w:t>
            </w:r>
            <w:r>
              <w:rPr>
                <w:rFonts w:ascii="Times" w:hAnsi="Times" w:cs="Times"/>
                <w:sz w:val="25"/>
                <w:szCs w:val="25"/>
              </w:rPr>
              <w:br/>
              <w:t xml:space="preserve">Žiadame vypustiť písmeno i). Odôvodnenie: Správa o bezpečnosti Slovenskej republiky sa vypracúva v zmysle § 2 písm. a) bod 3 zákona č. 110/2004 </w:t>
            </w:r>
            <w:proofErr w:type="spellStart"/>
            <w:r>
              <w:rPr>
                <w:rFonts w:ascii="Times" w:hAnsi="Times" w:cs="Times"/>
                <w:sz w:val="25"/>
                <w:szCs w:val="25"/>
              </w:rPr>
              <w:t>Z.z</w:t>
            </w:r>
            <w:proofErr w:type="spellEnd"/>
            <w:r>
              <w:rPr>
                <w:rFonts w:ascii="Times" w:hAnsi="Times" w:cs="Times"/>
                <w:sz w:val="25"/>
                <w:szCs w:val="25"/>
              </w:rPr>
              <w:t xml:space="preserve">. a osobitné kritéria obsahu a prípravy správy ustanovuje Metodika vypracúvania správy o bezpečnosti Slovenskej republiky. V súlade s metodikou sa správa vypracúva medzirezortnou pracovnou skupinou zloženou zo zástupcov nominovaných z rezortov a dotknutých štátnych orgánov, teda aj zástupcov z Ministerstva obrany SR. Po pripomienkovom konaní sa správa predkladá na prerokovanie vo výboroch Bezpečnostnej rady SR. Z toho dôvodu odporúčame zjednotiť podľa všetkých výborov Bezpečnostnej rady SR uvedených v predmetnom zákone č. 110/2004 </w:t>
            </w:r>
            <w:proofErr w:type="spellStart"/>
            <w:r>
              <w:rPr>
                <w:rFonts w:ascii="Times" w:hAnsi="Times" w:cs="Times"/>
                <w:sz w:val="25"/>
                <w:szCs w:val="25"/>
              </w:rPr>
              <w:t>Z.z</w:t>
            </w:r>
            <w:proofErr w:type="spellEnd"/>
            <w:r>
              <w:rPr>
                <w:rFonts w:ascii="Times" w:hAnsi="Times" w:cs="Times"/>
                <w:sz w:val="25"/>
                <w:szCs w:val="25"/>
              </w:rPr>
              <w:t>. a neukladať osobitný mandát novovznikajúceho výboru podieľať sa na spracovaní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F40C0" w:rsidRDefault="006F40C0">
            <w:pPr>
              <w:rPr>
                <w:rFonts w:ascii="Times" w:hAnsi="Times" w:cs="Times"/>
                <w:sz w:val="25"/>
                <w:szCs w:val="25"/>
              </w:rPr>
            </w:pPr>
            <w:r>
              <w:rPr>
                <w:rFonts w:ascii="Times" w:hAnsi="Times" w:cs="Times"/>
                <w:sz w:val="25"/>
                <w:szCs w:val="25"/>
              </w:rPr>
              <w:t xml:space="preserve">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29. novembra 2022, kde bola problematika prediskutovaná.</w:t>
            </w:r>
          </w:p>
        </w:tc>
      </w:tr>
    </w:tbl>
    <w:p w:rsidR="00154A91" w:rsidRPr="00154A91" w:rsidRDefault="00154A91" w:rsidP="00CE47A6"/>
    <w:p w:rsidR="00154A91" w:rsidRPr="00024402" w:rsidRDefault="00154A91" w:rsidP="00CE47A6"/>
    <w:sectPr w:rsidR="00154A91" w:rsidRPr="00024402" w:rsidSect="008C6299">
      <w:footerReference w:type="default" r:id="rId7"/>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C5" w:rsidRDefault="002601C5" w:rsidP="000A67D5">
      <w:pPr>
        <w:spacing w:after="0" w:line="240" w:lineRule="auto"/>
      </w:pPr>
      <w:r>
        <w:separator/>
      </w:r>
    </w:p>
  </w:endnote>
  <w:endnote w:type="continuationSeparator" w:id="0">
    <w:p w:rsidR="002601C5" w:rsidRDefault="002601C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221061"/>
      <w:docPartObj>
        <w:docPartGallery w:val="Page Numbers (Bottom of Page)"/>
        <w:docPartUnique/>
      </w:docPartObj>
    </w:sdtPr>
    <w:sdtEndPr>
      <w:rPr>
        <w:rFonts w:ascii="Times New Roman" w:hAnsi="Times New Roman" w:cs="Times New Roman"/>
      </w:rPr>
    </w:sdtEndPr>
    <w:sdtContent>
      <w:p w:rsidR="008C6299" w:rsidRPr="008C6299" w:rsidRDefault="008C6299">
        <w:pPr>
          <w:pStyle w:val="Pta"/>
          <w:jc w:val="center"/>
          <w:rPr>
            <w:rFonts w:ascii="Times New Roman" w:hAnsi="Times New Roman" w:cs="Times New Roman"/>
          </w:rPr>
        </w:pPr>
        <w:r w:rsidRPr="008C6299">
          <w:rPr>
            <w:rFonts w:ascii="Times New Roman" w:hAnsi="Times New Roman" w:cs="Times New Roman"/>
          </w:rPr>
          <w:fldChar w:fldCharType="begin"/>
        </w:r>
        <w:r w:rsidRPr="008C6299">
          <w:rPr>
            <w:rFonts w:ascii="Times New Roman" w:hAnsi="Times New Roman" w:cs="Times New Roman"/>
          </w:rPr>
          <w:instrText>PAGE   \* MERGEFORMAT</w:instrText>
        </w:r>
        <w:r w:rsidRPr="008C6299">
          <w:rPr>
            <w:rFonts w:ascii="Times New Roman" w:hAnsi="Times New Roman" w:cs="Times New Roman"/>
          </w:rPr>
          <w:fldChar w:fldCharType="separate"/>
        </w:r>
        <w:r>
          <w:rPr>
            <w:rFonts w:ascii="Times New Roman" w:hAnsi="Times New Roman" w:cs="Times New Roman"/>
            <w:noProof/>
          </w:rPr>
          <w:t>2</w:t>
        </w:r>
        <w:r w:rsidRPr="008C6299">
          <w:rPr>
            <w:rFonts w:ascii="Times New Roman" w:hAnsi="Times New Roman" w:cs="Times New Roman"/>
          </w:rPr>
          <w:fldChar w:fldCharType="end"/>
        </w:r>
      </w:p>
    </w:sdtContent>
  </w:sdt>
  <w:p w:rsidR="008C6299" w:rsidRDefault="008C62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C5" w:rsidRDefault="002601C5" w:rsidP="000A67D5">
      <w:pPr>
        <w:spacing w:after="0" w:line="240" w:lineRule="auto"/>
      </w:pPr>
      <w:r>
        <w:separator/>
      </w:r>
    </w:p>
  </w:footnote>
  <w:footnote w:type="continuationSeparator" w:id="0">
    <w:p w:rsidR="002601C5" w:rsidRDefault="002601C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01C5"/>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6F40C0"/>
    <w:rsid w:val="007156F5"/>
    <w:rsid w:val="007A1010"/>
    <w:rsid w:val="007B7F1A"/>
    <w:rsid w:val="007D7AE6"/>
    <w:rsid w:val="007E4294"/>
    <w:rsid w:val="00841FA6"/>
    <w:rsid w:val="008A1964"/>
    <w:rsid w:val="008C6299"/>
    <w:rsid w:val="008E2844"/>
    <w:rsid w:val="0090100E"/>
    <w:rsid w:val="009239D9"/>
    <w:rsid w:val="00927118"/>
    <w:rsid w:val="00943EB2"/>
    <w:rsid w:val="0099665B"/>
    <w:rsid w:val="009A55A5"/>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74A32"/>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7406">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477846113">
      <w:bodyDiv w:val="1"/>
      <w:marLeft w:val="0"/>
      <w:marRight w:val="0"/>
      <w:marTop w:val="0"/>
      <w:marBottom w:val="0"/>
      <w:divBdr>
        <w:top w:val="none" w:sz="0" w:space="0" w:color="auto"/>
        <w:left w:val="none" w:sz="0" w:space="0" w:color="auto"/>
        <w:bottom w:val="none" w:sz="0" w:space="0" w:color="auto"/>
        <w:right w:val="none" w:sz="0" w:space="0" w:color="auto"/>
      </w:divBdr>
    </w:div>
    <w:div w:id="500202367">
      <w:bodyDiv w:val="1"/>
      <w:marLeft w:val="0"/>
      <w:marRight w:val="0"/>
      <w:marTop w:val="0"/>
      <w:marBottom w:val="0"/>
      <w:divBdr>
        <w:top w:val="none" w:sz="0" w:space="0" w:color="auto"/>
        <w:left w:val="none" w:sz="0" w:space="0" w:color="auto"/>
        <w:bottom w:val="none" w:sz="0" w:space="0" w:color="auto"/>
        <w:right w:val="none" w:sz="0" w:space="0" w:color="auto"/>
      </w:divBdr>
    </w:div>
    <w:div w:id="1468622755">
      <w:bodyDiv w:val="1"/>
      <w:marLeft w:val="0"/>
      <w:marRight w:val="0"/>
      <w:marTop w:val="0"/>
      <w:marBottom w:val="0"/>
      <w:divBdr>
        <w:top w:val="none" w:sz="0" w:space="0" w:color="auto"/>
        <w:left w:val="none" w:sz="0" w:space="0" w:color="auto"/>
        <w:bottom w:val="none" w:sz="0" w:space="0" w:color="auto"/>
        <w:right w:val="none" w:sz="0" w:space="0" w:color="auto"/>
      </w:divBdr>
    </w:div>
    <w:div w:id="1492451385">
      <w:bodyDiv w:val="1"/>
      <w:marLeft w:val="0"/>
      <w:marRight w:val="0"/>
      <w:marTop w:val="0"/>
      <w:marBottom w:val="0"/>
      <w:divBdr>
        <w:top w:val="none" w:sz="0" w:space="0" w:color="auto"/>
        <w:left w:val="none" w:sz="0" w:space="0" w:color="auto"/>
        <w:bottom w:val="none" w:sz="0" w:space="0" w:color="auto"/>
        <w:right w:val="none" w:sz="0" w:space="0" w:color="auto"/>
      </w:divBdr>
    </w:div>
    <w:div w:id="1612081302">
      <w:bodyDiv w:val="1"/>
      <w:marLeft w:val="0"/>
      <w:marRight w:val="0"/>
      <w:marTop w:val="0"/>
      <w:marBottom w:val="0"/>
      <w:divBdr>
        <w:top w:val="none" w:sz="0" w:space="0" w:color="auto"/>
        <w:left w:val="none" w:sz="0" w:space="0" w:color="auto"/>
        <w:bottom w:val="none" w:sz="0" w:space="0" w:color="auto"/>
        <w:right w:val="none" w:sz="0" w:space="0" w:color="auto"/>
      </w:divBdr>
    </w:div>
    <w:div w:id="18818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12.2022 9:46:13"/>
    <f:field ref="objchangedby" par="" text="Administrator, System"/>
    <f:field ref="objmodifiedat" par="" text="6.12.2022 9:46: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5564</Words>
  <Characters>31719</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2022-12-06T09:02:00Z</dcterms:created>
  <dcterms:modified xsi:type="dcterms:W3CDTF">2022-12-06T10:28:00Z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dopĺňa zákon č. 110/2004&amp;nbsp; Z. z. o&amp;nbsp;fungovaní Bezpečnostnej rady Slovenskej republiky v čase mieru v znení neskorších predpisov, informovaná prostredníctvom pr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Bezpečnosť a obrana štátu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Simona Macková</vt:lpwstr>
  </property>
  <property fmtid="{D5CDD505-2E9C-101B-9397-08002B2CF9AE}" pid="11" name="FSC#SKEDITIONSLOVLEX@103.510:zodppredkladatel">
    <vt:lpwstr>Jaroslav Naď</vt:lpwstr>
  </property>
  <property fmtid="{D5CDD505-2E9C-101B-9397-08002B2CF9AE}" pid="12" name="FSC#SKEDITIONSLOVLEX@103.510:dalsipredkladatel">
    <vt:lpwstr/>
  </property>
  <property fmtid="{D5CDD505-2E9C-101B-9397-08002B2CF9AE}" pid="13" name="FSC#SKEDITIONSLOVLEX@103.510:nazovpredpis">
    <vt:lpwstr>, ktorým sa mení a dopĺňa zákon č. 110/2004 Z. z. o fungovaní Bezpečnostnej rady Slovenskej republiky v čase mieru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obrany Slovenskej republiky</vt:lpwstr>
  </property>
  <property fmtid="{D5CDD505-2E9C-101B-9397-08002B2CF9AE}" pid="19"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0" name="FSC#SKEDITIONSLOVLEX@103.510:autorpredpis">
    <vt:lpwstr/>
  </property>
  <property fmtid="{D5CDD505-2E9C-101B-9397-08002B2CF9AE}" pid="21" name="FSC#SKEDITIONSLOVLEX@103.510:podnetpredpis">
    <vt:lpwstr>uznesenie vlády Slovenskej republiky č. 235 z 30. marca 2022_x000d_
</vt:lpwstr>
  </property>
  <property fmtid="{D5CDD505-2E9C-101B-9397-08002B2CF9AE}" pid="22" name="FSC#SKEDITIONSLOVLEX@103.510:plnynazovpredpis">
    <vt:lpwstr> Zákon, ktorým sa mení a dopĺňa zákon č. 110/2004 Z. z. o fungovaní Bezpečnostnej rady Slovenskej republiky v čase mieru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SELPOdL-532-7/2022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LP/2022/616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obrany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užívateľ</vt:lpwstr>
  </property>
  <property fmtid="{D5CDD505-2E9C-101B-9397-08002B2CF9AE}" pid="138" name="FSC#SKEDITIONSLOVLEX@103.510:funkciaPredAkuzativ">
    <vt:lpwstr>užívateľa</vt:lpwstr>
  </property>
  <property fmtid="{D5CDD505-2E9C-101B-9397-08002B2CF9AE}" pid="139" name="FSC#SKEDITIONSLOVLEX@103.510:funkciaPredDativ">
    <vt:lpwstr>užívateľovi</vt:lpwstr>
  </property>
  <property fmtid="{D5CDD505-2E9C-101B-9397-08002B2CF9AE}" pid="140" name="FSC#SKEDITIONSLOVLEX@103.510:funkciaZodpPred">
    <vt:lpwstr>minister obrany</vt:lpwstr>
  </property>
  <property fmtid="{D5CDD505-2E9C-101B-9397-08002B2CF9AE}" pid="141" name="FSC#SKEDITIONSLOVLEX@103.510:funkciaZodpPredAkuzativ">
    <vt:lpwstr>ministra obrany Slovenskej republiky</vt:lpwstr>
  </property>
  <property fmtid="{D5CDD505-2E9C-101B-9397-08002B2CF9AE}" pid="142" name="FSC#SKEDITIONSLOVLEX@103.510:funkciaZodpPredDativ">
    <vt:lpwstr>ministrovi obrany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Jaroslav Naď_x000d_
minister obrany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sa&amp;nbsp;dopĺňa zákon č. 110/2004 Z. z. o&amp;nbsp;fungovaní Bezpečnostnej rady Slovenskej republiky v&amp;nbsp;čase mieru v&amp;nbsp;znení neskorších predpisov, (ďalej len „návrh zákona“) sa predkladá na základe uz</vt:lpwstr>
  </property>
  <property fmtid="{D5CDD505-2E9C-101B-9397-08002B2CF9AE}" pid="149" name="FSC#COOSYSTEM@1.1:Container">
    <vt:lpwstr>COO.2145.1000.3.5395517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6. 12. 2022</vt:lpwstr>
  </property>
</Properties>
</file>