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A29E1" w:rsidRDefault="00FA29E1">
      <w:pPr>
        <w:jc w:val="center"/>
        <w:divId w:val="866480436"/>
        <w:rPr>
          <w:rFonts w:ascii="Times" w:hAnsi="Times" w:cs="Times"/>
          <w:sz w:val="25"/>
          <w:szCs w:val="25"/>
        </w:rPr>
      </w:pPr>
      <w:r>
        <w:rPr>
          <w:rFonts w:ascii="Times" w:hAnsi="Times" w:cs="Times"/>
          <w:sz w:val="25"/>
          <w:szCs w:val="25"/>
        </w:rPr>
        <w:t xml:space="preserve">Nariadenie vlády Slovenskej republiky, ktorým sa mení nariadenie vlády Slovenskej republiky č. 410/2014 Z. z., ktorým sa ustanovuje výška úhrady diaľničnej známky za užívanie vymedzených úsekov diaľnic a rýchlostných ciest v znení nariadenia vlády Slovenskej republiky č. 19/2020 Z. z.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A29E1" w:rsidP="00FA29E1">
            <w:pPr>
              <w:spacing w:after="0" w:line="240" w:lineRule="auto"/>
              <w:rPr>
                <w:rFonts w:ascii="Times New Roman" w:hAnsi="Times New Roman" w:cs="Calibri"/>
                <w:sz w:val="20"/>
                <w:szCs w:val="20"/>
              </w:rPr>
            </w:pPr>
            <w:r>
              <w:rPr>
                <w:rFonts w:ascii="Times" w:hAnsi="Times" w:cs="Times"/>
                <w:sz w:val="25"/>
                <w:szCs w:val="25"/>
              </w:rPr>
              <w:t>16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A29E1" w:rsidP="00FA29E1">
            <w:pPr>
              <w:spacing w:after="0" w:line="240" w:lineRule="auto"/>
              <w:rPr>
                <w:rFonts w:ascii="Times New Roman" w:hAnsi="Times New Roman" w:cs="Calibri"/>
                <w:sz w:val="20"/>
                <w:szCs w:val="20"/>
              </w:rPr>
            </w:pPr>
            <w:r>
              <w:rPr>
                <w:rFonts w:ascii="Times" w:hAnsi="Times" w:cs="Times"/>
                <w:sz w:val="25"/>
                <w:szCs w:val="25"/>
              </w:rPr>
              <w:t>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A29E1" w:rsidP="00FA29E1">
            <w:pPr>
              <w:spacing w:after="0" w:line="240" w:lineRule="auto"/>
              <w:rPr>
                <w:rFonts w:ascii="Times New Roman" w:hAnsi="Times New Roman" w:cs="Calibri"/>
                <w:sz w:val="20"/>
                <w:szCs w:val="20"/>
              </w:rPr>
            </w:pPr>
            <w:r>
              <w:rPr>
                <w:rFonts w:ascii="Times" w:hAnsi="Times" w:cs="Times"/>
                <w:sz w:val="25"/>
                <w:szCs w:val="25"/>
              </w:rPr>
              <w:t>12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A29E1" w:rsidP="00FA29E1">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A29E1" w:rsidP="00FA29E1">
            <w:pPr>
              <w:spacing w:after="0" w:line="240" w:lineRule="auto"/>
              <w:rPr>
                <w:rFonts w:ascii="Times New Roman" w:hAnsi="Times New Roman" w:cs="Calibri"/>
                <w:sz w:val="20"/>
                <w:szCs w:val="20"/>
              </w:rPr>
            </w:pPr>
            <w:r>
              <w:rPr>
                <w:rFonts w:ascii="Times" w:hAnsi="Times" w:cs="Times"/>
                <w:sz w:val="25"/>
                <w:szCs w:val="25"/>
              </w:rPr>
              <w:t>4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A29E1" w:rsidRDefault="00FA29E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A29E1">
        <w:trPr>
          <w:divId w:val="163698828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Vôbec nezaslali</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sz w:val="20"/>
                <w:szCs w:val="20"/>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sz w:val="20"/>
                <w:szCs w:val="20"/>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sz w:val="20"/>
                <w:szCs w:val="20"/>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sz w:val="20"/>
                <w:szCs w:val="20"/>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sz w:val="20"/>
                <w:szCs w:val="20"/>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sz w:val="20"/>
                <w:szCs w:val="20"/>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sz w:val="20"/>
                <w:szCs w:val="20"/>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sz w:val="20"/>
                <w:szCs w:val="20"/>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Slovenská asociácia pre elektromobilitu</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sz w:val="20"/>
                <w:szCs w:val="20"/>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sz w:val="20"/>
                <w:szCs w:val="20"/>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Hlavné mesto Slovenskej republiky Bratislava</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x</w:t>
            </w:r>
          </w:p>
        </w:tc>
      </w:tr>
      <w:tr w:rsidR="00FA29E1">
        <w:trPr>
          <w:divId w:val="1636988288"/>
          <w:jc w:val="center"/>
        </w:trPr>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16 (11o,5z)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A29E1" w:rsidRDefault="00FA29E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A29E1" w:rsidRDefault="00FA29E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Spôsob vyhodnotenia</w:t>
            </w: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V súvislosti so zmenou sadzby za diaľničné známky navrhujeme zaviesť typ diaľničnej známky pre bezemisné (batériové vozidlá BEV) a nízkoemisné (plug-in hybrid PHEV) vozidlá nasledovne (vozidlá so zelenými EČ): • BEV - nulové sadzby 1. ročná a 365-dňová na 0,- eur, 2. mesačná na 0,- eur, 3. 10-dňová na 0,- eur. • PHEV 50% zvýhodnenie oproti štandardnej sadzbe: 1. ročná a 365-dňová na 30,- eur, 2. mesačná na 8,- eur, 3. 10-dňová na 6,- eur. Odôvodnenie: Návrh úpravy vychádza z Akčného plánu elektromobility a cieľov Zelenej dohody. Úprava výšky poplatku by podobne, ako v iných krajinách EÚ (vrátane Českej republiky) motivovala vodičov k prechodu na bez a nízkoemisné vozidlá, čo by prispelo k celkovému znižovaniu emisií z cestnej dopravy. V úvodnej fáze rozvoja elektromobility by mala takáto úprava zanedbateľný negatívny vplyv na príjmy za výber diaľničných poplatkov. Opatrenie je možné zaviesť ako dočasné, na niekoľko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sz w:val="25"/>
                <w:szCs w:val="25"/>
              </w:rPr>
              <w:t>Kategórie vozidiel podliehajúcich úhrade diaľničnej známky upravuje zákon č. 488/2013 Z. z. a nie nariadenie vlády č. 410/2014 Z. z.; rovnako oslobodenie vozidiel od úhrady diaľničnej známky upravuje zákon, nie nariadenie vlády. Z legislatívneho hľadiska tak pripomienka smeruje nad rámec predkladanej právnej úpravy.</w:t>
            </w:r>
            <w:r w:rsidR="00260F75">
              <w:rPr>
                <w:rFonts w:ascii="Times" w:hAnsi="Times" w:cs="Times"/>
                <w:sz w:val="25"/>
                <w:szCs w:val="25"/>
              </w:rPr>
              <w:t xml:space="preserve"> </w:t>
            </w:r>
            <w:r w:rsidR="00260F75">
              <w:rPr>
                <w:rFonts w:ascii="Times" w:hAnsi="Times" w:cs="Times"/>
                <w:sz w:val="25"/>
                <w:szCs w:val="25"/>
              </w:rPr>
              <w:t>Rozpor nebol odstránený.</w:t>
            </w: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Návrhom nariadenia vlády dochádza od 01. januára 2023 k úprave výšky úhrady za jednotlivé typy diaľničnej známky, a to predovšetkým v súvislosti so zvyšujúcimi sa nákladmi Národnej diaľničnej spoločnosti, a. s. na údržbu a opravu narastajúcej diaľničnej siete (jej dĺžka od poslednej úpravy ceny diaľničnej známky v roku 2011 narástla o cca tretinu). V doložke </w:t>
            </w:r>
            <w:r>
              <w:rPr>
                <w:rFonts w:ascii="Times" w:hAnsi="Times" w:cs="Times"/>
                <w:sz w:val="25"/>
                <w:szCs w:val="25"/>
              </w:rPr>
              <w:lastRenderedPageBreak/>
              <w:t>vybraných vplyvov je uvedený pozitívny vplyv na rozpočet verejnej správy v dôsledku predpokladaného zvýšenia výnosov Národnej diaľničnej spoločnosti, a. s. z predaja diaľničných známok, ktorý je v Analýze vplyvov na rozpočet verejnej správy, na zamestnanosť vo verejnej správe a financovanie návrhu kvantifikovaný na rok 2023 v sume 17,1 mil. eur, na rok 2024 v sume 17,3 mil. eur, na rok 2025 v sume 17,6 mil. eur a na rok 2026 v sume 17,8 mil. eur. Podľa § 2 ods. 6 zákona č. 488/2013 Z. z. o diaľničnej známke a o zmene niektorých zákonov v znení neskorších predpisov finančné prostriedky získané z výberu úhrady diaľničnej známky je Národná diaľničná spoločnosť, a. s. povinná použiť na plnenie úloh podľa zákona č. 639/2004 Z. z. o Národnej diaľničnej spoločnosti a o zmene a doplnení zákona č. 135/1961 Zb. o pozemných komunikáciách (cestný zákon) v znení neskorších predpisov, t. j. na zabezpečenie prípravy, realizáciu opráv, údržbu a výstavbu diaľnic. Uvedené žiadame zohľadniť v doložke vybraných vplyvov a v Analýze vplyvov na rozpočet verejnej správy, na zamestnanosť vo verejnej správe a financovanie návrhu ako negatívny vplyv na rozpočet verejnej správy v dôsledku zvýšených výdavkov. Vplyv na hospodárenie subjektu verejnej správy je tak neutrálny.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Odporúčame predkladateľovi presunúť vyhodnotenie pripomienok z časti 14. do časti 13. Odôvodnenie: Materiál bol predmetom PPK a nie záverečného posúdenia, preto je potrebné vyplniť vyhodnotenie do správnej časti doložky vybraných vplyvov. Zároveň odporúčame predkladateľovi v bode č. 13 </w:t>
            </w:r>
            <w:r>
              <w:rPr>
                <w:rFonts w:ascii="Times" w:hAnsi="Times" w:cs="Times"/>
                <w:sz w:val="25"/>
                <w:szCs w:val="25"/>
              </w:rPr>
              <w:lastRenderedPageBreak/>
              <w:t>uviesť číslo „Stanoviska Komisie na posudzovanie vybraných vplyvov z PPK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Žiadame predkladateľa v Doložke vybraných vplyvov o vyznačenie negatívnych vplyvov na podnikateľské prostredie a vypracovanie príslušnej Analýzy vplyvov na podnikateľské prostredie spolu s Kalkulačkou nákladov. Odôvodnenie: Nakoľko je pri objednávaní elektronickej diaľničnej známky potrebné vyplniť, či sa jedná o fyzickú osobu, právnickú osobu, neziskovú organizáciu,... máme za to, že údaje o počte dotknutých subjektov je možné získať zo štatistických údajov e-známky. Radi by sme podotkli, že pri vplyvoch na podnikateľské prostredie sa bude započítavať iba tá časť poplatku, o ktorú sa zvyšuje súčasná výška poplatku. Nakoľko diaľničné známky sú dostupné už v súčasnosti, pozitívne vplyvy v podobe úspory jazdného času a úspory pohonných látok platia rovnako bez ohľadu na zvyšovanie výšky poplatku za diaľničnú známku.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sz w:val="25"/>
                <w:szCs w:val="25"/>
              </w:rPr>
              <w:t xml:space="preserve">Zvýšenie finančných nákladov je vzhľadom na rozsah dotknutých subjektov objektívne ťažko vyčísliteľné. Zvýšenie finančných nákladov závisí od správania podnikateľských subjektov, t. j. koľko vozidiel používaných určitým podnikateľským subjektom bude užívať vymedzené úseky pozemných komunikácií. V tejto súvislosti je potrebné zdôrazniť, že úhradu diaľničnej známky možno vykonať viacerými spôsobmi, pričom motorista nie je povinný uvádzať kontaktné údaje pri úhrade. Kontaktné údaje môže uviesť pri úhrade diaľničnej známky elektronicky priamo cez portál eznamka.sk, avšak ani po zadaní kontaktných údajov spravidla nemožno určiť charakter subjektu, ktorú úhradu vykonal, t. j. či ide o fyzickú osobu, fyzickú osobu-podnikateľa, právnickú osobu či neziskovú organizáciu. Osobitným a častým prípadom je tiež úhrada </w:t>
            </w:r>
            <w:r>
              <w:rPr>
                <w:rFonts w:ascii="Times" w:hAnsi="Times" w:cs="Times"/>
                <w:sz w:val="25"/>
                <w:szCs w:val="25"/>
              </w:rPr>
              <w:lastRenderedPageBreak/>
              <w:t xml:space="preserve">diaľničnej známky prostredníctvom kontaktného predajného miesta umiestneného na čerpacej stanici, kedy kupujúci žiadne kontaktné údaje neposkytuje. Požadovanými údajmi o počte dotknutých podnikateľských subjektov nedisponuje ani samotný správca úhrady a evidencie diaľničných známok – Národná diaľničná spoločnosť, a. s. Preto nemožno určiť okruh dotknutých podnikateľských subjektov. Vzhľadom na uvedené nie je možné kvantifikovať vplyvy na podnikateľské prostredie. Rozpor nebol odstránený. </w:t>
            </w: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Čl. 1, bod 1</w:t>
            </w:r>
            <w:r>
              <w:rPr>
                <w:rFonts w:ascii="Times" w:hAnsi="Times" w:cs="Times"/>
                <w:sz w:val="25"/>
                <w:szCs w:val="25"/>
              </w:rPr>
              <w:br/>
              <w:t xml:space="preserve">Žiadame v návrhu materiálu vypustiť bod 1 v čl. I. Nesúhlasíme s navýšením výšky úhrady diaľničnej známky s platnosťou na kalendárny rok a diaľničnej známky s 365-dňovou platnosťou na 60 eur. Odôvodnenie: Žiadame ponechať súčasnú výšku 50 eur. Uvedený návrh má negatívne vplyvy na celé podnikateľské prostredie, aj na občanov bez zohľadnenia ich sociálneho statusu. Navýšenie známok na kratšie lehoty platnosti navrhujeme ponechať z dôvodu motivácie k zakúpeniu ročnej známky a z dôvodu, že sa dotýka obvykle krátkodobých vodičov. Zdroje hospodárenia NDS žiadame získať z výberu </w:t>
            </w:r>
            <w:r>
              <w:rPr>
                <w:rFonts w:ascii="Times" w:hAnsi="Times" w:cs="Times"/>
                <w:sz w:val="25"/>
                <w:szCs w:val="25"/>
              </w:rPr>
              <w:lastRenderedPageBreak/>
              <w:t>mýta, čo by k zverejneným informáciám nemal byť problém.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sz w:val="25"/>
                <w:szCs w:val="25"/>
              </w:rPr>
              <w:t xml:space="preserve">Koeficienty pomerov cien jednotlivých typov diaľničnej známky je stanovená príslušnou legislatívou na úrovni EÚ. Na rozporovom konaní bola pripomienka preklasifikovaná na obyčajnú. </w:t>
            </w: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Zásadne žiadam, aby v doložke vybraných vplyvov v bode 9. Vybrané vplyvy materiálu predkladateľ korektne identifikoval sociálne vplyvy predloženého materiálu a vypracoval separátnu analýzu sociálnych vplyvov. Odôvodnenie: Mám za to, že pri súčasnom počte fyzických osôb - majiteľov osobných motorových vozidiel navrhované zvýšenie výdavkov domácnosti na úhradu diaľničnej známky o 20 % v porovnaní so súčasným stavom predstavuje negatívne sociálne vplyvy. S vyhodnotením pripomienky vznesenej v predbežnom pripomienkovom konaní, ktorá bola predkladateľom neakceptovaná z dôvodu, že „miera prípadnej úhrady diaľničnej známky závisí od vôle motoristov užívať vymedzené úseky, pričom užívať spoplatnenú diaľničnú sieť je ponechané na uvážení samotných motoristov, ktorí môžu využívať aj rozsiahlu sieť nespoplatnených ciest I., II. a III. triedy“, nemôžem súhlasiť vzhľadom na iné protichodné vyjadrenie predkladateľa uvádzané v sprievodných materiáloch k danému návrhu. Napríklad podľa analýzy vplyvov na rozpočet verejnej správy, na zamestnanosť vo verejnej správe a financovanie návrhu predkladateľ uvádza, že „Predkladané nariadenie vlády SR predpokladá zvýšenie výnosov Národnej diaľničnej spoločnosti, a. s. ako správcu výberu a evidencie úhrad diaľničných známok z predaja diaľničných známok v roku 2023 a nasledujúcich rokoch. Výška výnosu z predaja diaľničných známok na úrovni viac ako 17 mil. eur bez DPH v rokoch 2023 až 2026 je predpokladaná pri nezmenenom správaní </w:t>
            </w:r>
            <w:r>
              <w:rPr>
                <w:rFonts w:ascii="Times" w:hAnsi="Times" w:cs="Times"/>
                <w:sz w:val="25"/>
                <w:szCs w:val="25"/>
              </w:rPr>
              <w:lastRenderedPageBreak/>
              <w:t>motoristov.“. Z vyjadrenia predkladateľa je teda zrejmé, že ani sám predkladateľ nepredpokladá zmeny v správaní fyzických osôb – majiteľov osobných motorových vozidiel, a teda predpokladá ním navrhované 20 %-né zvýšenie výdavkov domácnosti. Na druhej strane je potrebné uviesť, že ak by predložený návrh viedol k situácii, že z dôvodu nárastu výdavkov domácnosti by fyzické osoby – majitelia osobných motorových vozidiel boli nútené nevyužívať existujúcu sieť diaľnic a spoplatnených úsekov ciest tak ako doposiaľ, predstavovalo by to v porovnaní so súčasným stavom reálne obmedzenie ich prístupu k zdrojom, právam, tovarom a službám, čo taktiež predstavuje negatívne sociálne vplyvy, ktoré by bolo potrebné zhodnotiť v bode 4.2 analýzy sociálnych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Vo všeobecnej časti dôvodovej správy odporúčame uviesť aj súlad návrhu nariadenia s ústavnými zákonmi a nálezmi ústavného súdu. Odôvodnenie: zosúladenie s čl. 19 ods. 2 Legislatívnych pravidiel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Odporúčame prepracovať doložku zlučiteľnosti podľa prílohy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V predkladacej správe odporúčame doplniť informáciu, či návrh nariadenia vlády má byť predmetom vnútrokomunitárneho pripomienkového konania. Odôvodnenie: Ide o legislatívno-</w:t>
            </w:r>
            <w:r>
              <w:rPr>
                <w:rFonts w:ascii="Times" w:hAnsi="Times" w:cs="Times"/>
                <w:sz w:val="25"/>
                <w:szCs w:val="25"/>
              </w:rPr>
              <w:lastRenderedPageBreak/>
              <w:t>technickú pripomienku vyplývajúcu z čl. 18 a 35 platných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1. V záhlaví tabuľky zhody žiadame do názvu smernice doplniť do publikačného zdroja aj mimoriadne vydanie v súlade s bodom 62.12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Vo štvrtom bode písm. a) doložky zlučiteľnosti žiadame predkladateľa do názvu jednotlivých smerníc doplniť publikačný zdroj v zmysle bodu 62.7. Prílohy č. 1 Legislatívnych pravidiel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2. V záhlaví tabuľky zhody žiadame na pravej strane uviesť len tie vnútroštátne právne predpisy, ktorými sa preukazuje transpozícia predmetnej smernice (konkrétne v tomto prípade len návrh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Vo štvrtom bode písm. b) doložky zlučiteľnosti žiadame namiesto „bezpredmetné“ uviesť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3. Žiadame upraviť štvrtý bod písm. c) doložky zlučiteľnosti a doplniť doň právne predpisy, ktorými sa transponovala do vnútroštátneho právneho poriadku smernica 1999/62/ES v platnom znení (napríklad zákon č. 534/2003 Z. z. o organizácii štátnej správy na úseku cestnej dopravy a pozemných </w:t>
            </w:r>
            <w:r>
              <w:rPr>
                <w:rFonts w:ascii="Times" w:hAnsi="Times" w:cs="Times"/>
                <w:sz w:val="25"/>
                <w:szCs w:val="25"/>
              </w:rPr>
              <w:lastRenderedPageBreak/>
              <w:t>komunikácií a o zmene a doplnení niektorých zákonov) a vypustiť právne predpisy, ktorými nebola preukázaná transpozícia predmetnej smernice (napr. zákon č. 25/2006 Z. z., nariadenie vlády SR č. 344/2006 Z. z., zákon č. 8/2009 Z. z., zákon č. 106/2018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SEVA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Čl. 1 § 1</w:t>
            </w:r>
            <w:r>
              <w:rPr>
                <w:rFonts w:ascii="Times" w:hAnsi="Times" w:cs="Times"/>
                <w:sz w:val="25"/>
                <w:szCs w:val="25"/>
              </w:rPr>
              <w:br/>
              <w:t>Navrhujeme pridať odsek, ktorý stanoví výšku úhrady jednotlivých typov diaľničnej známky pre vozidlá so zeleným EČV v kategórii bezemisné vozidlo nasledovne: 1. ročná a 365-dňová na 0 EUR, 2. mesačná na 0 EUR, 3. 10-dňová na 0 EUR. Navrhujeme pridať odsek, ktorý stanoví výšku úhrady jednotlivých typov diaľničnej známky pre vozidlá so zeleným EČV v kategórii nízkoemisné vozidlo (do 50 g/km) nasledovne: 1. ročná a 365-dňová na 30 EUR, 2. mesačná na 8 EUR, 3. 10-dňová na 6 EUR. Takáto úprava výšky poplatku by podobne ako v iných krajinách EÚ (vrátane Českej republiky) motivovala vodičov k prechodu na nízkoemisné vozidlá, čo by prispelo k celkovému znižovaniu emisií z cestnej dopravy. V úvodnej fáze rozvoja elektromobility by mala takáto úprava zanedbateľný negatívny vplyv na príjmy za výber diaľničných poplatkov. Toto opatrenie je možné zaviesť ako dočasné na niekoľko rokov (napr.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rsidP="00260F75">
            <w:pPr>
              <w:rPr>
                <w:rFonts w:ascii="Times" w:hAnsi="Times" w:cs="Times"/>
                <w:sz w:val="25"/>
                <w:szCs w:val="25"/>
              </w:rPr>
            </w:pPr>
            <w:r>
              <w:rPr>
                <w:rFonts w:ascii="Times" w:hAnsi="Times" w:cs="Times"/>
                <w:sz w:val="25"/>
                <w:szCs w:val="25"/>
              </w:rPr>
              <w:t>Kategórie vozidiel podliehajúcich úhrade diaľničnej známky upravuje zákon č. 488/2013 Z. z. a nie nariadenie vlády č. 410/2014 Z. z.; rovnako oslobodenie vozidiel od úhrady diaľničnej známky upravuje zákon, nie nariadenie vlády. Z legislatívneho hľadiska tak pripomienka smeruje nad rámec predkladanej právnej úpravy.</w:t>
            </w:r>
            <w:r w:rsidR="00260F75">
              <w:rPr>
                <w:rFonts w:ascii="Times" w:hAnsi="Times" w:cs="Times"/>
                <w:sz w:val="25"/>
                <w:szCs w:val="25"/>
              </w:rPr>
              <w:t xml:space="preserve"> </w:t>
            </w:r>
          </w:p>
        </w:tc>
      </w:tr>
      <w:tr w:rsidR="00FA29E1">
        <w:trPr>
          <w:divId w:val="209685527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V predkladacej správe odporúčame doplniť informáciu, či návrh nariadenia vlády má byť predmetom vnútrokomunitárneho pripomienkového konania. Odôvodnenie: Ide o legislatívno-technickú pripomienku vyplývajúcu z čl. 18 a 35 platných </w:t>
            </w:r>
            <w:r>
              <w:rPr>
                <w:rFonts w:ascii="Times" w:hAnsi="Times" w:cs="Times"/>
                <w:sz w:val="25"/>
                <w:szCs w:val="25"/>
              </w:rPr>
              <w:lastRenderedPageBreak/>
              <w:t>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A29E1" w:rsidRDefault="00FA29E1">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B36" w:rsidRDefault="000D1B36" w:rsidP="000A67D5">
      <w:pPr>
        <w:spacing w:after="0" w:line="240" w:lineRule="auto"/>
      </w:pPr>
      <w:r>
        <w:separator/>
      </w:r>
    </w:p>
  </w:endnote>
  <w:endnote w:type="continuationSeparator" w:id="0">
    <w:p w:rsidR="000D1B36" w:rsidRDefault="000D1B3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B36" w:rsidRDefault="000D1B36" w:rsidP="000A67D5">
      <w:pPr>
        <w:spacing w:after="0" w:line="240" w:lineRule="auto"/>
      </w:pPr>
      <w:r>
        <w:separator/>
      </w:r>
    </w:p>
  </w:footnote>
  <w:footnote w:type="continuationSeparator" w:id="0">
    <w:p w:rsidR="000D1B36" w:rsidRDefault="000D1B3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D1B36"/>
    <w:rsid w:val="000E25CA"/>
    <w:rsid w:val="000F7A42"/>
    <w:rsid w:val="00146547"/>
    <w:rsid w:val="00146B48"/>
    <w:rsid w:val="00150388"/>
    <w:rsid w:val="00154A91"/>
    <w:rsid w:val="002109B0"/>
    <w:rsid w:val="0021228E"/>
    <w:rsid w:val="00230F3C"/>
    <w:rsid w:val="00260F75"/>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A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F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8428">
      <w:bodyDiv w:val="1"/>
      <w:marLeft w:val="0"/>
      <w:marRight w:val="0"/>
      <w:marTop w:val="0"/>
      <w:marBottom w:val="0"/>
      <w:divBdr>
        <w:top w:val="none" w:sz="0" w:space="0" w:color="auto"/>
        <w:left w:val="none" w:sz="0" w:space="0" w:color="auto"/>
        <w:bottom w:val="none" w:sz="0" w:space="0" w:color="auto"/>
        <w:right w:val="none" w:sz="0" w:space="0" w:color="auto"/>
      </w:divBdr>
    </w:div>
    <w:div w:id="655188092">
      <w:bodyDiv w:val="1"/>
      <w:marLeft w:val="0"/>
      <w:marRight w:val="0"/>
      <w:marTop w:val="0"/>
      <w:marBottom w:val="0"/>
      <w:divBdr>
        <w:top w:val="none" w:sz="0" w:space="0" w:color="auto"/>
        <w:left w:val="none" w:sz="0" w:space="0" w:color="auto"/>
        <w:bottom w:val="none" w:sz="0" w:space="0" w:color="auto"/>
        <w:right w:val="none" w:sz="0" w:space="0" w:color="auto"/>
      </w:divBdr>
    </w:div>
    <w:div w:id="866480436">
      <w:bodyDiv w:val="1"/>
      <w:marLeft w:val="0"/>
      <w:marRight w:val="0"/>
      <w:marTop w:val="0"/>
      <w:marBottom w:val="0"/>
      <w:divBdr>
        <w:top w:val="none" w:sz="0" w:space="0" w:color="auto"/>
        <w:left w:val="none" w:sz="0" w:space="0" w:color="auto"/>
        <w:bottom w:val="none" w:sz="0" w:space="0" w:color="auto"/>
        <w:right w:val="none" w:sz="0" w:space="0" w:color="auto"/>
      </w:divBdr>
    </w:div>
    <w:div w:id="1636988288">
      <w:bodyDiv w:val="1"/>
      <w:marLeft w:val="0"/>
      <w:marRight w:val="0"/>
      <w:marTop w:val="0"/>
      <w:marBottom w:val="0"/>
      <w:divBdr>
        <w:top w:val="none" w:sz="0" w:space="0" w:color="auto"/>
        <w:left w:val="none" w:sz="0" w:space="0" w:color="auto"/>
        <w:bottom w:val="none" w:sz="0" w:space="0" w:color="auto"/>
        <w:right w:val="none" w:sz="0" w:space="0" w:color="auto"/>
      </w:divBdr>
    </w:div>
    <w:div w:id="1690449426">
      <w:bodyDiv w:val="1"/>
      <w:marLeft w:val="0"/>
      <w:marRight w:val="0"/>
      <w:marTop w:val="0"/>
      <w:marBottom w:val="0"/>
      <w:divBdr>
        <w:top w:val="none" w:sz="0" w:space="0" w:color="auto"/>
        <w:left w:val="none" w:sz="0" w:space="0" w:color="auto"/>
        <w:bottom w:val="none" w:sz="0" w:space="0" w:color="auto"/>
        <w:right w:val="none" w:sz="0" w:space="0" w:color="auto"/>
      </w:divBdr>
    </w:div>
    <w:div w:id="1738897332">
      <w:bodyDiv w:val="1"/>
      <w:marLeft w:val="0"/>
      <w:marRight w:val="0"/>
      <w:marTop w:val="0"/>
      <w:marBottom w:val="0"/>
      <w:divBdr>
        <w:top w:val="none" w:sz="0" w:space="0" w:color="auto"/>
        <w:left w:val="none" w:sz="0" w:space="0" w:color="auto"/>
        <w:bottom w:val="none" w:sz="0" w:space="0" w:color="auto"/>
        <w:right w:val="none" w:sz="0" w:space="0" w:color="auto"/>
      </w:divBdr>
    </w:div>
    <w:div w:id="2082168145">
      <w:bodyDiv w:val="1"/>
      <w:marLeft w:val="0"/>
      <w:marRight w:val="0"/>
      <w:marTop w:val="0"/>
      <w:marBottom w:val="0"/>
      <w:divBdr>
        <w:top w:val="none" w:sz="0" w:space="0" w:color="auto"/>
        <w:left w:val="none" w:sz="0" w:space="0" w:color="auto"/>
        <w:bottom w:val="none" w:sz="0" w:space="0" w:color="auto"/>
        <w:right w:val="none" w:sz="0" w:space="0" w:color="auto"/>
      </w:divBdr>
    </w:div>
    <w:div w:id="20968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3.11.2022 10:57:14"/>
    <f:field ref="objchangedby" par="" text="Administrator, System"/>
    <f:field ref="objmodifiedat" par="" text="23.11.2022 10:57:1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2594</Words>
  <Characters>14788</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2022-11-23T09:57:00Z</dcterms:created>
  <dcterms:modified xsi:type="dcterms:W3CDTF">2022-11-28T08:09:00Z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Pozemné komunikácie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Peter Považan</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410/2014 Z. z., ktorým sa ustanovuje výška úhrady diaľničnej známky za užívanie vymedzených úsekov diaľnic a rýchlostných ciest v znení nariadenia vlády Slovenskej republiky č. 19/2020 Z. z.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ktorým sa mení nariadenie vlády Slovenskej republiky č. 410/2014 Z. z., ktorým sa ustanovuje výška úhrady diaľničnej známky za užívanie vymedzených úsekov diaľnic a rýchlostných ciest v znení nariadenia vlády Slove</vt:lpwstr>
  </property>
  <property fmtid="{D5CDD505-2E9C-101B-9397-08002B2CF9AE}" pid="23" name="FSC#SKEDITIONSLOVLEX@103.510:plnynazovpredpis1">
    <vt:lpwstr>nskej republiky č. 19/2020 Z. z.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34911/2022/SCDPK/104338-M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LP/2022/653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COO.2145.1000.3.5361130</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23. 11. 2022</vt:lpwstr>
  </property>
</Properties>
</file>