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1A8F" w:rsidRPr="00273921" w14:paraId="0AB5461A" w14:textId="77777777" w:rsidTr="00C438EE">
        <w:trPr>
          <w:trHeight w:val="566"/>
        </w:trPr>
        <w:tc>
          <w:tcPr>
            <w:tcW w:w="9212" w:type="dxa"/>
            <w:shd w:val="clear" w:color="auto" w:fill="D9D9D9"/>
            <w:vAlign w:val="center"/>
            <w:hideMark/>
          </w:tcPr>
          <w:p w14:paraId="51B793FE" w14:textId="051867A9" w:rsidR="00871A8F" w:rsidRPr="00273921" w:rsidRDefault="00871A8F" w:rsidP="00871A8F">
            <w:pPr>
              <w:jc w:val="center"/>
              <w:rPr>
                <w:sz w:val="24"/>
                <w:szCs w:val="22"/>
              </w:rPr>
            </w:pPr>
            <w:r w:rsidRPr="00273921">
              <w:rPr>
                <w:b/>
                <w:sz w:val="24"/>
                <w:szCs w:val="22"/>
              </w:rPr>
              <w:t>Analý</w:t>
            </w:r>
            <w:r w:rsidR="002B66C1" w:rsidRPr="00273921">
              <w:rPr>
                <w:b/>
                <w:sz w:val="24"/>
                <w:szCs w:val="22"/>
              </w:rPr>
              <w:t>za vplyvov na životné prostredi</w:t>
            </w:r>
            <w:r w:rsidR="00CB19E6" w:rsidRPr="00273921">
              <w:rPr>
                <w:b/>
                <w:sz w:val="24"/>
                <w:szCs w:val="22"/>
              </w:rPr>
              <w:t>e</w:t>
            </w:r>
          </w:p>
        </w:tc>
      </w:tr>
      <w:tr w:rsidR="00871A8F" w:rsidRPr="00273921" w14:paraId="5E47D7B7" w14:textId="77777777" w:rsidTr="00C438EE">
        <w:trPr>
          <w:trHeight w:val="688"/>
        </w:trPr>
        <w:tc>
          <w:tcPr>
            <w:tcW w:w="9212" w:type="dxa"/>
            <w:shd w:val="clear" w:color="auto" w:fill="D9D9D9"/>
            <w:vAlign w:val="center"/>
            <w:hideMark/>
          </w:tcPr>
          <w:p w14:paraId="674F0A37" w14:textId="7EE5D1B2" w:rsidR="00871A8F" w:rsidRPr="00273921" w:rsidRDefault="00871A8F" w:rsidP="00871A8F">
            <w:pPr>
              <w:rPr>
                <w:i/>
                <w:sz w:val="24"/>
                <w:szCs w:val="22"/>
              </w:rPr>
            </w:pPr>
            <w:r w:rsidRPr="00273921">
              <w:rPr>
                <w:b/>
                <w:sz w:val="24"/>
                <w:szCs w:val="22"/>
              </w:rPr>
              <w:t xml:space="preserve">5.1 Ktoré zložky životného prostredia (najmä ovzdušie, voda, horniny, pôda, organizmy) budú predkladaným materiálom </w:t>
            </w:r>
            <w:r w:rsidR="00DE5B61">
              <w:rPr>
                <w:b/>
                <w:sz w:val="24"/>
                <w:szCs w:val="22"/>
              </w:rPr>
              <w:t>ovplyvnené a aký bude ich vplyv</w:t>
            </w:r>
            <w:r w:rsidRPr="00273921">
              <w:rPr>
                <w:b/>
                <w:sz w:val="24"/>
                <w:szCs w:val="22"/>
              </w:rPr>
              <w:t>?</w:t>
            </w:r>
          </w:p>
        </w:tc>
      </w:tr>
      <w:tr w:rsidR="00871A8F" w:rsidRPr="00273921" w14:paraId="5983CB61" w14:textId="77777777" w:rsidTr="00C438EE">
        <w:trPr>
          <w:trHeight w:val="708"/>
        </w:trPr>
        <w:tc>
          <w:tcPr>
            <w:tcW w:w="9212" w:type="dxa"/>
          </w:tcPr>
          <w:p w14:paraId="052B6B5D" w14:textId="007DBB78" w:rsidR="00871A8F" w:rsidRPr="00273921" w:rsidRDefault="00871A8F" w:rsidP="00871A8F">
            <w:pPr>
              <w:jc w:val="both"/>
              <w:rPr>
                <w:sz w:val="24"/>
                <w:szCs w:val="22"/>
              </w:rPr>
            </w:pPr>
            <w:r w:rsidRPr="00273921">
              <w:rPr>
                <w:sz w:val="24"/>
                <w:szCs w:val="22"/>
              </w:rPr>
              <w:t>Základným dokumentom pre poskytovanie podpory zo Spoločnej poľnohospodárskej politiky (ďalej len „SPP“) Európskej únie v Slovenskej republike, vrátane priamych platieb, je Strategický plán SPP 2023 – 2027, ktorý je koncipovaný na podklade deviatich špecifických cieľov SPP, z ktorých tri sú priamo zamerané na oblasť klímy a životného prostredia. Pri vypracovaní Strategického plánu SPP 2023 – 2027 boli zároveň brané do úvahy ciele Európskej zelenej dohody</w:t>
            </w:r>
            <w:r w:rsidR="00DE5B61">
              <w:rPr>
                <w:sz w:val="24"/>
                <w:szCs w:val="22"/>
              </w:rPr>
              <w:t xml:space="preserve"> </w:t>
            </w:r>
            <w:r w:rsidR="00DE5B61" w:rsidRPr="00DE5B61">
              <w:rPr>
                <w:sz w:val="24"/>
                <w:szCs w:val="22"/>
              </w:rPr>
              <w:t>[</w:t>
            </w:r>
            <w:r w:rsidR="00624ED9" w:rsidRPr="00624ED9">
              <w:rPr>
                <w:sz w:val="24"/>
                <w:szCs w:val="22"/>
              </w:rPr>
              <w:t xml:space="preserve">oznámenie Komisie Európskemu parlamentu, Európskej rade, Rade, Európskemu hospodárskemu a sociálnemu výboru a Výboru regiónov; Európsky ekologický dohovor (COM/2019/640, </w:t>
            </w:r>
            <w:proofErr w:type="spellStart"/>
            <w:r w:rsidR="00624ED9" w:rsidRPr="00624ED9">
              <w:rPr>
                <w:sz w:val="24"/>
                <w:szCs w:val="22"/>
              </w:rPr>
              <w:t>final</w:t>
            </w:r>
            <w:proofErr w:type="spellEnd"/>
            <w:r w:rsidR="00624ED9" w:rsidRPr="00624ED9">
              <w:rPr>
                <w:sz w:val="24"/>
                <w:szCs w:val="22"/>
              </w:rPr>
              <w:t xml:space="preserve"> 11.</w:t>
            </w:r>
            <w:r w:rsidR="00624ED9">
              <w:rPr>
                <w:sz w:val="24"/>
                <w:szCs w:val="22"/>
              </w:rPr>
              <w:t xml:space="preserve"> </w:t>
            </w:r>
            <w:r w:rsidR="00624ED9" w:rsidRPr="00624ED9">
              <w:rPr>
                <w:sz w:val="24"/>
                <w:szCs w:val="22"/>
              </w:rPr>
              <w:t>12.</w:t>
            </w:r>
            <w:r w:rsidR="00624ED9">
              <w:rPr>
                <w:sz w:val="24"/>
                <w:szCs w:val="22"/>
              </w:rPr>
              <w:t xml:space="preserve"> </w:t>
            </w:r>
            <w:r w:rsidR="00624ED9" w:rsidRPr="00624ED9">
              <w:rPr>
                <w:sz w:val="24"/>
                <w:szCs w:val="22"/>
              </w:rPr>
              <w:t>2019)</w:t>
            </w:r>
            <w:r w:rsidR="00DE5B61" w:rsidRPr="00DE5B61">
              <w:rPr>
                <w:sz w:val="24"/>
                <w:szCs w:val="22"/>
              </w:rPr>
              <w:t>]</w:t>
            </w:r>
            <w:r w:rsidR="00624ED9">
              <w:rPr>
                <w:sz w:val="24"/>
                <w:szCs w:val="22"/>
              </w:rPr>
              <w:t xml:space="preserve"> </w:t>
            </w:r>
            <w:r w:rsidRPr="00273921">
              <w:rPr>
                <w:sz w:val="24"/>
                <w:szCs w:val="22"/>
              </w:rPr>
              <w:t xml:space="preserve">a jej stratégií, najmä stratégie „Z farmy na stôl“ a stratégie pre biodiverzitu. </w:t>
            </w:r>
          </w:p>
          <w:p w14:paraId="6DC28721" w14:textId="77777777" w:rsidR="00871A8F" w:rsidRPr="00273921" w:rsidRDefault="00871A8F" w:rsidP="00871A8F">
            <w:pPr>
              <w:jc w:val="both"/>
              <w:rPr>
                <w:sz w:val="24"/>
                <w:szCs w:val="22"/>
              </w:rPr>
            </w:pPr>
          </w:p>
          <w:p w14:paraId="5AC6ED9B" w14:textId="77777777" w:rsidR="00871A8F" w:rsidRPr="00273921" w:rsidRDefault="00871A8F" w:rsidP="00871A8F">
            <w:pPr>
              <w:jc w:val="both"/>
              <w:rPr>
                <w:sz w:val="24"/>
                <w:szCs w:val="22"/>
              </w:rPr>
            </w:pPr>
            <w:r w:rsidRPr="00273921">
              <w:rPr>
                <w:sz w:val="24"/>
                <w:szCs w:val="22"/>
              </w:rPr>
              <w:t>Povinnou súčasťou Strategického plánu SPP 2023 – 2027 je tzv. zelená architektúra, ktorá je založená na troch základných pilieroch:</w:t>
            </w:r>
          </w:p>
          <w:p w14:paraId="1C962D73" w14:textId="77777777" w:rsidR="00871A8F" w:rsidRPr="00624ED9" w:rsidRDefault="00871A8F" w:rsidP="00871A8F">
            <w:pPr>
              <w:pStyle w:val="ql-align-justify"/>
              <w:jc w:val="both"/>
              <w:rPr>
                <w:szCs w:val="22"/>
                <w:lang w:val="sk-SK"/>
              </w:rPr>
            </w:pPr>
            <w:r w:rsidRPr="00624ED9">
              <w:rPr>
                <w:noProof/>
                <w:szCs w:val="22"/>
                <w:lang w:val="sk-SK"/>
              </w:rPr>
              <w:t>- kondicionalita,</w:t>
            </w:r>
          </w:p>
          <w:p w14:paraId="485A5BF6" w14:textId="77777777" w:rsidR="00871A8F" w:rsidRPr="00624ED9" w:rsidRDefault="00871A8F" w:rsidP="00871A8F">
            <w:pPr>
              <w:pStyle w:val="ql-align-justify"/>
              <w:jc w:val="both"/>
              <w:rPr>
                <w:szCs w:val="22"/>
                <w:lang w:val="sk-SK"/>
              </w:rPr>
            </w:pPr>
            <w:r w:rsidRPr="00624ED9">
              <w:rPr>
                <w:noProof/>
                <w:szCs w:val="22"/>
                <w:lang w:val="sk-SK"/>
              </w:rPr>
              <w:t>- režimy v záujme klímy, životného prostredia a dobrých životných podmienok zvierat,</w:t>
            </w:r>
          </w:p>
          <w:p w14:paraId="4D86B546" w14:textId="77777777" w:rsidR="00871A8F" w:rsidRPr="00624ED9" w:rsidRDefault="00871A8F" w:rsidP="00871A8F">
            <w:pPr>
              <w:pStyle w:val="ql-align-justify"/>
              <w:jc w:val="both"/>
              <w:rPr>
                <w:szCs w:val="22"/>
                <w:lang w:val="sk-SK"/>
              </w:rPr>
            </w:pPr>
            <w:r w:rsidRPr="00624ED9">
              <w:rPr>
                <w:noProof/>
                <w:szCs w:val="22"/>
                <w:lang w:val="sk-SK"/>
              </w:rPr>
              <w:t>- environmentálne intervencie II. piliera.</w:t>
            </w:r>
          </w:p>
          <w:p w14:paraId="43E50E27" w14:textId="77777777" w:rsidR="00871A8F" w:rsidRPr="00273921" w:rsidRDefault="00871A8F" w:rsidP="00871A8F">
            <w:pPr>
              <w:jc w:val="both"/>
              <w:rPr>
                <w:sz w:val="24"/>
                <w:szCs w:val="22"/>
              </w:rPr>
            </w:pPr>
            <w:r w:rsidRPr="00273921">
              <w:rPr>
                <w:sz w:val="24"/>
                <w:szCs w:val="22"/>
              </w:rPr>
              <w:t>Kondicionalita predstavuje súbor požiadaviek v oblasti klímy a životného prostredia, verejného zdravia a zdravia rastlín, a dobrých životných podmienok zvierat, ktoré povinne plnia všetci prijímatelia priamych platieb a vybraných platieb z II. piliera SPP. Oproti tzv. krížovému plneniu, ktoré predstavovalo základný súbor požiadaviek v rokoch 2014 – 2022, dochádza k zvýšeniu nárokov. Kondicionalita a environmentálne intervencie II. piliera SPP sú upravené samostatnými nariadeniami vlády Slovenskej republiky.</w:t>
            </w:r>
          </w:p>
          <w:p w14:paraId="455CD232" w14:textId="77777777" w:rsidR="00871A8F" w:rsidRPr="00273921" w:rsidRDefault="00871A8F" w:rsidP="00871A8F">
            <w:pPr>
              <w:jc w:val="both"/>
              <w:rPr>
                <w:sz w:val="24"/>
                <w:szCs w:val="22"/>
              </w:rPr>
            </w:pPr>
          </w:p>
          <w:p w14:paraId="14F8B4D0" w14:textId="6EC1AD28" w:rsidR="00871A8F" w:rsidRPr="00273921" w:rsidRDefault="00871A8F" w:rsidP="00871A8F">
            <w:pPr>
              <w:jc w:val="both"/>
              <w:rPr>
                <w:sz w:val="24"/>
                <w:szCs w:val="22"/>
              </w:rPr>
            </w:pPr>
            <w:r w:rsidRPr="00273921">
              <w:rPr>
                <w:sz w:val="24"/>
                <w:szCs w:val="22"/>
              </w:rPr>
              <w:t>Základná úroveň ochrany klímy a životného prostredia zo strany prijímateľov priamych platieb je vzhľadom na vyššie uvedené zabezpečená dodržiavaním požiadaviek kondicionality.</w:t>
            </w:r>
            <w:r w:rsidR="0058493E" w:rsidRPr="00273921">
              <w:rPr>
                <w:sz w:val="24"/>
                <w:szCs w:val="22"/>
              </w:rPr>
              <w:t xml:space="preserve"> Vzhľadom na potenciál nepoľnohospodárskych činností prispievať k ochrane klímy a životného prostredia, sa niektoré poľnohospodárske plochy podniku, ktor</w:t>
            </w:r>
            <w:r w:rsidR="0018757C">
              <w:rPr>
                <w:sz w:val="24"/>
                <w:szCs w:val="22"/>
              </w:rPr>
              <w:t>é</w:t>
            </w:r>
            <w:r w:rsidR="0058493E" w:rsidRPr="00273921">
              <w:rPr>
                <w:sz w:val="24"/>
                <w:szCs w:val="22"/>
              </w:rPr>
              <w:t xml:space="preserve"> sa využívajú aj na nepoľnohospodárske činnosti, budú môcť považovať za plochu, na ktorú možno poskytnúť podporu, pod podmienkou, že neprevládajú a významne nebránia výkonu poľnohospodárskej činnosti z dôvodu plochy, ktorú zaberajú na poľnohospodárskej parcele. </w:t>
            </w:r>
            <w:r w:rsidRPr="00273921">
              <w:rPr>
                <w:sz w:val="24"/>
                <w:szCs w:val="22"/>
              </w:rPr>
              <w:t xml:space="preserve">Okrem toho sa s cieľom zintenzívniť dosahovanie environmentálnych výsledkov v I. pilieri SPP zavádzajú režimy v záujme klímy, životného prostredia a dobrých životných podmienok zvierat (tzv. </w:t>
            </w:r>
            <w:proofErr w:type="spellStart"/>
            <w:r w:rsidRPr="00273921">
              <w:rPr>
                <w:sz w:val="24"/>
                <w:szCs w:val="22"/>
              </w:rPr>
              <w:t>eko</w:t>
            </w:r>
            <w:proofErr w:type="spellEnd"/>
            <w:r w:rsidRPr="00273921">
              <w:rPr>
                <w:sz w:val="24"/>
                <w:szCs w:val="22"/>
              </w:rPr>
              <w:t xml:space="preserve">-schémy), presahujúce rámec povinných požiadaviek kondicionality. </w:t>
            </w:r>
          </w:p>
          <w:p w14:paraId="243D5194" w14:textId="77777777" w:rsidR="00871A8F" w:rsidRPr="00273921" w:rsidRDefault="00871A8F" w:rsidP="00871A8F">
            <w:pPr>
              <w:jc w:val="both"/>
              <w:rPr>
                <w:sz w:val="24"/>
                <w:szCs w:val="22"/>
              </w:rPr>
            </w:pPr>
          </w:p>
          <w:p w14:paraId="5F6F4F37" w14:textId="65CB2364" w:rsidR="00871A8F" w:rsidRPr="00273921" w:rsidRDefault="00871A8F" w:rsidP="00871A8F">
            <w:pPr>
              <w:jc w:val="both"/>
              <w:rPr>
                <w:i/>
                <w:sz w:val="24"/>
                <w:szCs w:val="22"/>
              </w:rPr>
            </w:pPr>
            <w:r w:rsidRPr="00273921">
              <w:rPr>
                <w:sz w:val="24"/>
                <w:szCs w:val="22"/>
              </w:rPr>
              <w:t xml:space="preserve">Vzhľadom na potrebu pokryť podstatnú časť poľnohospodárskej plochy záväzkami v oblasti klímy a životného prostredia sa zavádza tzv. </w:t>
            </w:r>
            <w:proofErr w:type="spellStart"/>
            <w:r w:rsidRPr="00273921">
              <w:rPr>
                <w:sz w:val="24"/>
                <w:szCs w:val="22"/>
              </w:rPr>
              <w:t>celofarmová</w:t>
            </w:r>
            <w:proofErr w:type="spellEnd"/>
            <w:r w:rsidRPr="00273921">
              <w:rPr>
                <w:sz w:val="24"/>
                <w:szCs w:val="22"/>
              </w:rPr>
              <w:t xml:space="preserve"> </w:t>
            </w:r>
            <w:proofErr w:type="spellStart"/>
            <w:r w:rsidRPr="00273921">
              <w:rPr>
                <w:sz w:val="24"/>
                <w:szCs w:val="22"/>
              </w:rPr>
              <w:t>ek</w:t>
            </w:r>
            <w:bookmarkStart w:id="0" w:name="_GoBack"/>
            <w:bookmarkEnd w:id="0"/>
            <w:r w:rsidRPr="00273921">
              <w:rPr>
                <w:sz w:val="24"/>
                <w:szCs w:val="22"/>
              </w:rPr>
              <w:t>o</w:t>
            </w:r>
            <w:proofErr w:type="spellEnd"/>
            <w:r w:rsidRPr="00273921">
              <w:rPr>
                <w:sz w:val="24"/>
                <w:szCs w:val="22"/>
              </w:rPr>
              <w:t>-schéma. Podpora smeruje k</w:t>
            </w:r>
            <w:r w:rsidR="00DE5B61">
              <w:rPr>
                <w:sz w:val="24"/>
                <w:szCs w:val="22"/>
              </w:rPr>
              <w:t> </w:t>
            </w:r>
            <w:r w:rsidRPr="00273921">
              <w:rPr>
                <w:sz w:val="24"/>
                <w:szCs w:val="22"/>
              </w:rPr>
              <w:t>vykonávaniu</w:t>
            </w:r>
            <w:r w:rsidR="00DE5B61">
              <w:rPr>
                <w:sz w:val="24"/>
                <w:szCs w:val="22"/>
              </w:rPr>
              <w:t xml:space="preserve"> </w:t>
            </w:r>
            <w:r w:rsidRPr="00273921">
              <w:rPr>
                <w:sz w:val="24"/>
                <w:szCs w:val="22"/>
              </w:rPr>
              <w:t xml:space="preserve"> činností, ktoré prispejú k plneniu environmentálnych cieľov v závislosti od veľkosti podniku a typu poľnohospodárskej plochy, ktorú poľnohospodári obhospodarujú. Postupy zahrnuté do </w:t>
            </w:r>
            <w:proofErr w:type="spellStart"/>
            <w:r w:rsidRPr="00273921">
              <w:rPr>
                <w:sz w:val="24"/>
                <w:szCs w:val="22"/>
              </w:rPr>
              <w:t>celofarmovej</w:t>
            </w:r>
            <w:proofErr w:type="spellEnd"/>
            <w:r w:rsidRPr="00273921">
              <w:rPr>
                <w:sz w:val="24"/>
                <w:szCs w:val="22"/>
              </w:rPr>
              <w:t xml:space="preserve"> </w:t>
            </w:r>
            <w:proofErr w:type="spellStart"/>
            <w:r w:rsidRPr="00273921">
              <w:rPr>
                <w:sz w:val="24"/>
                <w:szCs w:val="22"/>
              </w:rPr>
              <w:t>eko</w:t>
            </w:r>
            <w:proofErr w:type="spellEnd"/>
            <w:r w:rsidRPr="00273921">
              <w:rPr>
                <w:sz w:val="24"/>
                <w:szCs w:val="22"/>
              </w:rPr>
              <w:t>-schémy boli zvolené s ohľadom na ich prínos k</w:t>
            </w:r>
            <w:r w:rsidR="00DE5B61">
              <w:rPr>
                <w:sz w:val="24"/>
                <w:szCs w:val="22"/>
              </w:rPr>
              <w:t> </w:t>
            </w:r>
            <w:r w:rsidRPr="00273921">
              <w:rPr>
                <w:sz w:val="24"/>
                <w:szCs w:val="22"/>
              </w:rPr>
              <w:t>jednotlivým</w:t>
            </w:r>
            <w:r w:rsidR="00DE5B61">
              <w:rPr>
                <w:sz w:val="24"/>
                <w:szCs w:val="22"/>
              </w:rPr>
              <w:t xml:space="preserve"> </w:t>
            </w:r>
            <w:r w:rsidRPr="00273921">
              <w:rPr>
                <w:sz w:val="24"/>
                <w:szCs w:val="22"/>
              </w:rPr>
              <w:t xml:space="preserve">environmentálnym a klimatickým cieľom, ako aj na ich jednoduchosť, realizovateľnosť a súvisiace odhadované zapojenie poľnohospodárov. Zároveň sa zavádza </w:t>
            </w:r>
            <w:proofErr w:type="spellStart"/>
            <w:r w:rsidRPr="00273921">
              <w:rPr>
                <w:sz w:val="24"/>
                <w:szCs w:val="22"/>
              </w:rPr>
              <w:t>eko</w:t>
            </w:r>
            <w:proofErr w:type="spellEnd"/>
            <w:r w:rsidRPr="00273921">
              <w:rPr>
                <w:sz w:val="24"/>
                <w:szCs w:val="22"/>
              </w:rPr>
              <w:t>-schéma, v rámci ktorej sa podporí pastevný chov hospodárskych</w:t>
            </w:r>
            <w:r w:rsidRPr="00273921">
              <w:rPr>
                <w:i/>
                <w:sz w:val="24"/>
                <w:szCs w:val="22"/>
              </w:rPr>
              <w:t xml:space="preserve"> </w:t>
            </w:r>
            <w:r w:rsidRPr="00273921">
              <w:rPr>
                <w:sz w:val="24"/>
                <w:szCs w:val="22"/>
              </w:rPr>
              <w:t>zvierat.</w:t>
            </w:r>
            <w:r w:rsidRPr="00273921">
              <w:rPr>
                <w:i/>
                <w:sz w:val="24"/>
                <w:szCs w:val="22"/>
              </w:rPr>
              <w:t xml:space="preserve">  </w:t>
            </w:r>
          </w:p>
          <w:p w14:paraId="4C3ED083" w14:textId="77777777" w:rsidR="00871A8F" w:rsidRPr="00273921" w:rsidRDefault="00871A8F" w:rsidP="00871A8F">
            <w:pPr>
              <w:jc w:val="both"/>
              <w:rPr>
                <w:i/>
                <w:sz w:val="24"/>
                <w:szCs w:val="22"/>
              </w:rPr>
            </w:pPr>
          </w:p>
          <w:p w14:paraId="20D22222" w14:textId="55720C58" w:rsidR="00871A8F" w:rsidRPr="00273921" w:rsidRDefault="00871A8F" w:rsidP="00871A8F">
            <w:pPr>
              <w:jc w:val="both"/>
              <w:rPr>
                <w:sz w:val="24"/>
                <w:szCs w:val="22"/>
              </w:rPr>
            </w:pPr>
            <w:r w:rsidRPr="00273921">
              <w:rPr>
                <w:sz w:val="24"/>
                <w:szCs w:val="22"/>
              </w:rPr>
              <w:t>Základnými zložkami životného prostredia, ktoré budú v rámci priamych platieb pozitívne ovplyvnené, sú ovzdušie, pôda a biodiverzita.</w:t>
            </w:r>
          </w:p>
          <w:p w14:paraId="38744573" w14:textId="77777777" w:rsidR="00871A8F" w:rsidRPr="00273921" w:rsidRDefault="00871A8F" w:rsidP="00871A8F">
            <w:pPr>
              <w:jc w:val="both"/>
              <w:rPr>
                <w:sz w:val="24"/>
                <w:szCs w:val="22"/>
              </w:rPr>
            </w:pPr>
          </w:p>
          <w:p w14:paraId="5F99111C" w14:textId="320B3A10" w:rsidR="00871A8F" w:rsidRPr="00273921" w:rsidRDefault="00871A8F" w:rsidP="00871A8F">
            <w:pPr>
              <w:jc w:val="both"/>
              <w:rPr>
                <w:sz w:val="24"/>
                <w:szCs w:val="22"/>
              </w:rPr>
            </w:pPr>
            <w:r w:rsidRPr="00273921">
              <w:rPr>
                <w:sz w:val="24"/>
                <w:szCs w:val="22"/>
              </w:rPr>
              <w:lastRenderedPageBreak/>
              <w:t>S klimatickou zmenou je úzko spätá problematika sekvestrácie uhlíka a ochrany pôdy. Keďže organická hmota ovplyvňuje pôdne vlastnosti ako je stabilita pôdnej štruktúry, infiltrácia vody do pôd, vysušovanie pôdy, znižovanie vodnej erózie, mikrobiálna činnosť pôdy a</w:t>
            </w:r>
            <w:r w:rsidR="00DE5B61">
              <w:rPr>
                <w:sz w:val="24"/>
                <w:szCs w:val="22"/>
              </w:rPr>
              <w:t> </w:t>
            </w:r>
            <w:r w:rsidRPr="00273921">
              <w:rPr>
                <w:sz w:val="24"/>
                <w:szCs w:val="22"/>
              </w:rPr>
              <w:t>zadržiavanie</w:t>
            </w:r>
            <w:r w:rsidR="00DE5B61">
              <w:rPr>
                <w:sz w:val="24"/>
                <w:szCs w:val="22"/>
              </w:rPr>
              <w:t xml:space="preserve"> </w:t>
            </w:r>
            <w:r w:rsidRPr="00273921">
              <w:rPr>
                <w:sz w:val="24"/>
                <w:szCs w:val="22"/>
              </w:rPr>
              <w:t>vody v krajine, čím výrazne prispieva k adaptácii na zmenu klímy, je vhodné podporiť zlepšenie štruktúry ornej pôdy dodaním organickej zložky. Vďaka predmetnému postupu zároveň dochádza k uchovávaniu uhlíka v pôde a tým k zmierňovaniu zmeny klímy, dochádza tiež k ochrane pôdy ako prírodného zdroja.</w:t>
            </w:r>
          </w:p>
          <w:p w14:paraId="0E325231" w14:textId="77777777" w:rsidR="00871A8F" w:rsidRPr="00273921" w:rsidRDefault="00871A8F" w:rsidP="00871A8F">
            <w:pPr>
              <w:jc w:val="both"/>
              <w:rPr>
                <w:sz w:val="24"/>
                <w:szCs w:val="22"/>
              </w:rPr>
            </w:pPr>
          </w:p>
          <w:p w14:paraId="3B87CE4F" w14:textId="31EDEA50" w:rsidR="00871A8F" w:rsidRPr="00273921" w:rsidRDefault="00871A8F" w:rsidP="00871A8F">
            <w:pPr>
              <w:jc w:val="both"/>
              <w:rPr>
                <w:noProof/>
                <w:sz w:val="24"/>
                <w:szCs w:val="22"/>
              </w:rPr>
            </w:pPr>
            <w:r w:rsidRPr="00273921">
              <w:rPr>
                <w:sz w:val="24"/>
                <w:szCs w:val="22"/>
              </w:rPr>
              <w:t>Na plochách trvalých plodín (vinice, sady, chmeľnice) je vhodné podporiť adaptáciu na a</w:t>
            </w:r>
            <w:r w:rsidR="00DE5B61">
              <w:rPr>
                <w:sz w:val="24"/>
                <w:szCs w:val="22"/>
              </w:rPr>
              <w:t> </w:t>
            </w:r>
            <w:proofErr w:type="spellStart"/>
            <w:r w:rsidRPr="00273921">
              <w:rPr>
                <w:sz w:val="24"/>
                <w:szCs w:val="22"/>
              </w:rPr>
              <w:t>mitigáciu</w:t>
            </w:r>
            <w:proofErr w:type="spellEnd"/>
            <w:r w:rsidR="00DE5B61">
              <w:rPr>
                <w:sz w:val="24"/>
                <w:szCs w:val="22"/>
              </w:rPr>
              <w:t xml:space="preserve"> </w:t>
            </w:r>
            <w:r w:rsidRPr="00273921">
              <w:rPr>
                <w:sz w:val="24"/>
                <w:szCs w:val="22"/>
              </w:rPr>
              <w:t xml:space="preserve">zmeny klímy formou zvýšenia podielu plochy pokrytej vegetáciou. Zabezpečením celoročného pokrytia minimálne každého druhého </w:t>
            </w:r>
            <w:proofErr w:type="spellStart"/>
            <w:r w:rsidRPr="00273921">
              <w:rPr>
                <w:sz w:val="24"/>
                <w:szCs w:val="22"/>
              </w:rPr>
              <w:t>medziradia</w:t>
            </w:r>
            <w:proofErr w:type="spellEnd"/>
            <w:r w:rsidRPr="00273921">
              <w:rPr>
                <w:sz w:val="24"/>
                <w:szCs w:val="22"/>
              </w:rPr>
              <w:t xml:space="preserve"> dochádza k</w:t>
            </w:r>
            <w:r w:rsidR="00DE5B61">
              <w:rPr>
                <w:sz w:val="24"/>
                <w:szCs w:val="22"/>
              </w:rPr>
              <w:t> </w:t>
            </w:r>
            <w:r w:rsidRPr="00273921">
              <w:rPr>
                <w:sz w:val="24"/>
                <w:szCs w:val="22"/>
              </w:rPr>
              <w:t>uchovávaniu</w:t>
            </w:r>
            <w:r w:rsidR="00DE5B61">
              <w:rPr>
                <w:sz w:val="24"/>
                <w:szCs w:val="22"/>
              </w:rPr>
              <w:t xml:space="preserve"> </w:t>
            </w:r>
            <w:r w:rsidRPr="00273921">
              <w:rPr>
                <w:sz w:val="24"/>
                <w:szCs w:val="22"/>
              </w:rPr>
              <w:t>uhlíka v pôde a tým k zmierňovaniu zmeny klímy, zároveň dochádza k</w:t>
            </w:r>
            <w:r w:rsidR="00DE5B61">
              <w:rPr>
                <w:sz w:val="24"/>
                <w:szCs w:val="22"/>
              </w:rPr>
              <w:t> </w:t>
            </w:r>
            <w:r w:rsidRPr="00273921">
              <w:rPr>
                <w:sz w:val="24"/>
                <w:szCs w:val="22"/>
              </w:rPr>
              <w:t>ochrane</w:t>
            </w:r>
            <w:r w:rsidR="00DE5B61">
              <w:rPr>
                <w:sz w:val="24"/>
                <w:szCs w:val="22"/>
              </w:rPr>
              <w:t xml:space="preserve"> </w:t>
            </w:r>
            <w:r w:rsidRPr="00273921">
              <w:rPr>
                <w:sz w:val="24"/>
                <w:szCs w:val="22"/>
              </w:rPr>
              <w:t xml:space="preserve">pôdy ako prírodného zdroja. </w:t>
            </w:r>
            <w:r w:rsidRPr="00273921">
              <w:rPr>
                <w:noProof/>
                <w:sz w:val="24"/>
                <w:szCs w:val="22"/>
              </w:rPr>
              <w:t>Vylúčen</w:t>
            </w:r>
            <w:r w:rsidR="00BA24A7" w:rsidRPr="00273921">
              <w:rPr>
                <w:noProof/>
                <w:sz w:val="24"/>
                <w:szCs w:val="22"/>
              </w:rPr>
              <w:t>á</w:t>
            </w:r>
            <w:r w:rsidRPr="00273921">
              <w:rPr>
                <w:noProof/>
                <w:sz w:val="24"/>
                <w:szCs w:val="22"/>
              </w:rPr>
              <w:t xml:space="preserve"> aplikácia herbicídu v zatrávnených medziradiach zároveň komplementárne prispeje k znižovaniu závislosti od chemických látok.</w:t>
            </w:r>
          </w:p>
          <w:p w14:paraId="6402827E" w14:textId="77777777" w:rsidR="00871A8F" w:rsidRPr="00441B1C" w:rsidRDefault="00871A8F" w:rsidP="00871A8F">
            <w:pPr>
              <w:pStyle w:val="ql-align-justify"/>
              <w:jc w:val="both"/>
              <w:rPr>
                <w:szCs w:val="22"/>
                <w:lang w:val="sk-SK"/>
              </w:rPr>
            </w:pPr>
          </w:p>
          <w:p w14:paraId="4F54F4CA" w14:textId="53CB1B44" w:rsidR="00871A8F" w:rsidRPr="00441B1C" w:rsidRDefault="00871A8F" w:rsidP="00871A8F">
            <w:pPr>
              <w:pStyle w:val="ql-align-justify"/>
              <w:jc w:val="both"/>
              <w:rPr>
                <w:noProof/>
                <w:szCs w:val="22"/>
                <w:lang w:val="sk-SK"/>
              </w:rPr>
            </w:pPr>
            <w:r w:rsidRPr="00441B1C">
              <w:rPr>
                <w:noProof/>
                <w:szCs w:val="22"/>
                <w:lang w:val="sk-SK"/>
              </w:rPr>
              <w:t>Zabezpečením maximálnej výmery parcely ornej pôdy a vytváraním predeľujúcich biopásov vegetácie dochádza k podpore biodiverzity, ako aj diverzity živej zložky pôdy. Prostredníctvom vytvárania biopásov bez chemického ošetrovania sa vytvárajú podmienky a</w:t>
            </w:r>
            <w:r w:rsidR="00DE5B61">
              <w:rPr>
                <w:noProof/>
                <w:szCs w:val="22"/>
                <w:lang w:val="sk-SK"/>
              </w:rPr>
              <w:t> </w:t>
            </w:r>
            <w:r w:rsidRPr="00441B1C">
              <w:rPr>
                <w:noProof/>
                <w:szCs w:val="22"/>
                <w:lang w:val="sk-SK"/>
              </w:rPr>
              <w:t>priestor</w:t>
            </w:r>
            <w:r w:rsidR="00DE5B61">
              <w:rPr>
                <w:noProof/>
                <w:szCs w:val="22"/>
                <w:lang w:val="sk-SK"/>
              </w:rPr>
              <w:t xml:space="preserve"> </w:t>
            </w:r>
            <w:r w:rsidRPr="00441B1C">
              <w:rPr>
                <w:noProof/>
                <w:szCs w:val="22"/>
                <w:lang w:val="sk-SK"/>
              </w:rPr>
              <w:t>pre hniezdenie vtákov, ochranu drobných živočíchov a zveri a podmienky pre vegetačnú činnosť opeľovačov v poľnohospodárskej krajine, zvyšuje sa tiež ponuka živočíšnej aj rastlinnej potravy pre voľne žijúce živočíchy.</w:t>
            </w:r>
          </w:p>
          <w:p w14:paraId="093FBB22" w14:textId="77777777" w:rsidR="00871A8F" w:rsidRPr="00441B1C" w:rsidRDefault="00871A8F" w:rsidP="00871A8F">
            <w:pPr>
              <w:pStyle w:val="ql-align-justify"/>
              <w:jc w:val="both"/>
              <w:rPr>
                <w:szCs w:val="22"/>
                <w:lang w:val="sk-SK"/>
              </w:rPr>
            </w:pPr>
          </w:p>
          <w:p w14:paraId="6CFAC158" w14:textId="01B33C4D" w:rsidR="00871A8F" w:rsidRPr="00441B1C" w:rsidRDefault="00871A8F" w:rsidP="00871A8F">
            <w:pPr>
              <w:pStyle w:val="ql-align-justify"/>
              <w:jc w:val="both"/>
              <w:rPr>
                <w:noProof/>
                <w:szCs w:val="22"/>
                <w:lang w:val="sk-SK"/>
              </w:rPr>
            </w:pPr>
            <w:r w:rsidRPr="00441B1C">
              <w:rPr>
                <w:noProof/>
                <w:szCs w:val="22"/>
                <w:lang w:val="sk-SK"/>
              </w:rPr>
              <w:t>Vzhľadom na potrebu zabezpečiť v rámci ornej pôdy optimálny podiel neproduktívnych plôch a prvkov sa stanovuje požiadavka na zabezpečenie prítomnosti takýchto plôch a prvkov nad rámec podmienok kondicionality, čím sa prispeje k zlepšeniu stavu biodiverzity. Ochranu biodiverzity zabezpečí aj povinnosť osiatia určitej časti biopásov, resp. neproduktívnych plôch</w:t>
            </w:r>
            <w:r w:rsidR="00BA24A7" w:rsidRPr="00441B1C">
              <w:rPr>
                <w:noProof/>
                <w:szCs w:val="22"/>
                <w:lang w:val="sk-SK"/>
              </w:rPr>
              <w:t>,</w:t>
            </w:r>
            <w:r w:rsidRPr="00441B1C">
              <w:rPr>
                <w:noProof/>
                <w:szCs w:val="22"/>
                <w:lang w:val="sk-SK"/>
              </w:rPr>
              <w:t xml:space="preserve"> zmesami vhodnými pre opeľovače.</w:t>
            </w:r>
          </w:p>
          <w:p w14:paraId="6AD83D6F" w14:textId="77777777" w:rsidR="00871A8F" w:rsidRPr="00441B1C" w:rsidRDefault="00871A8F" w:rsidP="00871A8F">
            <w:pPr>
              <w:pStyle w:val="ql-align-justify"/>
              <w:jc w:val="both"/>
              <w:rPr>
                <w:szCs w:val="22"/>
                <w:lang w:val="sk-SK"/>
              </w:rPr>
            </w:pPr>
          </w:p>
          <w:p w14:paraId="04B9BDE5" w14:textId="77777777" w:rsidR="00871A8F" w:rsidRPr="00441B1C" w:rsidRDefault="00871A8F" w:rsidP="00871A8F">
            <w:pPr>
              <w:pStyle w:val="ql-align-justify"/>
              <w:jc w:val="both"/>
              <w:rPr>
                <w:noProof/>
                <w:szCs w:val="22"/>
                <w:lang w:val="sk-SK"/>
              </w:rPr>
            </w:pPr>
            <w:r w:rsidRPr="00441B1C">
              <w:rPr>
                <w:noProof/>
                <w:szCs w:val="22"/>
                <w:lang w:val="sk-SK"/>
              </w:rPr>
              <w:t>Na plochách rýchlorastúcich drevín sa vzhľadom na potrebu zachovania biodiverzity vyžaduje optimálne ošetrovanie medziradia aj samotných riadkov vo vegetačnom období za účelom prevencie výskytu expanzívnych druhov rastlín vrátane inváznych druhov bez použitia prípravkov na ochranu rastlín.</w:t>
            </w:r>
          </w:p>
          <w:p w14:paraId="64B6A353" w14:textId="77777777" w:rsidR="00871A8F" w:rsidRPr="00441B1C" w:rsidRDefault="00871A8F" w:rsidP="00871A8F">
            <w:pPr>
              <w:pStyle w:val="ql-align-justify"/>
              <w:jc w:val="both"/>
              <w:rPr>
                <w:szCs w:val="22"/>
                <w:lang w:val="sk-SK"/>
              </w:rPr>
            </w:pPr>
          </w:p>
          <w:p w14:paraId="4DA49CA4" w14:textId="77777777" w:rsidR="00871A8F" w:rsidRPr="00441B1C" w:rsidRDefault="00871A8F" w:rsidP="00871A8F">
            <w:pPr>
              <w:pStyle w:val="ql-align-justify"/>
              <w:jc w:val="both"/>
              <w:rPr>
                <w:noProof/>
                <w:szCs w:val="22"/>
                <w:lang w:val="sk-SK"/>
              </w:rPr>
            </w:pPr>
            <w:r w:rsidRPr="00441B1C">
              <w:rPr>
                <w:noProof/>
                <w:szCs w:val="22"/>
                <w:lang w:val="sk-SK"/>
              </w:rPr>
              <w:t>Pre trvalé trávne porasty sa stanovujú pravidlá diferencovaného kosenia tak, aby nedochádzalo k vysokej mortalite živočíchov zdržujúcich sa na lúkach v čase ich hniezdenia a rozmnožovania. Zároveň sa ako doplnkový postup stanovuje pasenie hospodárskych zvierat, nakoľko narušenie poľnohospodárskeho využívania trvalých trávnych porastov má negatívny vplyv na krajinotvornú funkciu.</w:t>
            </w:r>
          </w:p>
          <w:p w14:paraId="3F1A1239" w14:textId="77777777" w:rsidR="00871A8F" w:rsidRPr="00273921" w:rsidRDefault="00871A8F" w:rsidP="00871A8F">
            <w:pPr>
              <w:jc w:val="both"/>
              <w:rPr>
                <w:sz w:val="24"/>
                <w:szCs w:val="22"/>
              </w:rPr>
            </w:pPr>
          </w:p>
          <w:p w14:paraId="6639FBF5" w14:textId="77777777" w:rsidR="00871A8F" w:rsidRPr="00441B1C" w:rsidRDefault="00871A8F" w:rsidP="00871A8F">
            <w:pPr>
              <w:pStyle w:val="ql-align-justify"/>
              <w:jc w:val="both"/>
              <w:rPr>
                <w:szCs w:val="22"/>
                <w:lang w:val="sk-SK"/>
              </w:rPr>
            </w:pPr>
            <w:r w:rsidRPr="00441B1C">
              <w:rPr>
                <w:noProof/>
                <w:szCs w:val="22"/>
                <w:lang w:val="sk-SK"/>
              </w:rPr>
              <w:t>Cielená podpora chovu zvierat na pasienku prispeje o. i. aj k ochrane klímy a zníženiu znečistenia ovzdušia vo vzťahu k emisiám amoniaku. Zníženie emisií amoniaku je možné dosiahnuť zvýšením podielu času, ktorý zvieratá strávia na pastve. Dôvodom je najmä to, že do pôdy presiakne veľké množstvo moču ešte predtým, ako močovina degraduje a unikne ako amoniak.</w:t>
            </w:r>
          </w:p>
        </w:tc>
      </w:tr>
      <w:tr w:rsidR="00871A8F" w:rsidRPr="00273921" w14:paraId="136C58A2" w14:textId="77777777" w:rsidTr="00C438EE">
        <w:trPr>
          <w:trHeight w:val="404"/>
        </w:trPr>
        <w:tc>
          <w:tcPr>
            <w:tcW w:w="9212" w:type="dxa"/>
            <w:shd w:val="clear" w:color="auto" w:fill="D9D9D9"/>
            <w:vAlign w:val="center"/>
            <w:hideMark/>
          </w:tcPr>
          <w:p w14:paraId="301E3F3A" w14:textId="77777777" w:rsidR="00871A8F" w:rsidRPr="00273921" w:rsidRDefault="00871A8F" w:rsidP="00871A8F">
            <w:pPr>
              <w:rPr>
                <w:b/>
                <w:sz w:val="24"/>
                <w:szCs w:val="22"/>
              </w:rPr>
            </w:pPr>
            <w:r w:rsidRPr="00273921">
              <w:rPr>
                <w:b/>
                <w:sz w:val="24"/>
                <w:szCs w:val="22"/>
              </w:rPr>
              <w:lastRenderedPageBreak/>
              <w:t xml:space="preserve">5.2 Bude mať predkladaný materiál vplyv na chránené územia a ak áno, aký? </w:t>
            </w:r>
          </w:p>
        </w:tc>
      </w:tr>
      <w:tr w:rsidR="00871A8F" w:rsidRPr="00273921" w14:paraId="5AD564DE" w14:textId="77777777" w:rsidTr="00C438EE">
        <w:trPr>
          <w:trHeight w:val="987"/>
        </w:trPr>
        <w:tc>
          <w:tcPr>
            <w:tcW w:w="9212" w:type="dxa"/>
          </w:tcPr>
          <w:p w14:paraId="3E90FA0C" w14:textId="0F133513" w:rsidR="00871A8F" w:rsidRPr="00273921" w:rsidRDefault="00871A8F" w:rsidP="00871A8F">
            <w:pPr>
              <w:jc w:val="both"/>
              <w:rPr>
                <w:color w:val="000000"/>
                <w:sz w:val="24"/>
                <w:szCs w:val="22"/>
              </w:rPr>
            </w:pPr>
            <w:r w:rsidRPr="00273921">
              <w:rPr>
                <w:sz w:val="24"/>
                <w:szCs w:val="22"/>
              </w:rPr>
              <w:t xml:space="preserve">S cieľom stabilizovať stav biodiverzity na Slovensku sa v rámci </w:t>
            </w:r>
            <w:proofErr w:type="spellStart"/>
            <w:r w:rsidRPr="00273921">
              <w:rPr>
                <w:sz w:val="24"/>
                <w:szCs w:val="22"/>
              </w:rPr>
              <w:t>celofarmovej</w:t>
            </w:r>
            <w:proofErr w:type="spellEnd"/>
            <w:r w:rsidRPr="00273921">
              <w:rPr>
                <w:sz w:val="24"/>
                <w:szCs w:val="22"/>
              </w:rPr>
              <w:t xml:space="preserve"> </w:t>
            </w:r>
            <w:proofErr w:type="spellStart"/>
            <w:r w:rsidRPr="00273921">
              <w:rPr>
                <w:sz w:val="24"/>
                <w:szCs w:val="22"/>
              </w:rPr>
              <w:t>eko</w:t>
            </w:r>
            <w:proofErr w:type="spellEnd"/>
            <w:r w:rsidRPr="00273921">
              <w:rPr>
                <w:sz w:val="24"/>
                <w:szCs w:val="22"/>
              </w:rPr>
              <w:t>-schémy kladie špecifický dôraz na realizáciu opatrení v podnikoch s prevažujúcou ornou pôdou, obzvlášť zasahujúcou do chránených území v zmysle § 26 a § 27 zákona č. 543/2002 Z. z. o</w:t>
            </w:r>
            <w:r w:rsidR="00DE5B61">
              <w:rPr>
                <w:sz w:val="24"/>
                <w:szCs w:val="22"/>
              </w:rPr>
              <w:t> </w:t>
            </w:r>
            <w:r w:rsidRPr="00273921">
              <w:rPr>
                <w:sz w:val="24"/>
                <w:szCs w:val="22"/>
              </w:rPr>
              <w:t>ochrane</w:t>
            </w:r>
            <w:r w:rsidR="00DE5B61">
              <w:rPr>
                <w:sz w:val="24"/>
                <w:szCs w:val="22"/>
              </w:rPr>
              <w:t xml:space="preserve"> </w:t>
            </w:r>
            <w:r w:rsidRPr="00273921">
              <w:rPr>
                <w:sz w:val="24"/>
                <w:szCs w:val="22"/>
              </w:rPr>
              <w:t xml:space="preserve">prírody a krajiny v znení neskorších predpisov. Pre ornú pôdu v chránených </w:t>
            </w:r>
            <w:r w:rsidRPr="00273921">
              <w:rPr>
                <w:sz w:val="24"/>
                <w:szCs w:val="22"/>
              </w:rPr>
              <w:lastRenderedPageBreak/>
              <w:t>územiach v dotknutom type podnikov sa stanovuje vyššia úroveň ambícií, pokiaľ ide o postupy, ktoré sa majú plniť. Ide o nižšiu maximálnu výmeru parcely a vyšší podiel neproduktívnych prvkov a plôch, ktoré sa majú na ploche vyčleniť. Alternatívne je možné prispieť k zvýšeniu biodiverzity v chránených územiach zatrávnením časti ornej pôdy a</w:t>
            </w:r>
            <w:r w:rsidR="00DE5B61">
              <w:rPr>
                <w:sz w:val="24"/>
                <w:szCs w:val="22"/>
              </w:rPr>
              <w:t> </w:t>
            </w:r>
            <w:r w:rsidRPr="00273921">
              <w:rPr>
                <w:sz w:val="24"/>
                <w:szCs w:val="22"/>
              </w:rPr>
              <w:t>zabezpečením</w:t>
            </w:r>
            <w:r w:rsidR="00DE5B61">
              <w:rPr>
                <w:sz w:val="24"/>
                <w:szCs w:val="22"/>
              </w:rPr>
              <w:t xml:space="preserve"> </w:t>
            </w:r>
            <w:r w:rsidRPr="00273921">
              <w:rPr>
                <w:sz w:val="24"/>
                <w:szCs w:val="22"/>
              </w:rPr>
              <w:t>pasenia na týchto plochách, nakoľko likvidácia pasienkov je jedným zo zásadných problémov vo vzťahu k biodiverzite.</w:t>
            </w:r>
          </w:p>
        </w:tc>
      </w:tr>
      <w:tr w:rsidR="00871A8F" w:rsidRPr="00273921" w14:paraId="4B43DC20" w14:textId="77777777" w:rsidTr="00C438EE">
        <w:trPr>
          <w:trHeight w:val="698"/>
        </w:trPr>
        <w:tc>
          <w:tcPr>
            <w:tcW w:w="9212" w:type="dxa"/>
            <w:shd w:val="clear" w:color="auto" w:fill="D9D9D9"/>
            <w:vAlign w:val="center"/>
          </w:tcPr>
          <w:p w14:paraId="478B6F91" w14:textId="77777777" w:rsidR="00871A8F" w:rsidRPr="00273921" w:rsidRDefault="00871A8F" w:rsidP="00871A8F">
            <w:pPr>
              <w:rPr>
                <w:b/>
                <w:sz w:val="24"/>
                <w:szCs w:val="22"/>
              </w:rPr>
            </w:pPr>
            <w:r w:rsidRPr="00273921">
              <w:rPr>
                <w:b/>
                <w:sz w:val="24"/>
                <w:szCs w:val="22"/>
              </w:rPr>
              <w:lastRenderedPageBreak/>
              <w:t>5.3 Bude mať predkladaný materiál vplyvy na životné prostredie presahujúce štátne hranice? (ktoré zložky a ako budú najviac ovplyvnené)?</w:t>
            </w:r>
          </w:p>
        </w:tc>
      </w:tr>
      <w:tr w:rsidR="00871A8F" w:rsidRPr="00273921" w14:paraId="65BEE822" w14:textId="77777777" w:rsidTr="00C274F0">
        <w:trPr>
          <w:trHeight w:val="189"/>
        </w:trPr>
        <w:tc>
          <w:tcPr>
            <w:tcW w:w="9212" w:type="dxa"/>
          </w:tcPr>
          <w:p w14:paraId="05609849" w14:textId="77777777" w:rsidR="00871A8F" w:rsidRPr="00273921" w:rsidRDefault="00871A8F" w:rsidP="00871A8F">
            <w:pPr>
              <w:pStyle w:val="Bezriadkovania"/>
              <w:rPr>
                <w:sz w:val="24"/>
                <w:szCs w:val="22"/>
              </w:rPr>
            </w:pPr>
            <w:r w:rsidRPr="00273921">
              <w:rPr>
                <w:sz w:val="24"/>
                <w:szCs w:val="22"/>
              </w:rPr>
              <w:t xml:space="preserve">Nepredpokladajú sa vplyvy presahujúce štátne hranice. </w:t>
            </w:r>
          </w:p>
        </w:tc>
      </w:tr>
      <w:tr w:rsidR="00871A8F" w:rsidRPr="00273921" w14:paraId="07EA8D61" w14:textId="77777777" w:rsidTr="00C438EE">
        <w:trPr>
          <w:trHeight w:val="713"/>
        </w:trPr>
        <w:tc>
          <w:tcPr>
            <w:tcW w:w="9212" w:type="dxa"/>
            <w:shd w:val="clear" w:color="auto" w:fill="D9D9D9"/>
            <w:vAlign w:val="center"/>
          </w:tcPr>
          <w:p w14:paraId="67DC425B" w14:textId="77777777" w:rsidR="00871A8F" w:rsidRPr="00273921" w:rsidRDefault="00871A8F" w:rsidP="00871A8F">
            <w:pPr>
              <w:rPr>
                <w:b/>
                <w:sz w:val="24"/>
                <w:szCs w:val="22"/>
              </w:rPr>
            </w:pPr>
            <w:r w:rsidRPr="00273921">
              <w:rPr>
                <w:b/>
                <w:sz w:val="24"/>
                <w:szCs w:val="22"/>
              </w:rPr>
              <w:t>5.4 Aké opatrenia budú prijaté na zmiernenie negatívneho vplyvu na životné prostredie?</w:t>
            </w:r>
          </w:p>
        </w:tc>
      </w:tr>
      <w:tr w:rsidR="00871A8F" w:rsidRPr="00273921" w14:paraId="14D1CCA9" w14:textId="77777777" w:rsidTr="00C274F0">
        <w:trPr>
          <w:trHeight w:val="50"/>
        </w:trPr>
        <w:tc>
          <w:tcPr>
            <w:tcW w:w="9212" w:type="dxa"/>
            <w:shd w:val="clear" w:color="auto" w:fill="FFFFFF"/>
          </w:tcPr>
          <w:p w14:paraId="4C3E806E" w14:textId="77777777" w:rsidR="00871A8F" w:rsidRPr="00273921" w:rsidRDefault="00871A8F" w:rsidP="00871A8F">
            <w:pPr>
              <w:jc w:val="both"/>
              <w:rPr>
                <w:sz w:val="24"/>
                <w:szCs w:val="22"/>
              </w:rPr>
            </w:pPr>
            <w:r w:rsidRPr="00273921">
              <w:rPr>
                <w:sz w:val="24"/>
                <w:szCs w:val="22"/>
              </w:rPr>
              <w:t>Nepredpokladá sa negatívny vplyv na životné prostredie.</w:t>
            </w:r>
          </w:p>
        </w:tc>
      </w:tr>
    </w:tbl>
    <w:p w14:paraId="04272498" w14:textId="4C4F81D4" w:rsidR="008616EA" w:rsidRPr="00273921" w:rsidRDefault="008616EA" w:rsidP="00871A8F">
      <w:pPr>
        <w:rPr>
          <w:sz w:val="24"/>
          <w:szCs w:val="22"/>
        </w:rPr>
      </w:pPr>
    </w:p>
    <w:sectPr w:rsidR="008616EA" w:rsidRPr="00273921" w:rsidSect="00507EAB">
      <w:footerReference w:type="default" r:id="rId9"/>
      <w:pgSz w:w="11906" w:h="16838"/>
      <w:pgMar w:top="1417" w:right="1417" w:bottom="1417" w:left="1417"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0A800" w14:textId="77777777" w:rsidR="00BD4ABF" w:rsidRDefault="00BD4ABF" w:rsidP="00867233">
      <w:r>
        <w:separator/>
      </w:r>
    </w:p>
  </w:endnote>
  <w:endnote w:type="continuationSeparator" w:id="0">
    <w:p w14:paraId="01C8C806" w14:textId="77777777" w:rsidR="00BD4ABF" w:rsidRDefault="00BD4ABF" w:rsidP="0086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417941"/>
      <w:docPartObj>
        <w:docPartGallery w:val="Page Numbers (Bottom of Page)"/>
        <w:docPartUnique/>
      </w:docPartObj>
    </w:sdtPr>
    <w:sdtContent>
      <w:p w14:paraId="2648053C" w14:textId="1E3AB5ED" w:rsidR="00374EDB" w:rsidRPr="00F74B1D" w:rsidRDefault="00507EAB" w:rsidP="00507EAB">
        <w:pPr>
          <w:pStyle w:val="Pta"/>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FF235" w14:textId="77777777" w:rsidR="00BD4ABF" w:rsidRDefault="00BD4ABF" w:rsidP="00867233">
      <w:r>
        <w:separator/>
      </w:r>
    </w:p>
  </w:footnote>
  <w:footnote w:type="continuationSeparator" w:id="0">
    <w:p w14:paraId="777E283A" w14:textId="77777777" w:rsidR="00BD4ABF" w:rsidRDefault="00BD4ABF" w:rsidP="0086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C57"/>
    <w:multiLevelType w:val="hybridMultilevel"/>
    <w:tmpl w:val="3F5E7636"/>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86958F5"/>
    <w:multiLevelType w:val="hybridMultilevel"/>
    <w:tmpl w:val="972CE18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A9138D"/>
    <w:multiLevelType w:val="hybridMultilevel"/>
    <w:tmpl w:val="C054E1C6"/>
    <w:lvl w:ilvl="0" w:tplc="041B000F">
      <w:start w:val="1"/>
      <w:numFmt w:val="decimal"/>
      <w:lvlText w:val="%1."/>
      <w:lvlJc w:val="left"/>
      <w:pPr>
        <w:ind w:left="720" w:hanging="360"/>
      </w:pPr>
    </w:lvl>
    <w:lvl w:ilvl="1" w:tplc="233ADAC6">
      <w:start w:val="1"/>
      <w:numFmt w:val="decimal"/>
      <w:lvlText w:val="%2."/>
      <w:lvlJc w:val="left"/>
      <w:pPr>
        <w:ind w:left="1440" w:hanging="360"/>
      </w:pPr>
      <w:rPr>
        <w:rFonts w:ascii="Times New Roman" w:eastAsiaTheme="minorHAnsi"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E485B"/>
    <w:multiLevelType w:val="hybridMultilevel"/>
    <w:tmpl w:val="FBEC2DEE"/>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E7706"/>
    <w:multiLevelType w:val="hybridMultilevel"/>
    <w:tmpl w:val="D6A877FE"/>
    <w:lvl w:ilvl="0" w:tplc="041B0017">
      <w:start w:val="1"/>
      <w:numFmt w:val="lowerLetter"/>
      <w:lvlText w:val="%1)"/>
      <w:lvlJc w:val="left"/>
      <w:pPr>
        <w:ind w:left="1068" w:hanging="360"/>
      </w:pPr>
    </w:lvl>
    <w:lvl w:ilvl="1" w:tplc="B4E89DE2">
      <w:start w:val="8"/>
      <w:numFmt w:val="bullet"/>
      <w:lvlText w:val="-"/>
      <w:lvlJc w:val="left"/>
      <w:pPr>
        <w:ind w:left="1788" w:hanging="360"/>
      </w:pPr>
      <w:rPr>
        <w:rFonts w:ascii="Times New Roman" w:eastAsiaTheme="minorHAnsi" w:hAnsi="Times New Roman" w:cs="Times New Roman" w:hint="default"/>
      </w:r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198839A6"/>
    <w:multiLevelType w:val="hybridMultilevel"/>
    <w:tmpl w:val="8708B5F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0DC4ADA"/>
    <w:multiLevelType w:val="hybridMultilevel"/>
    <w:tmpl w:val="972047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F01D64"/>
    <w:multiLevelType w:val="hybridMultilevel"/>
    <w:tmpl w:val="C3FAD070"/>
    <w:lvl w:ilvl="0" w:tplc="041B0017">
      <w:start w:val="9"/>
      <w:numFmt w:val="lowerLetter"/>
      <w:lvlText w:val="%1)"/>
      <w:lvlJc w:val="left"/>
      <w:pPr>
        <w:ind w:left="720" w:hanging="360"/>
      </w:pPr>
      <w:rPr>
        <w:rFonts w:hint="default"/>
      </w:rPr>
    </w:lvl>
    <w:lvl w:ilvl="1" w:tplc="191EEEA8">
      <w:start w:val="1"/>
      <w:numFmt w:val="decimal"/>
      <w:lvlText w:val="(%2)"/>
      <w:lvlJc w:val="left"/>
      <w:pPr>
        <w:ind w:left="653" w:hanging="3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7616EA8"/>
    <w:multiLevelType w:val="hybridMultilevel"/>
    <w:tmpl w:val="8FEAA158"/>
    <w:lvl w:ilvl="0" w:tplc="F6920A08">
      <w:start w:val="1"/>
      <w:numFmt w:val="decimal"/>
      <w:lvlText w:val="(%1)"/>
      <w:lvlJc w:val="left"/>
      <w:pPr>
        <w:ind w:left="720" w:hanging="360"/>
      </w:pPr>
      <w:rPr>
        <w:rFonts w:hint="default"/>
      </w:rPr>
    </w:lvl>
    <w:lvl w:ilvl="1" w:tplc="F8BCD8F8">
      <w:start w:val="1"/>
      <w:numFmt w:val="lowerLetter"/>
      <w:lvlText w:val="%2)"/>
      <w:lvlJc w:val="left"/>
      <w:pPr>
        <w:ind w:left="1069" w:hanging="360"/>
      </w:pPr>
      <w:rPr>
        <w:rFonts w:hint="default"/>
      </w:rPr>
    </w:lvl>
    <w:lvl w:ilvl="2" w:tplc="55A2963A">
      <w:start w:val="1"/>
      <w:numFmt w:val="decimal"/>
      <w:lvlText w:val="%3."/>
      <w:lvlJc w:val="left"/>
      <w:pPr>
        <w:ind w:left="1069"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2877AA"/>
    <w:multiLevelType w:val="hybridMultilevel"/>
    <w:tmpl w:val="EF58B6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8C03F2"/>
    <w:multiLevelType w:val="hybridMultilevel"/>
    <w:tmpl w:val="F04426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65751B"/>
    <w:multiLevelType w:val="hybridMultilevel"/>
    <w:tmpl w:val="A8C65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776AA0"/>
    <w:multiLevelType w:val="hybridMultilevel"/>
    <w:tmpl w:val="E7ECE084"/>
    <w:lvl w:ilvl="0" w:tplc="041B0017">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4F6E7E69"/>
    <w:multiLevelType w:val="hybridMultilevel"/>
    <w:tmpl w:val="208CEC90"/>
    <w:lvl w:ilvl="0" w:tplc="F6920A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1535624"/>
    <w:multiLevelType w:val="hybridMultilevel"/>
    <w:tmpl w:val="E500C6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9E47BE8"/>
    <w:multiLevelType w:val="hybridMultilevel"/>
    <w:tmpl w:val="673614C2"/>
    <w:lvl w:ilvl="0" w:tplc="8B06DE22">
      <w:start w:val="1"/>
      <w:numFmt w:val="decimal"/>
      <w:lvlText w:val="(%1)"/>
      <w:lvlJc w:val="left"/>
      <w:pPr>
        <w:ind w:left="720" w:hanging="360"/>
      </w:pPr>
      <w:rPr>
        <w:rFonts w:hint="default"/>
      </w:rPr>
    </w:lvl>
    <w:lvl w:ilvl="1" w:tplc="041B0017">
      <w:start w:val="1"/>
      <w:numFmt w:val="lowerLetter"/>
      <w:lvlText w:val="%2)"/>
      <w:lvlJc w:val="left"/>
      <w:pPr>
        <w:ind w:left="1068" w:hanging="360"/>
      </w:pPr>
      <w:rPr>
        <w:rFonts w:hint="default"/>
      </w:rPr>
    </w:lvl>
    <w:lvl w:ilvl="2" w:tplc="EB940C9A">
      <w:start w:val="1"/>
      <w:numFmt w:val="decimal"/>
      <w:lvlText w:val="%3."/>
      <w:lvlJc w:val="left"/>
      <w:pPr>
        <w:ind w:left="1494" w:hanging="360"/>
      </w:pPr>
      <w:rPr>
        <w:rFonts w:hint="default"/>
      </w:rPr>
    </w:lvl>
    <w:lvl w:ilvl="3" w:tplc="86C6D234">
      <w:start w:val="1"/>
      <w:numFmt w:val="lowerRoman"/>
      <w:lvlText w:val="%4."/>
      <w:lvlJc w:val="left"/>
      <w:pPr>
        <w:ind w:left="2279" w:hanging="720"/>
      </w:pPr>
      <w:rPr>
        <w:rFonts w:hint="default"/>
      </w:rPr>
    </w:lvl>
    <w:lvl w:ilvl="4" w:tplc="B4E89DE2">
      <w:start w:val="8"/>
      <w:numFmt w:val="bullet"/>
      <w:lvlText w:val="-"/>
      <w:lvlJc w:val="left"/>
      <w:pPr>
        <w:ind w:left="1635" w:hanging="360"/>
      </w:pPr>
      <w:rPr>
        <w:rFonts w:ascii="Times New Roman" w:eastAsiaTheme="minorHAnsi" w:hAnsi="Times New Roman" w:cs="Times New Roman" w:hint="default"/>
      </w:rPr>
    </w:lvl>
    <w:lvl w:ilvl="5" w:tplc="80DAA938">
      <w:start w:val="1"/>
      <w:numFmt w:val="lowerRoman"/>
      <w:lvlText w:val="%6."/>
      <w:lvlJc w:val="left"/>
      <w:pPr>
        <w:ind w:left="2421" w:hanging="720"/>
      </w:pPr>
      <w:rPr>
        <w:rFonts w:ascii="Times New Roman" w:eastAsiaTheme="minorHAnsi" w:hAnsi="Times New Roman" w:cs="Times New Roman"/>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5"/>
  </w:num>
  <w:num w:numId="5">
    <w:abstractNumId w:val="7"/>
  </w:num>
  <w:num w:numId="6">
    <w:abstractNumId w:val="5"/>
  </w:num>
  <w:num w:numId="7">
    <w:abstractNumId w:val="11"/>
  </w:num>
  <w:num w:numId="8">
    <w:abstractNumId w:val="13"/>
  </w:num>
  <w:num w:numId="9">
    <w:abstractNumId w:val="3"/>
  </w:num>
  <w:num w:numId="10">
    <w:abstractNumId w:val="8"/>
  </w:num>
  <w:num w:numId="11">
    <w:abstractNumId w:val="6"/>
  </w:num>
  <w:num w:numId="12">
    <w:abstractNumId w:val="12"/>
  </w:num>
  <w:num w:numId="13">
    <w:abstractNumId w:val="14"/>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4D"/>
    <w:rsid w:val="000076EB"/>
    <w:rsid w:val="00015785"/>
    <w:rsid w:val="00020418"/>
    <w:rsid w:val="00032E84"/>
    <w:rsid w:val="000612D5"/>
    <w:rsid w:val="000A2CE5"/>
    <w:rsid w:val="000B2CBD"/>
    <w:rsid w:val="000C6C56"/>
    <w:rsid w:val="000D7813"/>
    <w:rsid w:val="00106198"/>
    <w:rsid w:val="00111EF4"/>
    <w:rsid w:val="00131776"/>
    <w:rsid w:val="0018067F"/>
    <w:rsid w:val="0018757C"/>
    <w:rsid w:val="00193C03"/>
    <w:rsid w:val="001A0BC7"/>
    <w:rsid w:val="001A3A9A"/>
    <w:rsid w:val="001A4516"/>
    <w:rsid w:val="001A7E23"/>
    <w:rsid w:val="001B3755"/>
    <w:rsid w:val="001B416E"/>
    <w:rsid w:val="001C2FFF"/>
    <w:rsid w:val="001C3DA6"/>
    <w:rsid w:val="00201AF4"/>
    <w:rsid w:val="00211C10"/>
    <w:rsid w:val="00222BF3"/>
    <w:rsid w:val="00255F5F"/>
    <w:rsid w:val="00264770"/>
    <w:rsid w:val="00266700"/>
    <w:rsid w:val="00273921"/>
    <w:rsid w:val="00287F01"/>
    <w:rsid w:val="00296AD7"/>
    <w:rsid w:val="002B66C1"/>
    <w:rsid w:val="002C4CAC"/>
    <w:rsid w:val="002C6E1F"/>
    <w:rsid w:val="00313BAF"/>
    <w:rsid w:val="00314F94"/>
    <w:rsid w:val="00320CBC"/>
    <w:rsid w:val="00323596"/>
    <w:rsid w:val="003629E5"/>
    <w:rsid w:val="0038258F"/>
    <w:rsid w:val="00383AE2"/>
    <w:rsid w:val="00384893"/>
    <w:rsid w:val="00391D48"/>
    <w:rsid w:val="003A30C9"/>
    <w:rsid w:val="003C5AE5"/>
    <w:rsid w:val="003C6F91"/>
    <w:rsid w:val="003D1CBA"/>
    <w:rsid w:val="003D2750"/>
    <w:rsid w:val="003E04B8"/>
    <w:rsid w:val="003F128E"/>
    <w:rsid w:val="00401A76"/>
    <w:rsid w:val="00402830"/>
    <w:rsid w:val="004257C5"/>
    <w:rsid w:val="0043385C"/>
    <w:rsid w:val="00441B1C"/>
    <w:rsid w:val="00442E87"/>
    <w:rsid w:val="00455C9D"/>
    <w:rsid w:val="00456AF9"/>
    <w:rsid w:val="00483D45"/>
    <w:rsid w:val="00497F15"/>
    <w:rsid w:val="004B5CA2"/>
    <w:rsid w:val="004C1AAE"/>
    <w:rsid w:val="004E7D44"/>
    <w:rsid w:val="004F1479"/>
    <w:rsid w:val="004F734E"/>
    <w:rsid w:val="00507EAB"/>
    <w:rsid w:val="00516442"/>
    <w:rsid w:val="0052097D"/>
    <w:rsid w:val="00546705"/>
    <w:rsid w:val="00547C76"/>
    <w:rsid w:val="005742F0"/>
    <w:rsid w:val="0058493E"/>
    <w:rsid w:val="005B2CA6"/>
    <w:rsid w:val="005D7F4F"/>
    <w:rsid w:val="005F4B25"/>
    <w:rsid w:val="00622F6F"/>
    <w:rsid w:val="00624ED9"/>
    <w:rsid w:val="00646499"/>
    <w:rsid w:val="006721C3"/>
    <w:rsid w:val="006A22E9"/>
    <w:rsid w:val="006A3B1E"/>
    <w:rsid w:val="006B2236"/>
    <w:rsid w:val="006C64F7"/>
    <w:rsid w:val="006F6DC3"/>
    <w:rsid w:val="007223A8"/>
    <w:rsid w:val="00723A56"/>
    <w:rsid w:val="00723D8F"/>
    <w:rsid w:val="007254DC"/>
    <w:rsid w:val="007321BA"/>
    <w:rsid w:val="00771FC6"/>
    <w:rsid w:val="00773312"/>
    <w:rsid w:val="007738C4"/>
    <w:rsid w:val="00783137"/>
    <w:rsid w:val="007B1832"/>
    <w:rsid w:val="00836BEB"/>
    <w:rsid w:val="00843006"/>
    <w:rsid w:val="00845B8C"/>
    <w:rsid w:val="00850EF5"/>
    <w:rsid w:val="00853312"/>
    <w:rsid w:val="00857844"/>
    <w:rsid w:val="008616EA"/>
    <w:rsid w:val="00867233"/>
    <w:rsid w:val="00871A8F"/>
    <w:rsid w:val="00877D40"/>
    <w:rsid w:val="00891017"/>
    <w:rsid w:val="008A18E3"/>
    <w:rsid w:val="008A30A0"/>
    <w:rsid w:val="008B4FD2"/>
    <w:rsid w:val="008B6480"/>
    <w:rsid w:val="008D6A1D"/>
    <w:rsid w:val="008E14F9"/>
    <w:rsid w:val="008F5373"/>
    <w:rsid w:val="0090436B"/>
    <w:rsid w:val="00910366"/>
    <w:rsid w:val="00923C0D"/>
    <w:rsid w:val="00942104"/>
    <w:rsid w:val="009450B3"/>
    <w:rsid w:val="00950913"/>
    <w:rsid w:val="0095779F"/>
    <w:rsid w:val="00964904"/>
    <w:rsid w:val="00974DB0"/>
    <w:rsid w:val="00984748"/>
    <w:rsid w:val="00994265"/>
    <w:rsid w:val="00995B74"/>
    <w:rsid w:val="009A39BC"/>
    <w:rsid w:val="009B24F1"/>
    <w:rsid w:val="009B468B"/>
    <w:rsid w:val="009D071A"/>
    <w:rsid w:val="00A03B4B"/>
    <w:rsid w:val="00A1015C"/>
    <w:rsid w:val="00A31B02"/>
    <w:rsid w:val="00A342E2"/>
    <w:rsid w:val="00A444DB"/>
    <w:rsid w:val="00A72F3B"/>
    <w:rsid w:val="00A758F6"/>
    <w:rsid w:val="00AA2BB1"/>
    <w:rsid w:val="00AC6125"/>
    <w:rsid w:val="00AE73D8"/>
    <w:rsid w:val="00AF14D2"/>
    <w:rsid w:val="00AF3AA5"/>
    <w:rsid w:val="00B00026"/>
    <w:rsid w:val="00B431E2"/>
    <w:rsid w:val="00B43FB8"/>
    <w:rsid w:val="00B86DD0"/>
    <w:rsid w:val="00B879C2"/>
    <w:rsid w:val="00BA19BC"/>
    <w:rsid w:val="00BA24A7"/>
    <w:rsid w:val="00BA3107"/>
    <w:rsid w:val="00BA3C57"/>
    <w:rsid w:val="00BB6AAF"/>
    <w:rsid w:val="00BC3AFC"/>
    <w:rsid w:val="00BD4ABF"/>
    <w:rsid w:val="00BD7F8E"/>
    <w:rsid w:val="00BE670A"/>
    <w:rsid w:val="00BF57D6"/>
    <w:rsid w:val="00C14B48"/>
    <w:rsid w:val="00C274F0"/>
    <w:rsid w:val="00C27A4D"/>
    <w:rsid w:val="00C30603"/>
    <w:rsid w:val="00C52BEC"/>
    <w:rsid w:val="00C5584C"/>
    <w:rsid w:val="00C56DEF"/>
    <w:rsid w:val="00C62970"/>
    <w:rsid w:val="00C62C26"/>
    <w:rsid w:val="00C867CD"/>
    <w:rsid w:val="00C9603C"/>
    <w:rsid w:val="00C962F8"/>
    <w:rsid w:val="00CB19E6"/>
    <w:rsid w:val="00CB4660"/>
    <w:rsid w:val="00CF3142"/>
    <w:rsid w:val="00D038A0"/>
    <w:rsid w:val="00D05952"/>
    <w:rsid w:val="00D07214"/>
    <w:rsid w:val="00D1172A"/>
    <w:rsid w:val="00D32325"/>
    <w:rsid w:val="00D50BAA"/>
    <w:rsid w:val="00D54E49"/>
    <w:rsid w:val="00D63B3F"/>
    <w:rsid w:val="00D67FD4"/>
    <w:rsid w:val="00DA1DC6"/>
    <w:rsid w:val="00DC4ADF"/>
    <w:rsid w:val="00DE5B61"/>
    <w:rsid w:val="00E00F74"/>
    <w:rsid w:val="00E101D6"/>
    <w:rsid w:val="00E135E3"/>
    <w:rsid w:val="00E304E4"/>
    <w:rsid w:val="00E35523"/>
    <w:rsid w:val="00E61626"/>
    <w:rsid w:val="00E6393A"/>
    <w:rsid w:val="00E65100"/>
    <w:rsid w:val="00E837FF"/>
    <w:rsid w:val="00EA0700"/>
    <w:rsid w:val="00EA105D"/>
    <w:rsid w:val="00EB2006"/>
    <w:rsid w:val="00F1748B"/>
    <w:rsid w:val="00F220F1"/>
    <w:rsid w:val="00F25000"/>
    <w:rsid w:val="00F70F0B"/>
    <w:rsid w:val="00F74B1D"/>
    <w:rsid w:val="00FA1C4E"/>
    <w:rsid w:val="00FB48BB"/>
    <w:rsid w:val="00FC6465"/>
    <w:rsid w:val="00FD2FC5"/>
    <w:rsid w:val="00FE41DF"/>
    <w:rsid w:val="00FF5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627C"/>
  <w15:docId w15:val="{CEF7A1D5-7B35-46EF-947B-8B5681D5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3A30C9"/>
    <w:pPr>
      <w:keepNext/>
      <w:keepLines/>
      <w:spacing w:before="240" w:line="259" w:lineRule="auto"/>
      <w:outlineLvl w:val="0"/>
    </w:pPr>
    <w:rPr>
      <w:rFonts w:eastAsiaTheme="majorEastAsia" w:cstheme="majorBidi"/>
      <w:b/>
      <w:sz w:val="2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8067F"/>
    <w:pPr>
      <w:spacing w:after="160" w:line="259" w:lineRule="auto"/>
      <w:ind w:left="720"/>
      <w:contextualSpacing/>
    </w:pPr>
    <w:rPr>
      <w:rFonts w:asciiTheme="minorHAnsi" w:eastAsiaTheme="minorHAnsi" w:hAnsiTheme="minorHAnsi" w:cstheme="minorBidi"/>
      <w:sz w:val="22"/>
      <w:szCs w:val="22"/>
      <w:lang w:eastAsia="en-US"/>
    </w:rPr>
  </w:style>
  <w:style w:type="paragraph" w:styleId="Textpoznmkypodiarou">
    <w:name w:val="footnote text"/>
    <w:basedOn w:val="Normlny"/>
    <w:link w:val="TextpoznmkypodiarouChar"/>
    <w:uiPriority w:val="99"/>
    <w:semiHidden/>
    <w:unhideWhenUsed/>
    <w:rsid w:val="00867233"/>
    <w:rPr>
      <w:rFonts w:asciiTheme="minorHAnsi" w:eastAsiaTheme="minorHAnsi" w:hAnsiTheme="minorHAnsi" w:cstheme="minorBidi"/>
      <w:lang w:eastAsia="en-US"/>
    </w:rPr>
  </w:style>
  <w:style w:type="character" w:customStyle="1" w:styleId="TextpoznmkypodiarouChar">
    <w:name w:val="Text poznámky pod čiarou Char"/>
    <w:basedOn w:val="Predvolenpsmoodseku"/>
    <w:link w:val="Textpoznmkypodiarou"/>
    <w:uiPriority w:val="99"/>
    <w:semiHidden/>
    <w:rsid w:val="00867233"/>
    <w:rPr>
      <w:sz w:val="20"/>
      <w:szCs w:val="20"/>
    </w:rPr>
  </w:style>
  <w:style w:type="character" w:styleId="Odkaznapoznmkupodiarou">
    <w:name w:val="footnote reference"/>
    <w:basedOn w:val="Predvolenpsmoodseku"/>
    <w:uiPriority w:val="99"/>
    <w:semiHidden/>
    <w:unhideWhenUsed/>
    <w:rsid w:val="00867233"/>
    <w:rPr>
      <w:vertAlign w:val="superscript"/>
    </w:rPr>
  </w:style>
  <w:style w:type="character" w:customStyle="1" w:styleId="Nadpis1Char">
    <w:name w:val="Nadpis 1 Char"/>
    <w:basedOn w:val="Predvolenpsmoodseku"/>
    <w:link w:val="Nadpis1"/>
    <w:uiPriority w:val="9"/>
    <w:rsid w:val="003A30C9"/>
    <w:rPr>
      <w:rFonts w:ascii="Times New Roman" w:eastAsiaTheme="majorEastAsia" w:hAnsi="Times New Roman" w:cstheme="majorBidi"/>
      <w:b/>
      <w:szCs w:val="32"/>
    </w:rPr>
  </w:style>
  <w:style w:type="character" w:styleId="Odkaznakomentr">
    <w:name w:val="annotation reference"/>
    <w:basedOn w:val="Predvolenpsmoodseku"/>
    <w:uiPriority w:val="99"/>
    <w:semiHidden/>
    <w:unhideWhenUsed/>
    <w:rsid w:val="00F220F1"/>
    <w:rPr>
      <w:sz w:val="16"/>
      <w:szCs w:val="16"/>
    </w:rPr>
  </w:style>
  <w:style w:type="paragraph" w:styleId="Textkomentra">
    <w:name w:val="annotation text"/>
    <w:basedOn w:val="Normlny"/>
    <w:link w:val="TextkomentraChar"/>
    <w:uiPriority w:val="99"/>
    <w:semiHidden/>
    <w:unhideWhenUsed/>
    <w:rsid w:val="00F220F1"/>
    <w:pPr>
      <w:spacing w:after="160"/>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semiHidden/>
    <w:rsid w:val="00F220F1"/>
    <w:rPr>
      <w:sz w:val="20"/>
      <w:szCs w:val="20"/>
    </w:rPr>
  </w:style>
  <w:style w:type="paragraph" w:styleId="Predmetkomentra">
    <w:name w:val="annotation subject"/>
    <w:basedOn w:val="Textkomentra"/>
    <w:next w:val="Textkomentra"/>
    <w:link w:val="PredmetkomentraChar"/>
    <w:uiPriority w:val="99"/>
    <w:semiHidden/>
    <w:unhideWhenUsed/>
    <w:rsid w:val="00F220F1"/>
    <w:rPr>
      <w:b/>
      <w:bCs/>
    </w:rPr>
  </w:style>
  <w:style w:type="character" w:customStyle="1" w:styleId="PredmetkomentraChar">
    <w:name w:val="Predmet komentára Char"/>
    <w:basedOn w:val="TextkomentraChar"/>
    <w:link w:val="Predmetkomentra"/>
    <w:uiPriority w:val="99"/>
    <w:semiHidden/>
    <w:rsid w:val="00F220F1"/>
    <w:rPr>
      <w:b/>
      <w:bCs/>
      <w:sz w:val="20"/>
      <w:szCs w:val="20"/>
    </w:rPr>
  </w:style>
  <w:style w:type="paragraph" w:styleId="Textbubliny">
    <w:name w:val="Balloon Text"/>
    <w:basedOn w:val="Normlny"/>
    <w:link w:val="TextbublinyChar"/>
    <w:uiPriority w:val="99"/>
    <w:semiHidden/>
    <w:unhideWhenUsed/>
    <w:rsid w:val="00F220F1"/>
    <w:rPr>
      <w:rFonts w:ascii="Segoe UI" w:eastAsiaTheme="minorHAnsi" w:hAnsi="Segoe UI" w:cs="Segoe UI"/>
      <w:sz w:val="18"/>
      <w:szCs w:val="18"/>
      <w:lang w:eastAsia="en-US"/>
    </w:rPr>
  </w:style>
  <w:style w:type="character" w:customStyle="1" w:styleId="TextbublinyChar">
    <w:name w:val="Text bubliny Char"/>
    <w:basedOn w:val="Predvolenpsmoodseku"/>
    <w:link w:val="Textbubliny"/>
    <w:uiPriority w:val="99"/>
    <w:semiHidden/>
    <w:rsid w:val="00F220F1"/>
    <w:rPr>
      <w:rFonts w:ascii="Segoe UI" w:hAnsi="Segoe UI" w:cs="Segoe UI"/>
      <w:sz w:val="18"/>
      <w:szCs w:val="18"/>
    </w:rPr>
  </w:style>
  <w:style w:type="paragraph" w:styleId="Hlavika">
    <w:name w:val="header"/>
    <w:basedOn w:val="Normlny"/>
    <w:link w:val="HlavikaChar"/>
    <w:uiPriority w:val="99"/>
    <w:unhideWhenUsed/>
    <w:rsid w:val="008F5373"/>
    <w:pPr>
      <w:tabs>
        <w:tab w:val="center" w:pos="4536"/>
        <w:tab w:val="right" w:pos="9072"/>
      </w:tabs>
    </w:pPr>
  </w:style>
  <w:style w:type="character" w:customStyle="1" w:styleId="HlavikaChar">
    <w:name w:val="Hlavička Char"/>
    <w:basedOn w:val="Predvolenpsmoodseku"/>
    <w:link w:val="Hlavika"/>
    <w:uiPriority w:val="99"/>
    <w:rsid w:val="008F537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8F5373"/>
    <w:pPr>
      <w:tabs>
        <w:tab w:val="center" w:pos="4536"/>
        <w:tab w:val="right" w:pos="9072"/>
      </w:tabs>
    </w:pPr>
  </w:style>
  <w:style w:type="character" w:customStyle="1" w:styleId="PtaChar">
    <w:name w:val="Päta Char"/>
    <w:basedOn w:val="Predvolenpsmoodseku"/>
    <w:link w:val="Pta"/>
    <w:uiPriority w:val="99"/>
    <w:rsid w:val="008F5373"/>
    <w:rPr>
      <w:rFonts w:ascii="Times New Roman" w:eastAsia="Times New Roman" w:hAnsi="Times New Roman" w:cs="Times New Roman"/>
      <w:sz w:val="20"/>
      <w:szCs w:val="20"/>
      <w:lang w:eastAsia="sk-SK"/>
    </w:rPr>
  </w:style>
  <w:style w:type="paragraph" w:customStyle="1" w:styleId="ql-align-justify">
    <w:name w:val="ql-align-justify"/>
    <w:basedOn w:val="Normlny"/>
    <w:rsid w:val="008F5373"/>
    <w:rPr>
      <w:sz w:val="24"/>
      <w:szCs w:val="24"/>
      <w:lang w:val="en-US" w:eastAsia="en-US"/>
    </w:rPr>
  </w:style>
  <w:style w:type="paragraph" w:styleId="Bezriadkovania">
    <w:name w:val="No Spacing"/>
    <w:uiPriority w:val="1"/>
    <w:qFormat/>
    <w:rsid w:val="008F5373"/>
    <w:pPr>
      <w:spacing w:after="0" w:line="240" w:lineRule="auto"/>
    </w:pPr>
    <w:rPr>
      <w:rFonts w:ascii="Times New Roman" w:eastAsia="Times New Roman" w:hAnsi="Times New Roman" w:cs="Times New Roman"/>
      <w:sz w:val="20"/>
      <w:szCs w:val="20"/>
      <w:lang w:eastAsia="sk-SK"/>
    </w:rPr>
  </w:style>
  <w:style w:type="paragraph" w:styleId="Revzia">
    <w:name w:val="Revision"/>
    <w:hidden/>
    <w:uiPriority w:val="99"/>
    <w:semiHidden/>
    <w:rsid w:val="00624ED9"/>
    <w:pPr>
      <w:spacing w:after="0" w:line="240"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8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na-zivotne-prostredie"/>
    <f:field ref="objsubject" par="" edit="true" text=""/>
    <f:field ref="objcreatedby" par="" text="Ňuňuk, Pavol, JUDr."/>
    <f:field ref="objcreatedat" par="" text="6.10.2022 15:24:30"/>
    <f:field ref="objchangedby" par="" text="Administrator, System"/>
    <f:field ref="objmodifiedat" par="" text="6.10.2022 15:24: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4E05EA-5F20-457D-99AA-1D3E4FBF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1133</Words>
  <Characters>6463</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Benová Tímea</cp:lastModifiedBy>
  <cp:revision>4</cp:revision>
  <cp:lastPrinted>2022-11-09T08:08:00Z</cp:lastPrinted>
  <dcterms:created xsi:type="dcterms:W3CDTF">2022-11-08T08:48:00Z</dcterms:created>
  <dcterms:modified xsi:type="dcterms:W3CDTF">2022-11-09T08:08:00Z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style="width:100.0%;height:27px;"&gt;			&lt;p align="center"&gt;&lt;strong&gt;Scenár 3: Verejnosť sa zúčastňuje na tvorbe právneho predpisu</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EÚ</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Pavol Ňuňuk</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pravidlá poskytovania podpory v poľnohospodárstve formou priamych platieb</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Vykonávanie právnych predpisov EÚ</vt:lpwstr>
  </property>
  <property fmtid="{D5CDD505-2E9C-101B-9397-08002B2CF9AE}" pid="23" name="FSC#SKEDITIONSLOVLEX@103.510:plnynazovpredpis">
    <vt:lpwstr> Nariadenie vlády  Slovenskej republiky, ktorým sa ustanovujú pravidlá poskytovania podpory v poľnohospodárstve formou priamych platieb</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9193/2022-410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LP/2022/560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38 až 44 a čl. 107 až 109,</vt:lpwstr>
  </property>
  <property fmtid="{D5CDD505-2E9C-101B-9397-08002B2CF9AE}" pid="47" name="FSC#SKEDITIONSLOVLEX@103.510:AttrStrListDocPropSekundarneLegPravoPO">
    <vt:lpwstr>Nariadenie Európskeho parlamentu a Rady (EÚ) 2021/2115 z 2. decembra 2021, ktorým sa stanovujú pravidlá podpory strategických plánov, ktoré majú zostaviť členské štáty v rámci spoločnej poľnohospodárskej politiky (strategické plány SPP) a ktoré sú financo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obsiahnutý v judikatúre Súdneho dvora Európskej únie.</vt:lpwstr>
  </property>
  <property fmtid="{D5CDD505-2E9C-101B-9397-08002B2CF9AE}" pid="52" name="FSC#SKEDITIONSLOVLEX@103.510:AttrStrListDocPropLehotaPrebratieSmernice">
    <vt:lpwstr>Návrhom nariadenia vlády Slovenskej republiky, ktorým sa ustanovujú pravidlá poskytovania podpory v poľnohospodárstve na základe intervencií vo forme priamych platieb sa nepreberá právny akt Európskej únie.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žiadne z uvedených konaní.</vt:lpwstr>
  </property>
  <property fmtid="{D5CDD505-2E9C-101B-9397-08002B2CF9AE}" pid="55" name="FSC#SKEDITIONSLOVLEX@103.510:AttrStrListDocPropInfoUzPreberanePP">
    <vt:lpwstr>Uvádzané právne akty Európskej únie sú priamo uplatniteľné v členských štátoch Európskej únie, a teda nie sú transponované do právneho poriadku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 rozvoja vidieka Slovenskej republiky predkladá návrh nariadenia vlády Slovenskej republiky, ktorým sa ustanovujú pravidlá poskytovania podpory v&amp;nbsp;poľnohospodárstve formou priamych platieb</vt:lpwstr>
  </property>
  <property fmtid="{D5CDD505-2E9C-101B-9397-08002B2CF9AE}" pid="150" name="FSC#SKEDITIONSLOVLEX@103.510:vytvorenedna">
    <vt:lpwstr>6. 10. 2022</vt:lpwstr>
  </property>
  <property fmtid="{D5CDD505-2E9C-101B-9397-08002B2CF9AE}" pid="151" name="FSC#COOSYSTEM@1.1:Container">
    <vt:lpwstr>COO.2145.1000.3.5217266</vt:lpwstr>
  </property>
  <property fmtid="{D5CDD505-2E9C-101B-9397-08002B2CF9AE}" pid="152" name="FSC#FSCFOLIO@1.1001:docpropproject">
    <vt:lpwstr/>
  </property>
</Properties>
</file>