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8A149" w14:textId="77777777" w:rsidR="009638E0" w:rsidRPr="008617AD" w:rsidRDefault="009638E0" w:rsidP="009638E0">
      <w:pPr>
        <w:spacing w:after="0" w:line="240" w:lineRule="auto"/>
        <w:rPr>
          <w:rFonts w:ascii="Times New Roman" w:hAnsi="Times New Roman" w:cs="Times New Roman"/>
          <w:b/>
          <w:sz w:val="24"/>
          <w:szCs w:val="24"/>
        </w:rPr>
      </w:pPr>
      <w:r w:rsidRPr="008617AD">
        <w:rPr>
          <w:rFonts w:ascii="Times New Roman" w:hAnsi="Times New Roman" w:cs="Times New Roman"/>
          <w:b/>
          <w:sz w:val="24"/>
          <w:szCs w:val="24"/>
        </w:rPr>
        <w:t>B. Osobitná časť</w:t>
      </w:r>
    </w:p>
    <w:p w14:paraId="15C02DD0" w14:textId="77777777" w:rsidR="009638E0" w:rsidRPr="008617AD" w:rsidRDefault="009638E0" w:rsidP="009638E0">
      <w:pPr>
        <w:spacing w:after="0" w:line="240" w:lineRule="auto"/>
        <w:jc w:val="both"/>
        <w:rPr>
          <w:rFonts w:ascii="Times New Roman" w:hAnsi="Times New Roman" w:cs="Times New Roman"/>
          <w:sz w:val="24"/>
          <w:szCs w:val="24"/>
        </w:rPr>
      </w:pPr>
    </w:p>
    <w:p w14:paraId="08AA3233" w14:textId="77777777" w:rsidR="00747F96" w:rsidRPr="004C446C" w:rsidRDefault="009638E0" w:rsidP="009638E0">
      <w:pPr>
        <w:spacing w:after="0" w:line="240" w:lineRule="auto"/>
        <w:jc w:val="both"/>
        <w:rPr>
          <w:rFonts w:ascii="Times New Roman" w:hAnsi="Times New Roman" w:cs="Times New Roman"/>
          <w:b/>
          <w:sz w:val="24"/>
          <w:szCs w:val="24"/>
        </w:rPr>
      </w:pPr>
      <w:r w:rsidRPr="008617AD">
        <w:rPr>
          <w:rFonts w:ascii="Times New Roman" w:hAnsi="Times New Roman" w:cs="Times New Roman"/>
          <w:b/>
          <w:sz w:val="24"/>
          <w:szCs w:val="24"/>
        </w:rPr>
        <w:t xml:space="preserve">K čl. </w:t>
      </w:r>
      <w:r w:rsidR="00EA0C7A" w:rsidRPr="008617AD">
        <w:rPr>
          <w:rFonts w:ascii="Times New Roman" w:hAnsi="Times New Roman" w:cs="Times New Roman"/>
          <w:b/>
          <w:sz w:val="24"/>
          <w:szCs w:val="24"/>
        </w:rPr>
        <w:t>I</w:t>
      </w:r>
    </w:p>
    <w:p w14:paraId="04547365" w14:textId="77777777" w:rsidR="00F8372A" w:rsidRPr="008617AD" w:rsidRDefault="00F8372A" w:rsidP="004A003A">
      <w:pPr>
        <w:spacing w:after="0" w:line="240" w:lineRule="auto"/>
        <w:rPr>
          <w:rFonts w:ascii="Times New Roman" w:hAnsi="Times New Roman" w:cs="Times New Roman"/>
          <w:b/>
          <w:bCs/>
          <w:sz w:val="24"/>
          <w:szCs w:val="24"/>
        </w:rPr>
      </w:pPr>
    </w:p>
    <w:p w14:paraId="36DBAB41" w14:textId="64DBB873" w:rsidR="00436011" w:rsidRPr="008617AD" w:rsidRDefault="004A003A" w:rsidP="004A003A">
      <w:pPr>
        <w:spacing w:after="0" w:line="240" w:lineRule="auto"/>
        <w:rPr>
          <w:rFonts w:ascii="Times New Roman" w:hAnsi="Times New Roman" w:cs="Times New Roman"/>
          <w:b/>
          <w:bCs/>
          <w:sz w:val="24"/>
          <w:szCs w:val="24"/>
        </w:rPr>
      </w:pPr>
      <w:r w:rsidRPr="008617AD">
        <w:rPr>
          <w:rFonts w:ascii="Times New Roman" w:hAnsi="Times New Roman" w:cs="Times New Roman"/>
          <w:b/>
          <w:bCs/>
          <w:sz w:val="24"/>
          <w:szCs w:val="24"/>
        </w:rPr>
        <w:t>K</w:t>
      </w:r>
      <w:r w:rsidR="00305354">
        <w:rPr>
          <w:rFonts w:ascii="Times New Roman" w:hAnsi="Times New Roman" w:cs="Times New Roman"/>
          <w:b/>
          <w:bCs/>
          <w:sz w:val="24"/>
          <w:szCs w:val="24"/>
        </w:rPr>
        <w:t> </w:t>
      </w:r>
      <w:r w:rsidRPr="008617AD">
        <w:rPr>
          <w:rFonts w:ascii="Times New Roman" w:hAnsi="Times New Roman" w:cs="Times New Roman"/>
          <w:b/>
          <w:bCs/>
          <w:sz w:val="24"/>
          <w:szCs w:val="24"/>
        </w:rPr>
        <w:t>bod</w:t>
      </w:r>
      <w:r w:rsidR="003A20E2" w:rsidRPr="008617AD">
        <w:rPr>
          <w:rFonts w:ascii="Times New Roman" w:hAnsi="Times New Roman" w:cs="Times New Roman"/>
          <w:b/>
          <w:bCs/>
          <w:sz w:val="24"/>
          <w:szCs w:val="24"/>
        </w:rPr>
        <w:t>u</w:t>
      </w:r>
      <w:r w:rsidR="00305354">
        <w:rPr>
          <w:rFonts w:ascii="Times New Roman" w:hAnsi="Times New Roman" w:cs="Times New Roman"/>
          <w:b/>
          <w:bCs/>
          <w:sz w:val="24"/>
          <w:szCs w:val="24"/>
        </w:rPr>
        <w:t xml:space="preserve"> </w:t>
      </w:r>
      <w:r w:rsidR="00DD3317" w:rsidRPr="008617AD">
        <w:rPr>
          <w:rFonts w:ascii="Times New Roman" w:hAnsi="Times New Roman" w:cs="Times New Roman"/>
          <w:b/>
          <w:bCs/>
          <w:sz w:val="24"/>
          <w:szCs w:val="24"/>
        </w:rPr>
        <w:t>1</w:t>
      </w:r>
      <w:r w:rsidR="00603507">
        <w:rPr>
          <w:rFonts w:ascii="Times New Roman" w:hAnsi="Times New Roman" w:cs="Times New Roman"/>
          <w:b/>
          <w:bCs/>
          <w:sz w:val="24"/>
          <w:szCs w:val="24"/>
        </w:rPr>
        <w:t xml:space="preserve"> </w:t>
      </w:r>
      <w:r w:rsidR="000E7DFC">
        <w:rPr>
          <w:rFonts w:ascii="Times New Roman" w:hAnsi="Times New Roman" w:cs="Times New Roman"/>
          <w:b/>
          <w:bCs/>
          <w:sz w:val="24"/>
          <w:szCs w:val="24"/>
        </w:rPr>
        <w:t xml:space="preserve">a </w:t>
      </w:r>
      <w:r w:rsidR="006C4FB1">
        <w:rPr>
          <w:rFonts w:ascii="Times New Roman" w:hAnsi="Times New Roman" w:cs="Times New Roman"/>
          <w:b/>
          <w:bCs/>
          <w:sz w:val="24"/>
          <w:szCs w:val="24"/>
        </w:rPr>
        <w:t>10</w:t>
      </w:r>
      <w:r w:rsidR="002E76E4">
        <w:rPr>
          <w:rFonts w:ascii="Times New Roman" w:hAnsi="Times New Roman" w:cs="Times New Roman"/>
          <w:b/>
          <w:bCs/>
          <w:sz w:val="24"/>
          <w:szCs w:val="24"/>
        </w:rPr>
        <w:br/>
      </w:r>
      <w:r w:rsidR="002E76E4" w:rsidRPr="002E76E4">
        <w:rPr>
          <w:rFonts w:ascii="Times New Roman" w:hAnsi="Times New Roman" w:cs="Times New Roman"/>
          <w:b/>
          <w:bCs/>
          <w:i/>
          <w:sz w:val="24"/>
          <w:szCs w:val="24"/>
        </w:rPr>
        <w:t>(</w:t>
      </w:r>
      <w:r w:rsidR="002E76E4">
        <w:rPr>
          <w:rFonts w:ascii="Times New Roman" w:hAnsi="Times New Roman" w:cs="Times New Roman"/>
          <w:b/>
          <w:bCs/>
          <w:i/>
          <w:sz w:val="24"/>
          <w:szCs w:val="24"/>
        </w:rPr>
        <w:t>§ 1 ods. 1 písm. a) a § 2 písm. f)</w:t>
      </w:r>
      <w:r w:rsidR="00A9183D">
        <w:rPr>
          <w:rFonts w:ascii="Times New Roman" w:hAnsi="Times New Roman" w:cs="Times New Roman"/>
          <w:b/>
          <w:bCs/>
          <w:i/>
          <w:sz w:val="24"/>
          <w:szCs w:val="24"/>
        </w:rPr>
        <w:t xml:space="preserve">, až </w:t>
      </w:r>
      <w:r w:rsidR="006C4FB1">
        <w:rPr>
          <w:rFonts w:ascii="Times New Roman" w:hAnsi="Times New Roman" w:cs="Times New Roman"/>
          <w:b/>
          <w:bCs/>
          <w:i/>
          <w:sz w:val="24"/>
          <w:szCs w:val="24"/>
        </w:rPr>
        <w:t>i</w:t>
      </w:r>
      <w:r w:rsidR="00F44EAF">
        <w:rPr>
          <w:rFonts w:ascii="Times New Roman" w:hAnsi="Times New Roman" w:cs="Times New Roman"/>
          <w:b/>
          <w:bCs/>
          <w:i/>
          <w:sz w:val="24"/>
          <w:szCs w:val="24"/>
        </w:rPr>
        <w:t>)</w:t>
      </w:r>
      <w:r w:rsidR="002E76E4" w:rsidRPr="002E76E4">
        <w:rPr>
          <w:rFonts w:ascii="Times New Roman" w:hAnsi="Times New Roman" w:cs="Times New Roman"/>
          <w:b/>
          <w:bCs/>
          <w:i/>
          <w:sz w:val="24"/>
          <w:szCs w:val="24"/>
        </w:rPr>
        <w:t>)</w:t>
      </w:r>
    </w:p>
    <w:p w14:paraId="2445B3FB" w14:textId="77777777" w:rsidR="00436011" w:rsidRPr="008617AD" w:rsidRDefault="00436011" w:rsidP="004A003A">
      <w:pPr>
        <w:spacing w:after="0" w:line="240" w:lineRule="auto"/>
        <w:rPr>
          <w:rFonts w:ascii="Times New Roman" w:hAnsi="Times New Roman" w:cs="Times New Roman"/>
          <w:sz w:val="24"/>
          <w:szCs w:val="24"/>
        </w:rPr>
      </w:pPr>
    </w:p>
    <w:p w14:paraId="21167615" w14:textId="23CEC0E3" w:rsidR="007F12DA" w:rsidRDefault="003F03E8" w:rsidP="007F12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Aktuálne znenie</w:t>
      </w:r>
      <w:r w:rsidR="0081311C">
        <w:rPr>
          <w:rFonts w:ascii="Times New Roman" w:hAnsi="Times New Roman" w:cs="Times New Roman"/>
          <w:sz w:val="24"/>
          <w:szCs w:val="24"/>
        </w:rPr>
        <w:t xml:space="preserve"> </w:t>
      </w:r>
      <w:r w:rsidR="005335AA">
        <w:rPr>
          <w:rFonts w:ascii="Times New Roman" w:hAnsi="Times New Roman" w:cs="Times New Roman"/>
          <w:sz w:val="24"/>
          <w:szCs w:val="24"/>
        </w:rPr>
        <w:t xml:space="preserve">zákona č. 54/2019 </w:t>
      </w:r>
      <w:r>
        <w:rPr>
          <w:rFonts w:ascii="Times New Roman" w:hAnsi="Times New Roman" w:cs="Times New Roman"/>
          <w:sz w:val="24"/>
          <w:szCs w:val="24"/>
        </w:rPr>
        <w:t xml:space="preserve">Z. z. o ochrane oznamovateľov protispoločenskej činnosti a o zmene a doplnení niektorých zákonov </w:t>
      </w:r>
      <w:r w:rsidR="00396473">
        <w:rPr>
          <w:rFonts w:ascii="Times New Roman" w:hAnsi="Times New Roman" w:cs="Times New Roman"/>
          <w:sz w:val="24"/>
          <w:szCs w:val="24"/>
        </w:rPr>
        <w:t xml:space="preserve">(ďalej len „zákon“) </w:t>
      </w:r>
      <w:r>
        <w:rPr>
          <w:rFonts w:ascii="Times New Roman" w:hAnsi="Times New Roman" w:cs="Times New Roman"/>
          <w:sz w:val="24"/>
          <w:szCs w:val="24"/>
        </w:rPr>
        <w:t>poskytuje ochranu len osobám</w:t>
      </w:r>
      <w:r w:rsidR="006C4FB1">
        <w:rPr>
          <w:rFonts w:ascii="Times New Roman" w:hAnsi="Times New Roman" w:cs="Times New Roman"/>
          <w:sz w:val="24"/>
          <w:szCs w:val="24"/>
        </w:rPr>
        <w:t xml:space="preserve"> </w:t>
      </w:r>
      <w:r>
        <w:rPr>
          <w:rFonts w:ascii="Times New Roman" w:hAnsi="Times New Roman" w:cs="Times New Roman"/>
          <w:sz w:val="24"/>
          <w:szCs w:val="24"/>
        </w:rPr>
        <w:t>v pracovnoprávnom vzťahu v súvislosti s oznamovaním kriminality</w:t>
      </w:r>
      <w:r w:rsidR="0021274E">
        <w:rPr>
          <w:rFonts w:ascii="Times New Roman" w:hAnsi="Times New Roman" w:cs="Times New Roman"/>
          <w:sz w:val="24"/>
          <w:szCs w:val="24"/>
        </w:rPr>
        <w:t xml:space="preserve"> a inej protispoločenskej činnosti</w:t>
      </w:r>
      <w:r>
        <w:rPr>
          <w:rFonts w:ascii="Times New Roman" w:hAnsi="Times New Roman" w:cs="Times New Roman"/>
          <w:sz w:val="24"/>
          <w:szCs w:val="24"/>
        </w:rPr>
        <w:t xml:space="preserve">, čo predstavuje výrazné zúženie okruhu osôb, ktorým táto ochrana </w:t>
      </w:r>
      <w:r w:rsidR="00396473">
        <w:rPr>
          <w:rFonts w:ascii="Times New Roman" w:hAnsi="Times New Roman" w:cs="Times New Roman"/>
          <w:sz w:val="24"/>
          <w:szCs w:val="24"/>
        </w:rPr>
        <w:t>bola priznaná</w:t>
      </w:r>
      <w:r w:rsidR="0081311C">
        <w:rPr>
          <w:rFonts w:ascii="Times New Roman" w:hAnsi="Times New Roman" w:cs="Times New Roman"/>
          <w:sz w:val="24"/>
          <w:szCs w:val="24"/>
        </w:rPr>
        <w:t xml:space="preserve"> </w:t>
      </w:r>
      <w:r w:rsidR="00CA40B5">
        <w:rPr>
          <w:rFonts w:ascii="Times New Roman" w:hAnsi="Times New Roman" w:cs="Times New Roman"/>
          <w:sz w:val="24"/>
          <w:szCs w:val="24"/>
        </w:rPr>
        <w:t>v zmysle smernice</w:t>
      </w:r>
      <w:r w:rsidR="0081311C">
        <w:rPr>
          <w:rFonts w:ascii="Times New Roman" w:hAnsi="Times New Roman" w:cs="Times New Roman"/>
          <w:sz w:val="24"/>
          <w:szCs w:val="24"/>
        </w:rPr>
        <w:t xml:space="preserve"> </w:t>
      </w:r>
      <w:r w:rsidRPr="003F03E8">
        <w:rPr>
          <w:rFonts w:ascii="Times New Roman" w:hAnsi="Times New Roman" w:cs="Times New Roman"/>
          <w:sz w:val="24"/>
          <w:szCs w:val="24"/>
        </w:rPr>
        <w:t>Európskeho parlamentu a Rady (EÚ) 2019/1937 z 23. októbra 2019 o ochrane osôb, ktoré nahlasujú porušenia práva Únie</w:t>
      </w:r>
      <w:r w:rsidR="001B0A60">
        <w:rPr>
          <w:rFonts w:ascii="Times New Roman" w:hAnsi="Times New Roman" w:cs="Times New Roman"/>
          <w:sz w:val="24"/>
          <w:szCs w:val="24"/>
        </w:rPr>
        <w:t xml:space="preserve"> (</w:t>
      </w:r>
      <w:r w:rsidR="001B0A60" w:rsidRPr="00D06F04">
        <w:rPr>
          <w:rFonts w:ascii="Times" w:hAnsi="Times" w:cs="Times"/>
          <w:sz w:val="25"/>
          <w:szCs w:val="25"/>
        </w:rPr>
        <w:t>Ú. v. EÚ L 305, 26.11.2019)</w:t>
      </w:r>
      <w:r w:rsidR="001B0A60" w:rsidRPr="003F03E8">
        <w:rPr>
          <w:rFonts w:ascii="Times New Roman" w:hAnsi="Times New Roman" w:cs="Times New Roman"/>
          <w:sz w:val="24"/>
          <w:szCs w:val="24"/>
        </w:rPr>
        <w:t xml:space="preserve"> </w:t>
      </w:r>
      <w:r w:rsidR="00D81CBB">
        <w:rPr>
          <w:rFonts w:ascii="Times New Roman" w:hAnsi="Times New Roman" w:cs="Times New Roman"/>
          <w:sz w:val="24"/>
          <w:szCs w:val="24"/>
        </w:rPr>
        <w:t xml:space="preserve">v platnom znení </w:t>
      </w:r>
      <w:r w:rsidRPr="003F03E8">
        <w:rPr>
          <w:rFonts w:ascii="Times New Roman" w:hAnsi="Times New Roman" w:cs="Times New Roman"/>
          <w:sz w:val="24"/>
          <w:szCs w:val="24"/>
        </w:rPr>
        <w:t>(ďalej len „smernica (EÚ) 2019/1937</w:t>
      </w:r>
      <w:r w:rsidR="009E30CD">
        <w:rPr>
          <w:rFonts w:ascii="Times New Roman" w:hAnsi="Times New Roman" w:cs="Times New Roman"/>
          <w:sz w:val="24"/>
          <w:szCs w:val="24"/>
        </w:rPr>
        <w:t xml:space="preserve"> </w:t>
      </w:r>
      <w:r w:rsidR="00ED647A">
        <w:rPr>
          <w:rFonts w:ascii="Times New Roman" w:hAnsi="Times New Roman" w:cs="Times New Roman"/>
          <w:sz w:val="24"/>
          <w:szCs w:val="24"/>
        </w:rPr>
        <w:t>v platnom znení</w:t>
      </w:r>
      <w:r w:rsidRPr="003F03E8">
        <w:rPr>
          <w:rFonts w:ascii="Times New Roman" w:hAnsi="Times New Roman" w:cs="Times New Roman"/>
          <w:sz w:val="24"/>
          <w:szCs w:val="24"/>
        </w:rPr>
        <w:t>“)</w:t>
      </w:r>
      <w:r>
        <w:rPr>
          <w:rFonts w:ascii="Times New Roman" w:hAnsi="Times New Roman" w:cs="Times New Roman"/>
          <w:sz w:val="24"/>
          <w:szCs w:val="24"/>
        </w:rPr>
        <w:t xml:space="preserve">. </w:t>
      </w:r>
      <w:r w:rsidR="006076DF">
        <w:rPr>
          <w:rFonts w:ascii="Times New Roman" w:hAnsi="Times New Roman" w:cs="Times New Roman"/>
          <w:sz w:val="24"/>
          <w:szCs w:val="24"/>
        </w:rPr>
        <w:t>Zo samotného názvu smernice (EÚ) 2019/1937</w:t>
      </w:r>
      <w:r w:rsidR="00CA4F4C">
        <w:rPr>
          <w:rFonts w:ascii="Times New Roman" w:hAnsi="Times New Roman" w:cs="Times New Roman"/>
          <w:sz w:val="24"/>
          <w:szCs w:val="24"/>
        </w:rPr>
        <w:t xml:space="preserve"> v platnom znení</w:t>
      </w:r>
      <w:r w:rsidR="006076DF">
        <w:rPr>
          <w:rFonts w:ascii="Times New Roman" w:hAnsi="Times New Roman" w:cs="Times New Roman"/>
          <w:sz w:val="24"/>
          <w:szCs w:val="24"/>
        </w:rPr>
        <w:t>, jej obsahu ale i jednotlivých ustanovení a to najmä čl. 4 vyplýva, že primárnym zámerom bolo poskytnúť ochranu akýmkoľvek osobám pracujúcim v súkromnom alebo verejnom sektore, ktoré nahlasujú porušenia práva</w:t>
      </w:r>
      <w:r w:rsidR="0081311C">
        <w:rPr>
          <w:rFonts w:ascii="Times New Roman" w:hAnsi="Times New Roman" w:cs="Times New Roman"/>
          <w:sz w:val="24"/>
          <w:szCs w:val="24"/>
        </w:rPr>
        <w:t xml:space="preserve"> </w:t>
      </w:r>
      <w:r w:rsidR="006076DF">
        <w:rPr>
          <w:rFonts w:ascii="Times New Roman" w:hAnsi="Times New Roman" w:cs="Times New Roman"/>
          <w:sz w:val="24"/>
          <w:szCs w:val="24"/>
        </w:rPr>
        <w:t xml:space="preserve">Európskej únie, pričom tieto osoby </w:t>
      </w:r>
      <w:r w:rsidR="007F12DA">
        <w:rPr>
          <w:rFonts w:ascii="Times New Roman" w:hAnsi="Times New Roman" w:cs="Times New Roman"/>
          <w:sz w:val="24"/>
          <w:szCs w:val="24"/>
        </w:rPr>
        <w:t xml:space="preserve">neboli vymedzené len ako „osoby v pracovnoprávnom vzťahu“. </w:t>
      </w:r>
    </w:p>
    <w:p w14:paraId="75BCCB8F" w14:textId="77777777" w:rsidR="007F12DA" w:rsidRDefault="007F12DA" w:rsidP="007F12DA">
      <w:pPr>
        <w:spacing w:after="0" w:line="240" w:lineRule="auto"/>
        <w:ind w:firstLine="708"/>
        <w:jc w:val="both"/>
        <w:rPr>
          <w:rFonts w:ascii="Times New Roman" w:hAnsi="Times New Roman" w:cs="Times New Roman"/>
          <w:sz w:val="24"/>
          <w:szCs w:val="24"/>
        </w:rPr>
      </w:pPr>
    </w:p>
    <w:p w14:paraId="66DA152C" w14:textId="242550B6" w:rsidR="0061053F" w:rsidRDefault="0061053F" w:rsidP="006105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nadväznosti na vyššie uvedené preto</w:t>
      </w:r>
      <w:r w:rsidR="00396473">
        <w:rPr>
          <w:rFonts w:ascii="Times New Roman" w:hAnsi="Times New Roman" w:cs="Times New Roman"/>
          <w:sz w:val="24"/>
          <w:szCs w:val="24"/>
        </w:rPr>
        <w:t xml:space="preserve"> pôvodné vymedzenie okruhu osôb, ktorým zákon poskytuje ochranu v súvislosti s </w:t>
      </w:r>
      <w:r w:rsidR="006F57BD">
        <w:rPr>
          <w:rFonts w:ascii="Times New Roman" w:hAnsi="Times New Roman" w:cs="Times New Roman"/>
          <w:sz w:val="24"/>
          <w:szCs w:val="24"/>
        </w:rPr>
        <w:t>oznamovaním</w:t>
      </w:r>
      <w:r w:rsidR="00396473">
        <w:rPr>
          <w:rFonts w:ascii="Times New Roman" w:hAnsi="Times New Roman" w:cs="Times New Roman"/>
          <w:sz w:val="24"/>
          <w:szCs w:val="24"/>
        </w:rPr>
        <w:t xml:space="preserve"> protis</w:t>
      </w:r>
      <w:r w:rsidR="000E7DFC">
        <w:rPr>
          <w:rFonts w:ascii="Times New Roman" w:hAnsi="Times New Roman" w:cs="Times New Roman"/>
          <w:sz w:val="24"/>
          <w:szCs w:val="24"/>
        </w:rPr>
        <w:t>poločenskej činnosti</w:t>
      </w:r>
      <w:r w:rsidR="00CA4EC9">
        <w:rPr>
          <w:rFonts w:ascii="Times New Roman" w:hAnsi="Times New Roman" w:cs="Times New Roman"/>
          <w:sz w:val="24"/>
          <w:szCs w:val="24"/>
        </w:rPr>
        <w:t>,</w:t>
      </w:r>
      <w:r w:rsidR="000E7DFC">
        <w:rPr>
          <w:rFonts w:ascii="Times New Roman" w:hAnsi="Times New Roman" w:cs="Times New Roman"/>
          <w:sz w:val="24"/>
          <w:szCs w:val="24"/>
        </w:rPr>
        <w:t xml:space="preserve"> </w:t>
      </w:r>
      <w:r w:rsidR="00396473">
        <w:rPr>
          <w:rFonts w:ascii="Times New Roman" w:hAnsi="Times New Roman" w:cs="Times New Roman"/>
          <w:sz w:val="24"/>
          <w:szCs w:val="24"/>
        </w:rPr>
        <w:t>nebol</w:t>
      </w:r>
      <w:r w:rsidR="000E7DFC">
        <w:rPr>
          <w:rFonts w:ascii="Times New Roman" w:hAnsi="Times New Roman" w:cs="Times New Roman"/>
          <w:sz w:val="24"/>
          <w:szCs w:val="24"/>
        </w:rPr>
        <w:t>o</w:t>
      </w:r>
      <w:r w:rsidR="0081311C">
        <w:rPr>
          <w:rFonts w:ascii="Times New Roman" w:hAnsi="Times New Roman" w:cs="Times New Roman"/>
          <w:sz w:val="24"/>
          <w:szCs w:val="24"/>
        </w:rPr>
        <w:t xml:space="preserve"> </w:t>
      </w:r>
      <w:r w:rsidR="00396473">
        <w:rPr>
          <w:rFonts w:ascii="Times New Roman" w:hAnsi="Times New Roman" w:cs="Times New Roman"/>
          <w:sz w:val="24"/>
          <w:szCs w:val="24"/>
        </w:rPr>
        <w:t>dos</w:t>
      </w:r>
      <w:r w:rsidR="000E7DFC">
        <w:rPr>
          <w:rFonts w:ascii="Times New Roman" w:hAnsi="Times New Roman" w:cs="Times New Roman"/>
          <w:sz w:val="24"/>
          <w:szCs w:val="24"/>
        </w:rPr>
        <w:t>tatočné</w:t>
      </w:r>
      <w:r>
        <w:rPr>
          <w:rFonts w:ascii="Times New Roman" w:hAnsi="Times New Roman" w:cs="Times New Roman"/>
          <w:sz w:val="24"/>
          <w:szCs w:val="24"/>
        </w:rPr>
        <w:t xml:space="preserve"> a z tohto dôvodu</w:t>
      </w:r>
      <w:r w:rsidR="00396473">
        <w:rPr>
          <w:rFonts w:ascii="Times New Roman" w:hAnsi="Times New Roman" w:cs="Times New Roman"/>
          <w:sz w:val="24"/>
          <w:szCs w:val="24"/>
        </w:rPr>
        <w:t xml:space="preserve"> je </w:t>
      </w:r>
      <w:r w:rsidR="00B7197C">
        <w:rPr>
          <w:rFonts w:ascii="Times New Roman" w:hAnsi="Times New Roman" w:cs="Times New Roman"/>
          <w:sz w:val="24"/>
          <w:szCs w:val="24"/>
        </w:rPr>
        <w:t xml:space="preserve">navrhovaná </w:t>
      </w:r>
      <w:r w:rsidR="000E7DFC">
        <w:rPr>
          <w:rFonts w:ascii="Times New Roman" w:hAnsi="Times New Roman" w:cs="Times New Roman"/>
          <w:sz w:val="24"/>
          <w:szCs w:val="24"/>
        </w:rPr>
        <w:t xml:space="preserve">právna </w:t>
      </w:r>
      <w:r w:rsidR="00B7197C">
        <w:rPr>
          <w:rFonts w:ascii="Times New Roman" w:hAnsi="Times New Roman" w:cs="Times New Roman"/>
          <w:sz w:val="24"/>
          <w:szCs w:val="24"/>
        </w:rPr>
        <w:t>úprava zameraná</w:t>
      </w:r>
      <w:r w:rsidR="0081311C">
        <w:rPr>
          <w:rFonts w:ascii="Times New Roman" w:hAnsi="Times New Roman" w:cs="Times New Roman"/>
          <w:sz w:val="24"/>
          <w:szCs w:val="24"/>
        </w:rPr>
        <w:t xml:space="preserve"> </w:t>
      </w:r>
      <w:r w:rsidR="000E7DFC">
        <w:rPr>
          <w:rFonts w:ascii="Times New Roman" w:hAnsi="Times New Roman" w:cs="Times New Roman"/>
          <w:sz w:val="24"/>
          <w:szCs w:val="24"/>
        </w:rPr>
        <w:t xml:space="preserve">i </w:t>
      </w:r>
      <w:r w:rsidR="00396473">
        <w:rPr>
          <w:rFonts w:ascii="Times New Roman" w:hAnsi="Times New Roman" w:cs="Times New Roman"/>
          <w:sz w:val="24"/>
          <w:szCs w:val="24"/>
        </w:rPr>
        <w:t>na úvodné ustanoveni</w:t>
      </w:r>
      <w:r w:rsidR="006F57BD">
        <w:rPr>
          <w:rFonts w:ascii="Times New Roman" w:hAnsi="Times New Roman" w:cs="Times New Roman"/>
          <w:sz w:val="24"/>
          <w:szCs w:val="24"/>
        </w:rPr>
        <w:t>e</w:t>
      </w:r>
      <w:r w:rsidR="00396473">
        <w:rPr>
          <w:rFonts w:ascii="Times New Roman" w:hAnsi="Times New Roman" w:cs="Times New Roman"/>
          <w:sz w:val="24"/>
          <w:szCs w:val="24"/>
        </w:rPr>
        <w:t xml:space="preserve"> § 1 zákona</w:t>
      </w:r>
      <w:r w:rsidR="0081311C">
        <w:rPr>
          <w:rFonts w:ascii="Times New Roman" w:hAnsi="Times New Roman" w:cs="Times New Roman"/>
          <w:sz w:val="24"/>
          <w:szCs w:val="24"/>
        </w:rPr>
        <w:t xml:space="preserve"> </w:t>
      </w:r>
      <w:r w:rsidR="00B7197C">
        <w:rPr>
          <w:rFonts w:ascii="Times New Roman" w:hAnsi="Times New Roman" w:cs="Times New Roman"/>
          <w:sz w:val="24"/>
          <w:szCs w:val="24"/>
        </w:rPr>
        <w:t>s cieľom rozšíriť osobnú pôsobnosť zákona</w:t>
      </w:r>
      <w:r w:rsidR="00BE0D57">
        <w:rPr>
          <w:rFonts w:ascii="Times New Roman" w:hAnsi="Times New Roman" w:cs="Times New Roman"/>
          <w:sz w:val="24"/>
          <w:szCs w:val="24"/>
        </w:rPr>
        <w:t>. Rozhodnutie predkladateľa, na ktoré osoby sa bude, resp. nebude vzťahovať ochrana podľa zákona nebolo svojvo</w:t>
      </w:r>
      <w:r>
        <w:rPr>
          <w:rFonts w:ascii="Times New Roman" w:hAnsi="Times New Roman" w:cs="Times New Roman"/>
          <w:sz w:val="24"/>
          <w:szCs w:val="24"/>
        </w:rPr>
        <w:t xml:space="preserve">ľné, </w:t>
      </w:r>
      <w:proofErr w:type="spellStart"/>
      <w:r>
        <w:rPr>
          <w:rFonts w:ascii="Times New Roman" w:hAnsi="Times New Roman" w:cs="Times New Roman"/>
          <w:sz w:val="24"/>
          <w:szCs w:val="24"/>
        </w:rPr>
        <w:t>v</w:t>
      </w:r>
      <w:r w:rsidRPr="0061053F">
        <w:rPr>
          <w:rFonts w:ascii="Times New Roman" w:hAnsi="Times New Roman" w:cs="Times New Roman"/>
          <w:sz w:val="24"/>
          <w:szCs w:val="24"/>
        </w:rPr>
        <w:t>ice</w:t>
      </w:r>
      <w:proofErr w:type="spellEnd"/>
      <w:r w:rsidRPr="0061053F">
        <w:rPr>
          <w:rFonts w:ascii="Times New Roman" w:hAnsi="Times New Roman" w:cs="Times New Roman"/>
          <w:sz w:val="24"/>
          <w:szCs w:val="24"/>
        </w:rPr>
        <w:t xml:space="preserve"> </w:t>
      </w:r>
      <w:proofErr w:type="spellStart"/>
      <w:r w:rsidRPr="0061053F">
        <w:rPr>
          <w:rFonts w:ascii="Times New Roman" w:hAnsi="Times New Roman" w:cs="Times New Roman"/>
          <w:sz w:val="24"/>
          <w:szCs w:val="24"/>
        </w:rPr>
        <w:t>versa</w:t>
      </w:r>
      <w:proofErr w:type="spellEnd"/>
      <w:r w:rsidR="00BE0D57">
        <w:rPr>
          <w:rFonts w:ascii="Times New Roman" w:hAnsi="Times New Roman" w:cs="Times New Roman"/>
          <w:sz w:val="24"/>
          <w:szCs w:val="24"/>
        </w:rPr>
        <w:t xml:space="preserve"> predkladateľ </w:t>
      </w:r>
      <w:r>
        <w:rPr>
          <w:rFonts w:ascii="Times New Roman" w:hAnsi="Times New Roman" w:cs="Times New Roman"/>
          <w:sz w:val="24"/>
          <w:szCs w:val="24"/>
        </w:rPr>
        <w:t>tieto osoby definoval v súlade so smernicou (EÚ) 2019</w:t>
      </w:r>
      <w:r w:rsidR="0090742D">
        <w:rPr>
          <w:rFonts w:ascii="Times New Roman" w:hAnsi="Times New Roman" w:cs="Times New Roman"/>
          <w:sz w:val="24"/>
          <w:szCs w:val="24"/>
        </w:rPr>
        <w:t>/193</w:t>
      </w:r>
      <w:r>
        <w:rPr>
          <w:rFonts w:ascii="Times New Roman" w:hAnsi="Times New Roman" w:cs="Times New Roman"/>
          <w:sz w:val="24"/>
          <w:szCs w:val="24"/>
        </w:rPr>
        <w:t>7</w:t>
      </w:r>
      <w:r w:rsidR="007B0317">
        <w:rPr>
          <w:rFonts w:ascii="Times New Roman" w:hAnsi="Times New Roman" w:cs="Times New Roman"/>
          <w:sz w:val="24"/>
          <w:szCs w:val="24"/>
        </w:rPr>
        <w:t xml:space="preserve"> v platnom znení</w:t>
      </w:r>
      <w:r>
        <w:rPr>
          <w:rFonts w:ascii="Times New Roman" w:hAnsi="Times New Roman" w:cs="Times New Roman"/>
          <w:sz w:val="24"/>
          <w:szCs w:val="24"/>
        </w:rPr>
        <w:t xml:space="preserve">, pričom navrhovaná právna úprava nie </w:t>
      </w:r>
      <w:r w:rsidR="00DE7D8A">
        <w:rPr>
          <w:rFonts w:ascii="Times New Roman" w:hAnsi="Times New Roman" w:cs="Times New Roman"/>
          <w:sz w:val="24"/>
          <w:szCs w:val="24"/>
        </w:rPr>
        <w:t xml:space="preserve">je </w:t>
      </w:r>
      <w:r>
        <w:rPr>
          <w:rFonts w:ascii="Times New Roman" w:hAnsi="Times New Roman" w:cs="Times New Roman"/>
          <w:sz w:val="24"/>
          <w:szCs w:val="24"/>
        </w:rPr>
        <w:t xml:space="preserve">vo vzťahu k úniovému právu zextenzívnená. </w:t>
      </w:r>
    </w:p>
    <w:p w14:paraId="576B2C4C" w14:textId="77777777" w:rsidR="000E7DFC" w:rsidRDefault="000E7DFC" w:rsidP="000D0D6E">
      <w:pPr>
        <w:spacing w:after="0" w:line="240" w:lineRule="auto"/>
        <w:jc w:val="both"/>
        <w:rPr>
          <w:rFonts w:ascii="Times New Roman" w:hAnsi="Times New Roman" w:cs="Times New Roman"/>
          <w:sz w:val="24"/>
          <w:szCs w:val="24"/>
        </w:rPr>
      </w:pPr>
    </w:p>
    <w:p w14:paraId="6DCCB234" w14:textId="5A79DB14" w:rsidR="00DE7B36" w:rsidRDefault="00BE0D57" w:rsidP="00A911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Základným kritériom </w:t>
      </w:r>
      <w:r w:rsidR="00DC775D">
        <w:rPr>
          <w:rFonts w:ascii="Times New Roman" w:hAnsi="Times New Roman" w:cs="Times New Roman"/>
          <w:sz w:val="24"/>
          <w:szCs w:val="24"/>
        </w:rPr>
        <w:t xml:space="preserve">pre </w:t>
      </w:r>
      <w:r w:rsidR="00D67793">
        <w:rPr>
          <w:rFonts w:ascii="Times New Roman" w:hAnsi="Times New Roman" w:cs="Times New Roman"/>
          <w:sz w:val="24"/>
          <w:szCs w:val="24"/>
        </w:rPr>
        <w:t xml:space="preserve">určenie osôb, </w:t>
      </w:r>
      <w:r w:rsidR="00A911B4">
        <w:rPr>
          <w:rFonts w:ascii="Times New Roman" w:hAnsi="Times New Roman" w:cs="Times New Roman"/>
          <w:sz w:val="24"/>
          <w:szCs w:val="24"/>
        </w:rPr>
        <w:t>na ktoré sa bude vzťahovať osobná pôsobnosť zákona</w:t>
      </w:r>
      <w:r w:rsidR="00D67793">
        <w:rPr>
          <w:rFonts w:ascii="Times New Roman" w:hAnsi="Times New Roman" w:cs="Times New Roman"/>
          <w:sz w:val="24"/>
          <w:szCs w:val="24"/>
        </w:rPr>
        <w:t xml:space="preserve"> bolo vymedzenie </w:t>
      </w:r>
      <w:r w:rsidR="00DC775D">
        <w:rPr>
          <w:rFonts w:ascii="Times New Roman" w:hAnsi="Times New Roman" w:cs="Times New Roman"/>
          <w:sz w:val="24"/>
          <w:szCs w:val="24"/>
        </w:rPr>
        <w:t>okruhu osôb, ktoré</w:t>
      </w:r>
      <w:r w:rsidR="0081311C">
        <w:rPr>
          <w:rFonts w:ascii="Times New Roman" w:hAnsi="Times New Roman" w:cs="Times New Roman"/>
          <w:sz w:val="24"/>
          <w:szCs w:val="24"/>
        </w:rPr>
        <w:t xml:space="preserve"> </w:t>
      </w:r>
      <w:r w:rsidR="00DC775D" w:rsidRPr="00DC775D">
        <w:rPr>
          <w:rFonts w:ascii="Times New Roman" w:hAnsi="Times New Roman" w:cs="Times New Roman"/>
          <w:sz w:val="24"/>
          <w:szCs w:val="24"/>
        </w:rPr>
        <w:t xml:space="preserve">pracujú pre verejnú alebo súkromnú organizáciu alebo </w:t>
      </w:r>
      <w:r w:rsidR="00DC775D">
        <w:rPr>
          <w:rFonts w:ascii="Times New Roman" w:hAnsi="Times New Roman" w:cs="Times New Roman"/>
          <w:sz w:val="24"/>
          <w:szCs w:val="24"/>
        </w:rPr>
        <w:t xml:space="preserve">sú/ alebo boli </w:t>
      </w:r>
      <w:r w:rsidR="00DC775D" w:rsidRPr="00DC775D">
        <w:rPr>
          <w:rFonts w:ascii="Times New Roman" w:hAnsi="Times New Roman" w:cs="Times New Roman"/>
          <w:sz w:val="24"/>
          <w:szCs w:val="24"/>
        </w:rPr>
        <w:t>v styku s takouto organizáciou</w:t>
      </w:r>
      <w:r w:rsidR="00DC775D">
        <w:rPr>
          <w:rFonts w:ascii="Times New Roman" w:hAnsi="Times New Roman" w:cs="Times New Roman"/>
          <w:sz w:val="24"/>
          <w:szCs w:val="24"/>
        </w:rPr>
        <w:t>.</w:t>
      </w:r>
      <w:r w:rsidR="0081311C">
        <w:rPr>
          <w:rFonts w:ascii="Times New Roman" w:hAnsi="Times New Roman" w:cs="Times New Roman"/>
          <w:sz w:val="24"/>
          <w:szCs w:val="24"/>
        </w:rPr>
        <w:t xml:space="preserve"> </w:t>
      </w:r>
      <w:r w:rsidR="002430A4">
        <w:rPr>
          <w:rFonts w:ascii="Times New Roman" w:hAnsi="Times New Roman" w:cs="Times New Roman"/>
          <w:sz w:val="24"/>
          <w:szCs w:val="24"/>
        </w:rPr>
        <w:t>Na veľkú časť tejto skupiny bolo možné aplikovať ustanovenia tohto zákona už v minulosti, pretože jej zástupcovia spĺňali požiadavku pracovnoprávneho vzťahu, v kontexte ktorého urobili oznámenie. S verejnými či s</w:t>
      </w:r>
      <w:r w:rsidR="00A911B4">
        <w:rPr>
          <w:rFonts w:ascii="Times New Roman" w:hAnsi="Times New Roman" w:cs="Times New Roman"/>
          <w:sz w:val="24"/>
          <w:szCs w:val="24"/>
        </w:rPr>
        <w:t>úk</w:t>
      </w:r>
      <w:r w:rsidR="002430A4">
        <w:rPr>
          <w:rFonts w:ascii="Times New Roman" w:hAnsi="Times New Roman" w:cs="Times New Roman"/>
          <w:sz w:val="24"/>
          <w:szCs w:val="24"/>
        </w:rPr>
        <w:t>r</w:t>
      </w:r>
      <w:r w:rsidR="00A911B4">
        <w:rPr>
          <w:rFonts w:ascii="Times New Roman" w:hAnsi="Times New Roman" w:cs="Times New Roman"/>
          <w:sz w:val="24"/>
          <w:szCs w:val="24"/>
        </w:rPr>
        <w:t>o</w:t>
      </w:r>
      <w:r w:rsidR="002430A4">
        <w:rPr>
          <w:rFonts w:ascii="Times New Roman" w:hAnsi="Times New Roman" w:cs="Times New Roman"/>
          <w:sz w:val="24"/>
          <w:szCs w:val="24"/>
        </w:rPr>
        <w:t xml:space="preserve">mnými organizáciami však </w:t>
      </w:r>
      <w:r w:rsidR="00A911B4">
        <w:rPr>
          <w:rFonts w:ascii="Times New Roman" w:hAnsi="Times New Roman" w:cs="Times New Roman"/>
          <w:sz w:val="24"/>
          <w:szCs w:val="24"/>
        </w:rPr>
        <w:t xml:space="preserve">častokrát </w:t>
      </w:r>
      <w:r w:rsidR="002430A4">
        <w:rPr>
          <w:rFonts w:ascii="Times New Roman" w:hAnsi="Times New Roman" w:cs="Times New Roman"/>
          <w:sz w:val="24"/>
          <w:szCs w:val="24"/>
        </w:rPr>
        <w:t xml:space="preserve">prichádzajú do </w:t>
      </w:r>
      <w:r w:rsidR="00C5325C">
        <w:rPr>
          <w:rFonts w:ascii="Times New Roman" w:hAnsi="Times New Roman" w:cs="Times New Roman"/>
          <w:sz w:val="24"/>
          <w:szCs w:val="24"/>
        </w:rPr>
        <w:t xml:space="preserve">pracovného </w:t>
      </w:r>
      <w:r w:rsidR="002430A4">
        <w:rPr>
          <w:rFonts w:ascii="Times New Roman" w:hAnsi="Times New Roman" w:cs="Times New Roman"/>
          <w:sz w:val="24"/>
          <w:szCs w:val="24"/>
        </w:rPr>
        <w:t>kontaktu i iné fyzické osoby,</w:t>
      </w:r>
      <w:r w:rsidR="00A911B4">
        <w:rPr>
          <w:rFonts w:ascii="Times New Roman" w:hAnsi="Times New Roman" w:cs="Times New Roman"/>
          <w:sz w:val="24"/>
          <w:szCs w:val="24"/>
        </w:rPr>
        <w:t xml:space="preserve"> ako ich zamestnanci</w:t>
      </w:r>
      <w:r w:rsidR="002430A4">
        <w:rPr>
          <w:rFonts w:ascii="Times New Roman" w:hAnsi="Times New Roman" w:cs="Times New Roman"/>
          <w:sz w:val="24"/>
          <w:szCs w:val="24"/>
        </w:rPr>
        <w:t xml:space="preserve">. Tieto </w:t>
      </w:r>
      <w:r w:rsidR="00A911B4">
        <w:rPr>
          <w:rFonts w:ascii="Times New Roman" w:hAnsi="Times New Roman" w:cs="Times New Roman"/>
          <w:sz w:val="24"/>
          <w:szCs w:val="24"/>
        </w:rPr>
        <w:t xml:space="preserve">fyzické </w:t>
      </w:r>
      <w:r w:rsidR="002430A4">
        <w:rPr>
          <w:rFonts w:ascii="Times New Roman" w:hAnsi="Times New Roman" w:cs="Times New Roman"/>
          <w:sz w:val="24"/>
          <w:szCs w:val="24"/>
        </w:rPr>
        <w:t xml:space="preserve">osoby môžu </w:t>
      </w:r>
      <w:r w:rsidR="00A911B4">
        <w:rPr>
          <w:rFonts w:ascii="Times New Roman" w:hAnsi="Times New Roman" w:cs="Times New Roman"/>
          <w:sz w:val="24"/>
          <w:szCs w:val="24"/>
        </w:rPr>
        <w:t>nadväzovať</w:t>
      </w:r>
      <w:r w:rsidR="002430A4">
        <w:rPr>
          <w:rFonts w:ascii="Times New Roman" w:hAnsi="Times New Roman" w:cs="Times New Roman"/>
          <w:sz w:val="24"/>
          <w:szCs w:val="24"/>
        </w:rPr>
        <w:t xml:space="preserve"> vzťahy s inými verejnými alebo súkromnými organizáciami za účelom zárobku, ako napríklad podnikatelia – živnostníci, či osoby </w:t>
      </w:r>
      <w:r w:rsidR="00A911B4">
        <w:rPr>
          <w:rFonts w:ascii="Times New Roman" w:hAnsi="Times New Roman" w:cs="Times New Roman"/>
          <w:sz w:val="24"/>
          <w:szCs w:val="24"/>
        </w:rPr>
        <w:t>zastávajúce funkcie v</w:t>
      </w:r>
      <w:r w:rsidR="0081311C">
        <w:rPr>
          <w:rFonts w:ascii="Times New Roman" w:hAnsi="Times New Roman" w:cs="Times New Roman"/>
          <w:sz w:val="24"/>
          <w:szCs w:val="24"/>
        </w:rPr>
        <w:t> </w:t>
      </w:r>
      <w:r w:rsidR="00A911B4">
        <w:rPr>
          <w:rFonts w:ascii="Times New Roman" w:hAnsi="Times New Roman" w:cs="Times New Roman"/>
          <w:sz w:val="24"/>
          <w:szCs w:val="24"/>
        </w:rPr>
        <w:t>rôznych</w:t>
      </w:r>
      <w:r w:rsidR="0081311C">
        <w:rPr>
          <w:rFonts w:ascii="Times New Roman" w:hAnsi="Times New Roman" w:cs="Times New Roman"/>
          <w:sz w:val="24"/>
          <w:szCs w:val="24"/>
        </w:rPr>
        <w:t xml:space="preserve"> </w:t>
      </w:r>
      <w:r w:rsidR="00A911B4">
        <w:rPr>
          <w:rFonts w:ascii="Times New Roman" w:hAnsi="Times New Roman" w:cs="Times New Roman"/>
          <w:sz w:val="24"/>
          <w:szCs w:val="24"/>
        </w:rPr>
        <w:t>právnických osobách</w:t>
      </w:r>
      <w:r w:rsidR="002430A4">
        <w:rPr>
          <w:rFonts w:ascii="Times New Roman" w:hAnsi="Times New Roman" w:cs="Times New Roman"/>
          <w:sz w:val="24"/>
          <w:szCs w:val="24"/>
        </w:rPr>
        <w:t xml:space="preserve">, </w:t>
      </w:r>
      <w:r w:rsidR="00A911B4">
        <w:rPr>
          <w:rFonts w:ascii="Times New Roman" w:hAnsi="Times New Roman" w:cs="Times New Roman"/>
          <w:sz w:val="24"/>
          <w:szCs w:val="24"/>
        </w:rPr>
        <w:t>alebo z</w:t>
      </w:r>
      <w:r w:rsidR="00F23BAA">
        <w:rPr>
          <w:rFonts w:ascii="Times New Roman" w:hAnsi="Times New Roman" w:cs="Times New Roman"/>
          <w:sz w:val="24"/>
          <w:szCs w:val="24"/>
        </w:rPr>
        <w:t>a účelom nadobudnutia praxe či</w:t>
      </w:r>
      <w:r w:rsidR="00A911B4">
        <w:rPr>
          <w:rFonts w:ascii="Times New Roman" w:hAnsi="Times New Roman" w:cs="Times New Roman"/>
          <w:sz w:val="24"/>
          <w:szCs w:val="24"/>
        </w:rPr>
        <w:t xml:space="preserve"> iných odborných zručností</w:t>
      </w:r>
      <w:r w:rsidR="00F23BAA">
        <w:rPr>
          <w:rFonts w:ascii="Times New Roman" w:hAnsi="Times New Roman" w:cs="Times New Roman"/>
          <w:sz w:val="24"/>
          <w:szCs w:val="24"/>
        </w:rPr>
        <w:t>,</w:t>
      </w:r>
      <w:r w:rsidR="00A911B4">
        <w:rPr>
          <w:rFonts w:ascii="Times New Roman" w:hAnsi="Times New Roman" w:cs="Times New Roman"/>
          <w:sz w:val="24"/>
          <w:szCs w:val="24"/>
        </w:rPr>
        <w:t xml:space="preserve"> ako sú napríklad stážisti, dobrovo</w:t>
      </w:r>
      <w:r w:rsidR="00F23BAA">
        <w:rPr>
          <w:rFonts w:ascii="Times New Roman" w:hAnsi="Times New Roman" w:cs="Times New Roman"/>
          <w:sz w:val="24"/>
          <w:szCs w:val="24"/>
        </w:rPr>
        <w:t>ľníci a</w:t>
      </w:r>
      <w:r w:rsidR="00A911B4">
        <w:rPr>
          <w:rFonts w:ascii="Times New Roman" w:hAnsi="Times New Roman" w:cs="Times New Roman"/>
          <w:sz w:val="24"/>
          <w:szCs w:val="24"/>
        </w:rPr>
        <w:t xml:space="preserve"> iní odborní praktikanti atď. Z tohto dôvodu predkladateľ v</w:t>
      </w:r>
      <w:r w:rsidR="00305354">
        <w:rPr>
          <w:rFonts w:ascii="Times New Roman" w:hAnsi="Times New Roman" w:cs="Times New Roman"/>
          <w:sz w:val="24"/>
          <w:szCs w:val="24"/>
        </w:rPr>
        <w:t xml:space="preserve"> navrhovanom </w:t>
      </w:r>
      <w:r w:rsidR="00A911B4">
        <w:rPr>
          <w:rFonts w:ascii="Times New Roman" w:hAnsi="Times New Roman" w:cs="Times New Roman"/>
          <w:sz w:val="24"/>
          <w:szCs w:val="24"/>
        </w:rPr>
        <w:t>§ 2 písm.</w:t>
      </w:r>
      <w:r w:rsidR="00171AB3">
        <w:rPr>
          <w:rFonts w:ascii="Times New Roman" w:hAnsi="Times New Roman" w:cs="Times New Roman"/>
          <w:sz w:val="24"/>
          <w:szCs w:val="24"/>
        </w:rPr>
        <w:t xml:space="preserve"> f</w:t>
      </w:r>
      <w:r w:rsidR="00A911B4">
        <w:rPr>
          <w:rFonts w:ascii="Times New Roman" w:hAnsi="Times New Roman" w:cs="Times New Roman"/>
          <w:sz w:val="24"/>
          <w:szCs w:val="24"/>
        </w:rPr>
        <w:t xml:space="preserve">) (čl. I bod </w:t>
      </w:r>
      <w:r w:rsidR="006C4FB1">
        <w:rPr>
          <w:rFonts w:ascii="Times New Roman" w:hAnsi="Times New Roman" w:cs="Times New Roman"/>
          <w:sz w:val="24"/>
          <w:szCs w:val="24"/>
        </w:rPr>
        <w:t>10</w:t>
      </w:r>
      <w:r w:rsidR="00A911B4">
        <w:rPr>
          <w:rFonts w:ascii="Times New Roman" w:hAnsi="Times New Roman" w:cs="Times New Roman"/>
          <w:sz w:val="24"/>
          <w:szCs w:val="24"/>
        </w:rPr>
        <w:t xml:space="preserve">.) </w:t>
      </w:r>
      <w:r w:rsidR="00574712">
        <w:rPr>
          <w:rFonts w:ascii="Times New Roman" w:hAnsi="Times New Roman" w:cs="Times New Roman"/>
          <w:sz w:val="24"/>
          <w:szCs w:val="24"/>
        </w:rPr>
        <w:t xml:space="preserve">návrhu zákona, </w:t>
      </w:r>
      <w:r w:rsidR="00574712" w:rsidRPr="00574712">
        <w:rPr>
          <w:rFonts w:ascii="Times New Roman" w:hAnsi="Times New Roman" w:cs="Times New Roman"/>
          <w:sz w:val="24"/>
          <w:szCs w:val="24"/>
        </w:rPr>
        <w:t xml:space="preserve">ktorým sa mení a dopĺňa zákon č. 54/2019 Z. z. o ochrane oznamovateľov protispoločenskej činnosti a o zmene a doplnení niektorých zákonov a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r w:rsidR="006408B7">
        <w:rPr>
          <w:rFonts w:ascii="Times New Roman" w:hAnsi="Times New Roman" w:cs="Times New Roman"/>
          <w:sz w:val="24"/>
          <w:szCs w:val="24"/>
        </w:rPr>
        <w:t xml:space="preserve">(ďalej len „návrh zákona“) </w:t>
      </w:r>
      <w:r w:rsidR="0007565D">
        <w:rPr>
          <w:rFonts w:ascii="Times New Roman" w:hAnsi="Times New Roman" w:cs="Times New Roman"/>
          <w:sz w:val="24"/>
          <w:szCs w:val="24"/>
        </w:rPr>
        <w:t>vymedzuje, čo sa rozumie pod pojmom</w:t>
      </w:r>
      <w:r w:rsidR="00B7197C">
        <w:rPr>
          <w:rFonts w:ascii="Times New Roman" w:hAnsi="Times New Roman" w:cs="Times New Roman"/>
          <w:sz w:val="24"/>
          <w:szCs w:val="24"/>
        </w:rPr>
        <w:t xml:space="preserve"> „v inom obdobnom vzťahu“</w:t>
      </w:r>
      <w:r w:rsidR="00A911B4">
        <w:rPr>
          <w:rFonts w:ascii="Times New Roman" w:hAnsi="Times New Roman" w:cs="Times New Roman"/>
          <w:sz w:val="24"/>
          <w:szCs w:val="24"/>
        </w:rPr>
        <w:t xml:space="preserve">, resp. uvádza </w:t>
      </w:r>
      <w:r w:rsidR="00DE7B36">
        <w:rPr>
          <w:rFonts w:ascii="Times New Roman" w:hAnsi="Times New Roman" w:cs="Times New Roman"/>
          <w:sz w:val="24"/>
          <w:szCs w:val="24"/>
        </w:rPr>
        <w:t xml:space="preserve">demonštratívny </w:t>
      </w:r>
      <w:r w:rsidR="00A911B4">
        <w:rPr>
          <w:rFonts w:ascii="Times New Roman" w:hAnsi="Times New Roman" w:cs="Times New Roman"/>
          <w:sz w:val="24"/>
          <w:szCs w:val="24"/>
        </w:rPr>
        <w:t xml:space="preserve">výpočet činností, </w:t>
      </w:r>
      <w:r w:rsidR="00622EF1">
        <w:rPr>
          <w:rFonts w:ascii="Times New Roman" w:hAnsi="Times New Roman" w:cs="Times New Roman"/>
          <w:sz w:val="24"/>
          <w:szCs w:val="24"/>
        </w:rPr>
        <w:t>počas ktorých</w:t>
      </w:r>
      <w:r w:rsidR="0081311C">
        <w:rPr>
          <w:rFonts w:ascii="Times New Roman" w:hAnsi="Times New Roman" w:cs="Times New Roman"/>
          <w:sz w:val="24"/>
          <w:szCs w:val="24"/>
        </w:rPr>
        <w:t xml:space="preserve"> </w:t>
      </w:r>
      <w:r w:rsidR="00A911B4">
        <w:rPr>
          <w:rFonts w:ascii="Times New Roman" w:hAnsi="Times New Roman" w:cs="Times New Roman"/>
          <w:sz w:val="24"/>
          <w:szCs w:val="24"/>
        </w:rPr>
        <w:t>v prípade n</w:t>
      </w:r>
      <w:r w:rsidR="0007565D">
        <w:rPr>
          <w:rFonts w:ascii="Times New Roman" w:hAnsi="Times New Roman" w:cs="Times New Roman"/>
          <w:sz w:val="24"/>
          <w:szCs w:val="24"/>
        </w:rPr>
        <w:t>adviazania</w:t>
      </w:r>
      <w:r w:rsidR="00A911B4">
        <w:rPr>
          <w:rFonts w:ascii="Times New Roman" w:hAnsi="Times New Roman" w:cs="Times New Roman"/>
          <w:sz w:val="24"/>
          <w:szCs w:val="24"/>
        </w:rPr>
        <w:t xml:space="preserve"> kontaktu </w:t>
      </w:r>
      <w:r w:rsidR="0007565D">
        <w:rPr>
          <w:rFonts w:ascii="Times New Roman" w:hAnsi="Times New Roman" w:cs="Times New Roman"/>
          <w:sz w:val="24"/>
          <w:szCs w:val="24"/>
        </w:rPr>
        <w:t xml:space="preserve">medzi dotknutým subjektom </w:t>
      </w:r>
      <w:r w:rsidR="007A7920">
        <w:rPr>
          <w:rFonts w:ascii="Times New Roman" w:hAnsi="Times New Roman" w:cs="Times New Roman"/>
          <w:sz w:val="24"/>
          <w:szCs w:val="24"/>
        </w:rPr>
        <w:t xml:space="preserve">(osobou) </w:t>
      </w:r>
      <w:r w:rsidR="0007565D">
        <w:rPr>
          <w:rFonts w:ascii="Times New Roman" w:hAnsi="Times New Roman" w:cs="Times New Roman"/>
          <w:sz w:val="24"/>
          <w:szCs w:val="24"/>
        </w:rPr>
        <w:t xml:space="preserve">a </w:t>
      </w:r>
      <w:r w:rsidR="00A911B4">
        <w:rPr>
          <w:rFonts w:ascii="Times New Roman" w:hAnsi="Times New Roman" w:cs="Times New Roman"/>
          <w:sz w:val="24"/>
          <w:szCs w:val="24"/>
        </w:rPr>
        <w:t xml:space="preserve">verejnou alebo súkromnou organizáciou </w:t>
      </w:r>
      <w:r w:rsidR="00622EF1">
        <w:rPr>
          <w:rFonts w:ascii="Times New Roman" w:hAnsi="Times New Roman" w:cs="Times New Roman"/>
          <w:sz w:val="24"/>
          <w:szCs w:val="24"/>
        </w:rPr>
        <w:t xml:space="preserve">sa môže </w:t>
      </w:r>
      <w:r w:rsidR="0007565D">
        <w:rPr>
          <w:rFonts w:ascii="Times New Roman" w:hAnsi="Times New Roman" w:cs="Times New Roman"/>
          <w:sz w:val="24"/>
          <w:szCs w:val="24"/>
        </w:rPr>
        <w:t>vytvoriť</w:t>
      </w:r>
      <w:r w:rsidR="00A911B4">
        <w:rPr>
          <w:rFonts w:ascii="Times New Roman" w:hAnsi="Times New Roman" w:cs="Times New Roman"/>
          <w:sz w:val="24"/>
          <w:szCs w:val="24"/>
        </w:rPr>
        <w:t xml:space="preserve"> „</w:t>
      </w:r>
      <w:r w:rsidR="0007565D">
        <w:rPr>
          <w:rFonts w:ascii="Times New Roman" w:hAnsi="Times New Roman" w:cs="Times New Roman"/>
          <w:sz w:val="24"/>
          <w:szCs w:val="24"/>
        </w:rPr>
        <w:t>iný o</w:t>
      </w:r>
      <w:r w:rsidR="00A911B4">
        <w:rPr>
          <w:rFonts w:ascii="Times New Roman" w:hAnsi="Times New Roman" w:cs="Times New Roman"/>
          <w:sz w:val="24"/>
          <w:szCs w:val="24"/>
        </w:rPr>
        <w:t>b</w:t>
      </w:r>
      <w:r w:rsidR="0007565D">
        <w:rPr>
          <w:rFonts w:ascii="Times New Roman" w:hAnsi="Times New Roman" w:cs="Times New Roman"/>
          <w:sz w:val="24"/>
          <w:szCs w:val="24"/>
        </w:rPr>
        <w:t>dob</w:t>
      </w:r>
      <w:r w:rsidR="00A911B4">
        <w:rPr>
          <w:rFonts w:ascii="Times New Roman" w:hAnsi="Times New Roman" w:cs="Times New Roman"/>
          <w:sz w:val="24"/>
          <w:szCs w:val="24"/>
        </w:rPr>
        <w:t xml:space="preserve">ný vzťah“. </w:t>
      </w:r>
      <w:r w:rsidR="0007565D">
        <w:rPr>
          <w:rFonts w:ascii="Times New Roman" w:hAnsi="Times New Roman" w:cs="Times New Roman"/>
          <w:sz w:val="24"/>
          <w:szCs w:val="24"/>
        </w:rPr>
        <w:t xml:space="preserve">Všetky tieto činnosti je potrebné vždy posudzovať v kontexte vzájomného vzťahu medzi </w:t>
      </w:r>
      <w:r w:rsidR="00622EF1">
        <w:rPr>
          <w:rFonts w:ascii="Times New Roman" w:hAnsi="Times New Roman" w:cs="Times New Roman"/>
          <w:sz w:val="24"/>
          <w:szCs w:val="24"/>
        </w:rPr>
        <w:t xml:space="preserve">konkrétnou </w:t>
      </w:r>
      <w:r w:rsidR="0007565D">
        <w:rPr>
          <w:rFonts w:ascii="Times New Roman" w:hAnsi="Times New Roman" w:cs="Times New Roman"/>
          <w:sz w:val="24"/>
          <w:szCs w:val="24"/>
        </w:rPr>
        <w:t xml:space="preserve">fyzickou osobou a dotknutou verejnou alebo súkromnou organizáciou. </w:t>
      </w:r>
      <w:r w:rsidR="007A7920">
        <w:rPr>
          <w:rFonts w:ascii="Times New Roman" w:hAnsi="Times New Roman" w:cs="Times New Roman"/>
          <w:sz w:val="24"/>
          <w:szCs w:val="24"/>
        </w:rPr>
        <w:t xml:space="preserve">V tomto kontexte je na záver potrebné zvýrazniť, že </w:t>
      </w:r>
      <w:r w:rsidR="00305354">
        <w:rPr>
          <w:rFonts w:ascii="Times New Roman" w:hAnsi="Times New Roman" w:cs="Times New Roman"/>
          <w:sz w:val="24"/>
          <w:szCs w:val="24"/>
        </w:rPr>
        <w:t xml:space="preserve">navrhované </w:t>
      </w:r>
      <w:r w:rsidR="007A7920">
        <w:rPr>
          <w:rFonts w:ascii="Times New Roman" w:hAnsi="Times New Roman" w:cs="Times New Roman"/>
          <w:sz w:val="24"/>
          <w:szCs w:val="24"/>
        </w:rPr>
        <w:t xml:space="preserve">ustanovenie § 2 písm. f) </w:t>
      </w:r>
      <w:r w:rsidR="006408B7">
        <w:rPr>
          <w:rFonts w:ascii="Times New Roman" w:hAnsi="Times New Roman" w:cs="Times New Roman"/>
          <w:sz w:val="24"/>
          <w:szCs w:val="24"/>
        </w:rPr>
        <w:t xml:space="preserve">návrhu zákona </w:t>
      </w:r>
      <w:r w:rsidR="007A7920">
        <w:rPr>
          <w:rFonts w:ascii="Times New Roman" w:hAnsi="Times New Roman" w:cs="Times New Roman"/>
          <w:sz w:val="24"/>
          <w:szCs w:val="24"/>
        </w:rPr>
        <w:t xml:space="preserve">neobsahuje </w:t>
      </w:r>
      <w:r w:rsidR="007A7920">
        <w:rPr>
          <w:rFonts w:ascii="Times New Roman" w:hAnsi="Times New Roman" w:cs="Times New Roman"/>
          <w:sz w:val="24"/>
          <w:szCs w:val="24"/>
        </w:rPr>
        <w:lastRenderedPageBreak/>
        <w:t xml:space="preserve">explicitne </w:t>
      </w:r>
      <w:r w:rsidR="00E238BB">
        <w:rPr>
          <w:rFonts w:ascii="Times New Roman" w:hAnsi="Times New Roman" w:cs="Times New Roman"/>
          <w:sz w:val="24"/>
          <w:szCs w:val="24"/>
        </w:rPr>
        <w:t xml:space="preserve">stanovený </w:t>
      </w:r>
      <w:proofErr w:type="spellStart"/>
      <w:r w:rsidR="00E238BB">
        <w:rPr>
          <w:rFonts w:ascii="Times New Roman" w:hAnsi="Times New Roman" w:cs="Times New Roman"/>
          <w:sz w:val="24"/>
          <w:szCs w:val="24"/>
        </w:rPr>
        <w:t>n</w:t>
      </w:r>
      <w:r w:rsidR="00E238BB" w:rsidRPr="00E238BB">
        <w:rPr>
          <w:rFonts w:ascii="Times New Roman" w:hAnsi="Times New Roman" w:cs="Times New Roman"/>
          <w:sz w:val="24"/>
          <w:szCs w:val="24"/>
        </w:rPr>
        <w:t>umerus</w:t>
      </w:r>
      <w:proofErr w:type="spellEnd"/>
      <w:r w:rsidR="00E238BB" w:rsidRPr="00E238BB">
        <w:rPr>
          <w:rFonts w:ascii="Times New Roman" w:hAnsi="Times New Roman" w:cs="Times New Roman"/>
          <w:sz w:val="24"/>
          <w:szCs w:val="24"/>
        </w:rPr>
        <w:t xml:space="preserve"> </w:t>
      </w:r>
      <w:proofErr w:type="spellStart"/>
      <w:r w:rsidR="00E238BB" w:rsidRPr="00E238BB">
        <w:rPr>
          <w:rFonts w:ascii="Times New Roman" w:hAnsi="Times New Roman" w:cs="Times New Roman"/>
          <w:sz w:val="24"/>
          <w:szCs w:val="24"/>
        </w:rPr>
        <w:t>clausus</w:t>
      </w:r>
      <w:proofErr w:type="spellEnd"/>
      <w:r w:rsidR="0081311C">
        <w:rPr>
          <w:rFonts w:ascii="Times New Roman" w:hAnsi="Times New Roman" w:cs="Times New Roman"/>
          <w:sz w:val="24"/>
          <w:szCs w:val="24"/>
        </w:rPr>
        <w:t xml:space="preserve"> </w:t>
      </w:r>
      <w:r w:rsidR="007A7920">
        <w:rPr>
          <w:rFonts w:ascii="Times New Roman" w:hAnsi="Times New Roman" w:cs="Times New Roman"/>
          <w:sz w:val="24"/>
          <w:szCs w:val="24"/>
        </w:rPr>
        <w:t>vzťahov, ktoré na účely zákona môžu byť posudzované ako „iný obdobný vzťah“.</w:t>
      </w:r>
    </w:p>
    <w:p w14:paraId="032E64F5" w14:textId="77777777" w:rsidR="00DE7B36" w:rsidRDefault="00DE7B36" w:rsidP="00A911B4">
      <w:pPr>
        <w:spacing w:after="0" w:line="240" w:lineRule="auto"/>
        <w:ind w:firstLine="708"/>
        <w:jc w:val="both"/>
        <w:rPr>
          <w:rFonts w:ascii="Times New Roman" w:hAnsi="Times New Roman" w:cs="Times New Roman"/>
          <w:sz w:val="24"/>
          <w:szCs w:val="24"/>
        </w:rPr>
      </w:pPr>
    </w:p>
    <w:p w14:paraId="05620F01" w14:textId="77777777" w:rsidR="00DE7B36" w:rsidRDefault="00DE7B36" w:rsidP="00A911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Ďalej sa v § 2 písm. g) spresňuje výpočet subjektov, ktoré sú oprávnené a zároveň povinné prijať oznámenie o protispoločenskej činnosti, nakoľko doteraz musel oznamovateľ dedukovať kam môže uvedené oznámenie podať. Okruh orgánov, ktoré sú príslušné prijímať oznámenia sa týmto nerozširuje a drží sa ustálenej praxe. Týmito orgánmi sú Úrad na ochranu oznamovateľov, prokuratúra a správne orgány.</w:t>
      </w:r>
    </w:p>
    <w:p w14:paraId="0FD2FEE3" w14:textId="77777777" w:rsidR="00DE7B36" w:rsidRDefault="00DE7B36" w:rsidP="00A911B4">
      <w:pPr>
        <w:spacing w:after="0" w:line="240" w:lineRule="auto"/>
        <w:ind w:firstLine="708"/>
        <w:jc w:val="both"/>
        <w:rPr>
          <w:rFonts w:ascii="Times New Roman" w:hAnsi="Times New Roman" w:cs="Times New Roman"/>
          <w:sz w:val="24"/>
          <w:szCs w:val="24"/>
        </w:rPr>
      </w:pPr>
    </w:p>
    <w:p w14:paraId="7829A1AB" w14:textId="77777777" w:rsidR="00696D22" w:rsidRDefault="00DE7B36" w:rsidP="00A911B4">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V dôsledku zadefinovania orgánov príslušných na prijatie oznámenia vznikla aj na základe praxe požiadavka presne vymedziť pojem správny orgán, nakoľko v súčasnom znení by mohlo </w:t>
      </w:r>
      <w:r w:rsidR="00696D22">
        <w:rPr>
          <w:rFonts w:ascii="Times New Roman" w:hAnsi="Times New Roman" w:cs="Times New Roman"/>
          <w:sz w:val="24"/>
          <w:szCs w:val="24"/>
        </w:rPr>
        <w:t>prísť</w:t>
      </w:r>
      <w:r>
        <w:rPr>
          <w:rFonts w:ascii="Times New Roman" w:hAnsi="Times New Roman" w:cs="Times New Roman"/>
          <w:sz w:val="24"/>
          <w:szCs w:val="24"/>
        </w:rPr>
        <w:t xml:space="preserve"> ku príliš extenzívnemu výkladu tohto pojmu. Z tohto dôvodu sa predkladateľ rozhodol vymedziť pojem správny orgán v novom písm. g) v § 2 a to ako </w:t>
      </w:r>
      <w:r w:rsidRPr="006408E3">
        <w:rPr>
          <w:rFonts w:ascii="Times New Roman" w:hAnsi="Times New Roman"/>
          <w:sz w:val="24"/>
          <w:szCs w:val="24"/>
        </w:rPr>
        <w:t>orgán, ktorý je príslušný na konanie o správnom delikte, ktorý je závažnou protispoločenskou činnosťou podľa § 2 písm. d) bod 3 a</w:t>
      </w:r>
      <w:r>
        <w:rPr>
          <w:rFonts w:ascii="Times New Roman" w:hAnsi="Times New Roman"/>
          <w:sz w:val="24"/>
          <w:szCs w:val="24"/>
        </w:rPr>
        <w:t> </w:t>
      </w:r>
      <w:r w:rsidRPr="006408E3">
        <w:rPr>
          <w:rFonts w:ascii="Times New Roman" w:hAnsi="Times New Roman"/>
          <w:sz w:val="24"/>
          <w:szCs w:val="24"/>
        </w:rPr>
        <w:t>4</w:t>
      </w:r>
      <w:r>
        <w:rPr>
          <w:rFonts w:ascii="Times New Roman" w:hAnsi="Times New Roman"/>
          <w:sz w:val="24"/>
          <w:szCs w:val="24"/>
        </w:rPr>
        <w:t xml:space="preserve">. To znamená, že správnym orgánom príslušným na prijatie oznámenia bude taký orgán, ktorý je oprávnený </w:t>
      </w:r>
      <w:r w:rsidR="00696D22">
        <w:rPr>
          <w:rFonts w:ascii="Times New Roman" w:hAnsi="Times New Roman"/>
          <w:sz w:val="24"/>
          <w:szCs w:val="24"/>
        </w:rPr>
        <w:t xml:space="preserve">udeliť sankciu za správny delikt (i) za </w:t>
      </w:r>
      <w:r w:rsidR="00696D22" w:rsidRPr="00696D22">
        <w:rPr>
          <w:rFonts w:ascii="Times New Roman" w:hAnsi="Times New Roman"/>
          <w:sz w:val="24"/>
          <w:szCs w:val="24"/>
        </w:rPr>
        <w:t>ktorý možno uložiť pokutu s hornou hranicou určenou výpočtom</w:t>
      </w:r>
      <w:r w:rsidR="00696D22">
        <w:rPr>
          <w:rFonts w:ascii="Times New Roman" w:hAnsi="Times New Roman"/>
          <w:sz w:val="24"/>
          <w:szCs w:val="24"/>
        </w:rPr>
        <w:t xml:space="preserve">; </w:t>
      </w:r>
      <w:r w:rsidR="00696D22" w:rsidRPr="00696D22">
        <w:rPr>
          <w:rFonts w:ascii="Times New Roman" w:hAnsi="Times New Roman"/>
          <w:sz w:val="24"/>
          <w:szCs w:val="24"/>
        </w:rPr>
        <w:t xml:space="preserve">a </w:t>
      </w:r>
      <w:r w:rsidR="00696D22">
        <w:rPr>
          <w:rFonts w:ascii="Times New Roman" w:hAnsi="Times New Roman"/>
          <w:sz w:val="24"/>
          <w:szCs w:val="24"/>
        </w:rPr>
        <w:t xml:space="preserve">(ii) za </w:t>
      </w:r>
      <w:r w:rsidR="00696D22" w:rsidRPr="00696D22">
        <w:rPr>
          <w:rFonts w:ascii="Times New Roman" w:hAnsi="Times New Roman"/>
          <w:sz w:val="24"/>
          <w:szCs w:val="24"/>
        </w:rPr>
        <w:t>ktorý možno uložiť pokutu s hornou hranicou vo výške najmenej 30 000 eur</w:t>
      </w:r>
      <w:r w:rsidR="00696D22">
        <w:rPr>
          <w:rFonts w:ascii="Times New Roman" w:hAnsi="Times New Roman"/>
          <w:sz w:val="24"/>
          <w:szCs w:val="24"/>
        </w:rPr>
        <w:t>.</w:t>
      </w:r>
    </w:p>
    <w:p w14:paraId="1B6401FA" w14:textId="77777777" w:rsidR="00696D22" w:rsidRDefault="00696D22" w:rsidP="00A911B4">
      <w:pPr>
        <w:spacing w:after="0" w:line="240" w:lineRule="auto"/>
        <w:ind w:firstLine="708"/>
        <w:jc w:val="both"/>
        <w:rPr>
          <w:rFonts w:ascii="Times New Roman" w:hAnsi="Times New Roman"/>
          <w:sz w:val="24"/>
          <w:szCs w:val="24"/>
        </w:rPr>
      </w:pPr>
    </w:p>
    <w:p w14:paraId="458F4E5A" w14:textId="7AF153B6" w:rsidR="00B7197C" w:rsidRDefault="00696D22" w:rsidP="00A911B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Zároveň návrh zákona zavádza legislatívnu skratku dotknutá osoba, ktorú definuje ako fyzickú</w:t>
      </w:r>
      <w:r w:rsidRPr="006408E3">
        <w:rPr>
          <w:rFonts w:ascii="Times New Roman" w:hAnsi="Times New Roman"/>
          <w:sz w:val="24"/>
          <w:szCs w:val="24"/>
        </w:rPr>
        <w:t xml:space="preserve"> alebo </w:t>
      </w:r>
      <w:r>
        <w:rPr>
          <w:rFonts w:ascii="Times New Roman" w:hAnsi="Times New Roman"/>
          <w:sz w:val="24"/>
          <w:szCs w:val="24"/>
        </w:rPr>
        <w:t>právnickú osobu</w:t>
      </w:r>
      <w:r w:rsidRPr="006408E3">
        <w:rPr>
          <w:rFonts w:ascii="Times New Roman" w:hAnsi="Times New Roman"/>
          <w:sz w:val="24"/>
          <w:szCs w:val="24"/>
        </w:rPr>
        <w:t xml:space="preserve"> proti ktorej oznámenie smeruje</w:t>
      </w:r>
      <w:r>
        <w:rPr>
          <w:rFonts w:ascii="Times New Roman" w:hAnsi="Times New Roman"/>
          <w:sz w:val="24"/>
          <w:szCs w:val="24"/>
        </w:rPr>
        <w:t>.</w:t>
      </w:r>
    </w:p>
    <w:p w14:paraId="6CCF9B6A" w14:textId="77777777" w:rsidR="007E53BE" w:rsidRPr="008617AD" w:rsidRDefault="007E53BE" w:rsidP="003A20E2">
      <w:pPr>
        <w:spacing w:after="0" w:line="240" w:lineRule="auto"/>
        <w:jc w:val="both"/>
        <w:rPr>
          <w:rFonts w:ascii="Times New Roman" w:hAnsi="Times New Roman" w:cs="Times New Roman"/>
          <w:sz w:val="24"/>
          <w:szCs w:val="24"/>
        </w:rPr>
      </w:pPr>
    </w:p>
    <w:p w14:paraId="738A329B" w14:textId="542FA7C1" w:rsidR="00436011" w:rsidRDefault="009638E0" w:rsidP="009638E0">
      <w:pPr>
        <w:spacing w:after="0" w:line="240" w:lineRule="auto"/>
        <w:rPr>
          <w:rFonts w:ascii="Times New Roman" w:hAnsi="Times New Roman" w:cs="Times New Roman"/>
          <w:b/>
          <w:bCs/>
          <w:sz w:val="24"/>
          <w:szCs w:val="24"/>
        </w:rPr>
      </w:pPr>
      <w:r w:rsidRPr="008617AD">
        <w:rPr>
          <w:rFonts w:ascii="Times New Roman" w:hAnsi="Times New Roman" w:cs="Times New Roman"/>
          <w:b/>
          <w:bCs/>
          <w:sz w:val="24"/>
          <w:szCs w:val="24"/>
        </w:rPr>
        <w:t>K</w:t>
      </w:r>
      <w:r w:rsidR="003A20E2" w:rsidRPr="008617AD">
        <w:rPr>
          <w:rFonts w:ascii="Times New Roman" w:hAnsi="Times New Roman" w:cs="Times New Roman"/>
          <w:b/>
          <w:bCs/>
          <w:sz w:val="24"/>
          <w:szCs w:val="24"/>
        </w:rPr>
        <w:t> </w:t>
      </w:r>
      <w:r w:rsidRPr="008617AD">
        <w:rPr>
          <w:rFonts w:ascii="Times New Roman" w:hAnsi="Times New Roman" w:cs="Times New Roman"/>
          <w:b/>
          <w:bCs/>
          <w:sz w:val="24"/>
          <w:szCs w:val="24"/>
        </w:rPr>
        <w:t>bo</w:t>
      </w:r>
      <w:r w:rsidR="003A20E2" w:rsidRPr="008617AD">
        <w:rPr>
          <w:rFonts w:ascii="Times New Roman" w:hAnsi="Times New Roman" w:cs="Times New Roman"/>
          <w:b/>
          <w:bCs/>
          <w:sz w:val="24"/>
          <w:szCs w:val="24"/>
        </w:rPr>
        <w:t xml:space="preserve">du </w:t>
      </w:r>
      <w:r w:rsidR="00DD3317" w:rsidRPr="008617AD">
        <w:rPr>
          <w:rFonts w:ascii="Times New Roman" w:hAnsi="Times New Roman" w:cs="Times New Roman"/>
          <w:b/>
          <w:bCs/>
          <w:sz w:val="24"/>
          <w:szCs w:val="24"/>
        </w:rPr>
        <w:t>2</w:t>
      </w:r>
    </w:p>
    <w:p w14:paraId="43438329" w14:textId="495EE696" w:rsidR="002E76E4" w:rsidRDefault="002E76E4" w:rsidP="009638E0">
      <w:pPr>
        <w:spacing w:after="0" w:line="240" w:lineRule="auto"/>
        <w:rPr>
          <w:rFonts w:ascii="Times New Roman" w:hAnsi="Times New Roman" w:cs="Times New Roman"/>
          <w:b/>
          <w:bCs/>
          <w:sz w:val="24"/>
          <w:szCs w:val="24"/>
        </w:rPr>
      </w:pPr>
      <w:r w:rsidRPr="009F4A0E">
        <w:rPr>
          <w:rFonts w:ascii="Times New Roman" w:hAnsi="Times New Roman" w:cs="Times New Roman"/>
          <w:b/>
          <w:bCs/>
          <w:sz w:val="24"/>
          <w:szCs w:val="24"/>
        </w:rPr>
        <w:t>(</w:t>
      </w:r>
      <w:r w:rsidR="009F4A0E" w:rsidRPr="00F23BAA">
        <w:rPr>
          <w:rFonts w:ascii="Times New Roman" w:hAnsi="Times New Roman" w:cs="Times New Roman"/>
          <w:b/>
          <w:i/>
          <w:sz w:val="24"/>
          <w:szCs w:val="24"/>
        </w:rPr>
        <w:t xml:space="preserve">§ 1 ods. </w:t>
      </w:r>
      <w:r w:rsidR="009F4A0E">
        <w:rPr>
          <w:rFonts w:ascii="Times New Roman" w:hAnsi="Times New Roman" w:cs="Times New Roman"/>
          <w:b/>
          <w:i/>
          <w:sz w:val="24"/>
          <w:szCs w:val="24"/>
        </w:rPr>
        <w:t>1 písm. c)</w:t>
      </w:r>
      <w:r w:rsidRPr="009F4A0E">
        <w:rPr>
          <w:rFonts w:ascii="Times New Roman" w:hAnsi="Times New Roman" w:cs="Times New Roman"/>
          <w:b/>
          <w:bCs/>
          <w:sz w:val="24"/>
          <w:szCs w:val="24"/>
        </w:rPr>
        <w:t>)</w:t>
      </w:r>
    </w:p>
    <w:p w14:paraId="17C46351" w14:textId="77777777" w:rsidR="006076DF" w:rsidRPr="000D0D6E" w:rsidRDefault="006076DF" w:rsidP="009638E0">
      <w:pPr>
        <w:spacing w:after="0" w:line="240" w:lineRule="auto"/>
        <w:rPr>
          <w:rFonts w:ascii="Times New Roman" w:hAnsi="Times New Roman" w:cs="Times New Roman"/>
          <w:bCs/>
          <w:sz w:val="24"/>
          <w:szCs w:val="24"/>
        </w:rPr>
      </w:pPr>
    </w:p>
    <w:p w14:paraId="6422C967" w14:textId="01143C54" w:rsidR="006076DF" w:rsidRDefault="002718FF" w:rsidP="008D63A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Navrhovaná</w:t>
      </w:r>
      <w:r w:rsidR="00137232">
        <w:rPr>
          <w:rFonts w:ascii="Times New Roman" w:hAnsi="Times New Roman" w:cs="Times New Roman"/>
          <w:bCs/>
          <w:sz w:val="24"/>
          <w:szCs w:val="24"/>
        </w:rPr>
        <w:t xml:space="preserve"> právna</w:t>
      </w:r>
      <w:r>
        <w:rPr>
          <w:rFonts w:ascii="Times New Roman" w:hAnsi="Times New Roman" w:cs="Times New Roman"/>
          <w:bCs/>
          <w:sz w:val="24"/>
          <w:szCs w:val="24"/>
        </w:rPr>
        <w:t xml:space="preserve"> úprava predstavuje faktickú zmenu súčasného názvu Úradu na ochranu oznamovateľov protispoločenskej činnosti</w:t>
      </w:r>
      <w:r w:rsidR="00137232">
        <w:rPr>
          <w:rFonts w:ascii="Times New Roman" w:hAnsi="Times New Roman" w:cs="Times New Roman"/>
          <w:bCs/>
          <w:sz w:val="24"/>
          <w:szCs w:val="24"/>
        </w:rPr>
        <w:t xml:space="preserve"> (ďalej len „úrad“)</w:t>
      </w:r>
      <w:r>
        <w:rPr>
          <w:rFonts w:ascii="Times New Roman" w:hAnsi="Times New Roman" w:cs="Times New Roman"/>
          <w:bCs/>
          <w:sz w:val="24"/>
          <w:szCs w:val="24"/>
        </w:rPr>
        <w:t xml:space="preserve"> na nový</w:t>
      </w:r>
      <w:r w:rsidR="00EE0974">
        <w:rPr>
          <w:rFonts w:ascii="Times New Roman" w:hAnsi="Times New Roman" w:cs="Times New Roman"/>
          <w:bCs/>
          <w:sz w:val="24"/>
          <w:szCs w:val="24"/>
        </w:rPr>
        <w:t>, skrátený</w:t>
      </w:r>
      <w:r>
        <w:rPr>
          <w:rFonts w:ascii="Times New Roman" w:hAnsi="Times New Roman" w:cs="Times New Roman"/>
          <w:bCs/>
          <w:sz w:val="24"/>
          <w:szCs w:val="24"/>
        </w:rPr>
        <w:t xml:space="preserve"> názov a to Úrad na ochranu oznamovateľov. </w:t>
      </w:r>
      <w:r w:rsidR="00DE6142" w:rsidRPr="00DE6142">
        <w:rPr>
          <w:rFonts w:ascii="Times New Roman" w:hAnsi="Times New Roman" w:cs="Times New Roman"/>
          <w:bCs/>
          <w:sz w:val="24"/>
          <w:szCs w:val="24"/>
        </w:rPr>
        <w:t xml:space="preserve">Účelom navrhovanej zmeny je zmena názvu úradu na názov, ktorý je jednoduchší a pre verejnosť ľahšie rozpoznateľný. </w:t>
      </w:r>
      <w:r w:rsidR="00DE6142">
        <w:rPr>
          <w:rFonts w:ascii="Times New Roman" w:hAnsi="Times New Roman" w:cs="Times New Roman"/>
          <w:bCs/>
          <w:sz w:val="24"/>
          <w:szCs w:val="24"/>
        </w:rPr>
        <w:t xml:space="preserve">Samotná smernica (EÚ) 2019/1937 v platnom znení </w:t>
      </w:r>
      <w:r w:rsidR="0091757E">
        <w:rPr>
          <w:rFonts w:ascii="Times New Roman" w:hAnsi="Times New Roman" w:cs="Times New Roman"/>
          <w:bCs/>
          <w:sz w:val="24"/>
          <w:szCs w:val="24"/>
        </w:rPr>
        <w:t>neurčuje povinnosť zriadiť osobitný správny orgán</w:t>
      </w:r>
      <w:r w:rsidR="007B0317">
        <w:rPr>
          <w:rFonts w:ascii="Times New Roman" w:hAnsi="Times New Roman" w:cs="Times New Roman"/>
          <w:bCs/>
          <w:sz w:val="24"/>
          <w:szCs w:val="24"/>
        </w:rPr>
        <w:t>. Z tohto dôvodu je</w:t>
      </w:r>
      <w:r w:rsidR="00DE6142">
        <w:rPr>
          <w:rFonts w:ascii="Times New Roman" w:hAnsi="Times New Roman" w:cs="Times New Roman"/>
          <w:bCs/>
          <w:sz w:val="24"/>
          <w:szCs w:val="24"/>
        </w:rPr>
        <w:t xml:space="preserve"> zriadenie</w:t>
      </w:r>
      <w:r w:rsidR="007B0317">
        <w:rPr>
          <w:rFonts w:ascii="Times New Roman" w:hAnsi="Times New Roman" w:cs="Times New Roman"/>
          <w:bCs/>
          <w:sz w:val="24"/>
          <w:szCs w:val="24"/>
        </w:rPr>
        <w:t>, názov</w:t>
      </w:r>
      <w:r w:rsidR="00DE6142">
        <w:rPr>
          <w:rFonts w:ascii="Times New Roman" w:hAnsi="Times New Roman" w:cs="Times New Roman"/>
          <w:bCs/>
          <w:sz w:val="24"/>
          <w:szCs w:val="24"/>
        </w:rPr>
        <w:t xml:space="preserve"> a</w:t>
      </w:r>
      <w:r w:rsidR="007B0317">
        <w:rPr>
          <w:rFonts w:ascii="Times New Roman" w:hAnsi="Times New Roman" w:cs="Times New Roman"/>
          <w:bCs/>
          <w:sz w:val="24"/>
          <w:szCs w:val="24"/>
        </w:rPr>
        <w:t xml:space="preserve">ko i </w:t>
      </w:r>
      <w:r w:rsidR="00DE6142">
        <w:rPr>
          <w:rFonts w:ascii="Times New Roman" w:hAnsi="Times New Roman" w:cs="Times New Roman"/>
          <w:bCs/>
          <w:sz w:val="24"/>
          <w:szCs w:val="24"/>
        </w:rPr>
        <w:t xml:space="preserve">kompetencie úradu </w:t>
      </w:r>
      <w:r w:rsidR="007B0317">
        <w:rPr>
          <w:rFonts w:ascii="Times New Roman" w:hAnsi="Times New Roman" w:cs="Times New Roman"/>
          <w:bCs/>
          <w:sz w:val="24"/>
          <w:szCs w:val="24"/>
        </w:rPr>
        <w:t>výlučne regulované</w:t>
      </w:r>
      <w:r w:rsidR="00DE6142">
        <w:rPr>
          <w:rFonts w:ascii="Times New Roman" w:hAnsi="Times New Roman" w:cs="Times New Roman"/>
          <w:bCs/>
          <w:sz w:val="24"/>
          <w:szCs w:val="24"/>
        </w:rPr>
        <w:t xml:space="preserve"> vnútroštátnym právom. </w:t>
      </w:r>
      <w:r w:rsidR="007B0317">
        <w:rPr>
          <w:rFonts w:ascii="Times New Roman" w:hAnsi="Times New Roman" w:cs="Times New Roman"/>
          <w:bCs/>
          <w:sz w:val="24"/>
          <w:szCs w:val="24"/>
        </w:rPr>
        <w:t>Z uvedeného vyplýva, že i</w:t>
      </w:r>
      <w:r w:rsidR="00DE6142">
        <w:rPr>
          <w:rFonts w:ascii="Times New Roman" w:hAnsi="Times New Roman" w:cs="Times New Roman"/>
          <w:bCs/>
          <w:sz w:val="24"/>
          <w:szCs w:val="24"/>
        </w:rPr>
        <w:t> názov úradu a</w:t>
      </w:r>
      <w:r w:rsidR="007B0317">
        <w:rPr>
          <w:rFonts w:ascii="Times New Roman" w:hAnsi="Times New Roman" w:cs="Times New Roman"/>
          <w:bCs/>
          <w:sz w:val="24"/>
          <w:szCs w:val="24"/>
        </w:rPr>
        <w:t>lebo</w:t>
      </w:r>
      <w:r w:rsidR="00DE6142">
        <w:rPr>
          <w:rFonts w:ascii="Times New Roman" w:hAnsi="Times New Roman" w:cs="Times New Roman"/>
          <w:bCs/>
          <w:sz w:val="24"/>
          <w:szCs w:val="24"/>
        </w:rPr>
        <w:t> </w:t>
      </w:r>
      <w:r w:rsidR="007B0317">
        <w:rPr>
          <w:rFonts w:ascii="Times New Roman" w:hAnsi="Times New Roman" w:cs="Times New Roman"/>
          <w:bCs/>
          <w:sz w:val="24"/>
          <w:szCs w:val="24"/>
        </w:rPr>
        <w:t>prípadná zmena názvu úradu je</w:t>
      </w:r>
      <w:r w:rsidR="00DE6142">
        <w:rPr>
          <w:rFonts w:ascii="Times New Roman" w:hAnsi="Times New Roman" w:cs="Times New Roman"/>
          <w:bCs/>
          <w:sz w:val="24"/>
          <w:szCs w:val="24"/>
        </w:rPr>
        <w:t xml:space="preserve"> výlučne v kompetencii </w:t>
      </w:r>
      <w:r w:rsidR="007B0317">
        <w:rPr>
          <w:rFonts w:ascii="Times New Roman" w:hAnsi="Times New Roman" w:cs="Times New Roman"/>
          <w:bCs/>
          <w:sz w:val="24"/>
          <w:szCs w:val="24"/>
        </w:rPr>
        <w:t>zákonoda</w:t>
      </w:r>
      <w:r w:rsidR="00DE6142">
        <w:rPr>
          <w:rFonts w:ascii="Times New Roman" w:hAnsi="Times New Roman" w:cs="Times New Roman"/>
          <w:bCs/>
          <w:sz w:val="24"/>
          <w:szCs w:val="24"/>
        </w:rPr>
        <w:t>rcu, pričom predkladateľ neidentifikoval žiadny dôvod, či povinnosť, ktorá by odôvodňovala n</w:t>
      </w:r>
      <w:r w:rsidR="00DE6142" w:rsidRPr="00DE6142">
        <w:rPr>
          <w:rFonts w:ascii="Times New Roman" w:hAnsi="Times New Roman" w:cs="Times New Roman"/>
          <w:bCs/>
          <w:sz w:val="24"/>
          <w:szCs w:val="24"/>
        </w:rPr>
        <w:t>áz</w:t>
      </w:r>
      <w:r w:rsidR="00DE6142">
        <w:rPr>
          <w:rFonts w:ascii="Times New Roman" w:hAnsi="Times New Roman" w:cs="Times New Roman"/>
          <w:bCs/>
          <w:sz w:val="24"/>
          <w:szCs w:val="24"/>
        </w:rPr>
        <w:t>or, že náz</w:t>
      </w:r>
      <w:r w:rsidR="00DE6142" w:rsidRPr="00DE6142">
        <w:rPr>
          <w:rFonts w:ascii="Times New Roman" w:hAnsi="Times New Roman" w:cs="Times New Roman"/>
          <w:bCs/>
          <w:sz w:val="24"/>
          <w:szCs w:val="24"/>
        </w:rPr>
        <w:t xml:space="preserve">ov úradu </w:t>
      </w:r>
      <w:r w:rsidR="00DE6142">
        <w:rPr>
          <w:rFonts w:ascii="Times New Roman" w:hAnsi="Times New Roman" w:cs="Times New Roman"/>
          <w:bCs/>
          <w:sz w:val="24"/>
          <w:szCs w:val="24"/>
        </w:rPr>
        <w:t>má byť totožný s názvom</w:t>
      </w:r>
      <w:r w:rsidR="00DE6142" w:rsidRPr="00DE6142">
        <w:rPr>
          <w:rFonts w:ascii="Times New Roman" w:hAnsi="Times New Roman" w:cs="Times New Roman"/>
          <w:bCs/>
          <w:sz w:val="24"/>
          <w:szCs w:val="24"/>
        </w:rPr>
        <w:t xml:space="preserve"> zákona</w:t>
      </w:r>
      <w:r w:rsidR="00DE6142">
        <w:rPr>
          <w:rFonts w:ascii="Times New Roman" w:hAnsi="Times New Roman" w:cs="Times New Roman"/>
          <w:bCs/>
          <w:sz w:val="24"/>
          <w:szCs w:val="24"/>
        </w:rPr>
        <w:t>, na základe ktorého bol úrad zriadený.</w:t>
      </w:r>
      <w:r w:rsidR="00DE6142" w:rsidRPr="00DE6142">
        <w:rPr>
          <w:rFonts w:ascii="Times New Roman" w:hAnsi="Times New Roman" w:cs="Times New Roman"/>
          <w:bCs/>
          <w:sz w:val="24"/>
          <w:szCs w:val="24"/>
        </w:rPr>
        <w:t xml:space="preserve"> </w:t>
      </w:r>
      <w:r w:rsidR="00DE6142">
        <w:rPr>
          <w:rFonts w:ascii="Times New Roman" w:hAnsi="Times New Roman" w:cs="Times New Roman"/>
          <w:bCs/>
          <w:sz w:val="24"/>
          <w:szCs w:val="24"/>
        </w:rPr>
        <w:t xml:space="preserve">Predkladateľ zastáva názor, že samotný názov úradu má a priori </w:t>
      </w:r>
      <w:r w:rsidR="007B0317">
        <w:rPr>
          <w:rFonts w:ascii="Times New Roman" w:hAnsi="Times New Roman" w:cs="Times New Roman"/>
          <w:bCs/>
          <w:sz w:val="24"/>
          <w:szCs w:val="24"/>
        </w:rPr>
        <w:t xml:space="preserve">vystihovať </w:t>
      </w:r>
      <w:r w:rsidR="00DE6142" w:rsidRPr="00DE6142">
        <w:rPr>
          <w:rFonts w:ascii="Times New Roman" w:hAnsi="Times New Roman" w:cs="Times New Roman"/>
          <w:bCs/>
          <w:sz w:val="24"/>
          <w:szCs w:val="24"/>
        </w:rPr>
        <w:t xml:space="preserve">podstatu </w:t>
      </w:r>
      <w:r w:rsidR="00DE6142">
        <w:rPr>
          <w:rFonts w:ascii="Times New Roman" w:hAnsi="Times New Roman" w:cs="Times New Roman"/>
          <w:bCs/>
          <w:sz w:val="24"/>
          <w:szCs w:val="24"/>
        </w:rPr>
        <w:t>a hlavnú úlohu</w:t>
      </w:r>
      <w:r w:rsidR="007B0317">
        <w:rPr>
          <w:rFonts w:ascii="Times New Roman" w:hAnsi="Times New Roman" w:cs="Times New Roman"/>
          <w:bCs/>
          <w:sz w:val="24"/>
          <w:szCs w:val="24"/>
        </w:rPr>
        <w:t xml:space="preserve"> úradu</w:t>
      </w:r>
      <w:r w:rsidR="00DE6142">
        <w:rPr>
          <w:rFonts w:ascii="Times New Roman" w:hAnsi="Times New Roman" w:cs="Times New Roman"/>
          <w:bCs/>
          <w:sz w:val="24"/>
          <w:szCs w:val="24"/>
        </w:rPr>
        <w:t xml:space="preserve">, ktorou je </w:t>
      </w:r>
      <w:r w:rsidR="00DE6142" w:rsidRPr="00DE6142">
        <w:rPr>
          <w:rFonts w:ascii="Times New Roman" w:hAnsi="Times New Roman" w:cs="Times New Roman"/>
          <w:bCs/>
          <w:sz w:val="24"/>
          <w:szCs w:val="24"/>
        </w:rPr>
        <w:t>ochrana oznamovateľov. Zákon samotný pritom tiež pracuje iba s po</w:t>
      </w:r>
      <w:r w:rsidR="007B0317">
        <w:rPr>
          <w:rFonts w:ascii="Times New Roman" w:hAnsi="Times New Roman" w:cs="Times New Roman"/>
          <w:bCs/>
          <w:sz w:val="24"/>
          <w:szCs w:val="24"/>
        </w:rPr>
        <w:t>jmom „oznamovateľ“ (§2 písm. a)</w:t>
      </w:r>
      <w:r w:rsidR="00DE6142">
        <w:rPr>
          <w:rFonts w:ascii="Times New Roman" w:hAnsi="Times New Roman" w:cs="Times New Roman"/>
          <w:bCs/>
          <w:sz w:val="24"/>
          <w:szCs w:val="24"/>
        </w:rPr>
        <w:t xml:space="preserve"> zákona</w:t>
      </w:r>
      <w:r w:rsidR="007B0317">
        <w:rPr>
          <w:rFonts w:ascii="Times New Roman" w:hAnsi="Times New Roman" w:cs="Times New Roman"/>
          <w:bCs/>
          <w:sz w:val="24"/>
          <w:szCs w:val="24"/>
        </w:rPr>
        <w:t>)</w:t>
      </w:r>
      <w:r w:rsidR="00DE6142" w:rsidRPr="00DE6142">
        <w:rPr>
          <w:rFonts w:ascii="Times New Roman" w:hAnsi="Times New Roman" w:cs="Times New Roman"/>
          <w:bCs/>
          <w:sz w:val="24"/>
          <w:szCs w:val="24"/>
        </w:rPr>
        <w:t xml:space="preserve">, nie </w:t>
      </w:r>
      <w:r w:rsidR="00DE6142">
        <w:rPr>
          <w:rFonts w:ascii="Times New Roman" w:hAnsi="Times New Roman" w:cs="Times New Roman"/>
          <w:bCs/>
          <w:sz w:val="24"/>
          <w:szCs w:val="24"/>
        </w:rPr>
        <w:t xml:space="preserve">s pojmom </w:t>
      </w:r>
      <w:r w:rsidR="00DE6142" w:rsidRPr="00DE6142">
        <w:rPr>
          <w:rFonts w:ascii="Times New Roman" w:hAnsi="Times New Roman" w:cs="Times New Roman"/>
          <w:bCs/>
          <w:sz w:val="24"/>
          <w:szCs w:val="24"/>
        </w:rPr>
        <w:t>oznamovateľ protispoločenskej činnosti.</w:t>
      </w:r>
    </w:p>
    <w:p w14:paraId="39FA5138" w14:textId="506B6202" w:rsidR="00DE6142" w:rsidRDefault="00DE6142" w:rsidP="008D63AC">
      <w:pPr>
        <w:spacing w:after="0" w:line="240" w:lineRule="auto"/>
        <w:ind w:firstLine="708"/>
        <w:jc w:val="both"/>
        <w:rPr>
          <w:rFonts w:ascii="Times New Roman" w:hAnsi="Times New Roman" w:cs="Times New Roman"/>
          <w:bCs/>
          <w:sz w:val="24"/>
          <w:szCs w:val="24"/>
        </w:rPr>
      </w:pPr>
    </w:p>
    <w:p w14:paraId="429BD505" w14:textId="0F95DC47" w:rsidR="00DE6142" w:rsidRPr="000D0D6E" w:rsidRDefault="00DE6142" w:rsidP="008D63A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Rovnako predkladateľ </w:t>
      </w:r>
      <w:r w:rsidR="00F92344">
        <w:rPr>
          <w:rFonts w:ascii="Times New Roman" w:hAnsi="Times New Roman" w:cs="Times New Roman"/>
          <w:bCs/>
          <w:sz w:val="24"/>
          <w:szCs w:val="24"/>
        </w:rPr>
        <w:t>konštatuje,</w:t>
      </w:r>
      <w:r>
        <w:rPr>
          <w:rFonts w:ascii="Times New Roman" w:hAnsi="Times New Roman" w:cs="Times New Roman"/>
          <w:bCs/>
          <w:sz w:val="24"/>
          <w:szCs w:val="24"/>
        </w:rPr>
        <w:t xml:space="preserve"> že </w:t>
      </w:r>
      <w:r w:rsidR="00CC114B">
        <w:rPr>
          <w:rFonts w:ascii="Times New Roman" w:hAnsi="Times New Roman" w:cs="Times New Roman"/>
          <w:bCs/>
          <w:sz w:val="24"/>
          <w:szCs w:val="24"/>
        </w:rPr>
        <w:t xml:space="preserve">sa </w:t>
      </w:r>
      <w:r>
        <w:rPr>
          <w:rFonts w:ascii="Times New Roman" w:hAnsi="Times New Roman" w:cs="Times New Roman"/>
          <w:bCs/>
          <w:sz w:val="24"/>
          <w:szCs w:val="24"/>
        </w:rPr>
        <w:t>úrad už od svojho zriadenia</w:t>
      </w:r>
      <w:r w:rsidR="00CA4F4C">
        <w:rPr>
          <w:rFonts w:ascii="Times New Roman" w:hAnsi="Times New Roman" w:cs="Times New Roman"/>
          <w:bCs/>
          <w:sz w:val="24"/>
          <w:szCs w:val="24"/>
        </w:rPr>
        <w:t xml:space="preserve"> identifikuje prostredníctvom </w:t>
      </w:r>
      <w:r w:rsidR="006408B7">
        <w:rPr>
          <w:rFonts w:ascii="Times New Roman" w:hAnsi="Times New Roman" w:cs="Times New Roman"/>
          <w:bCs/>
          <w:sz w:val="24"/>
          <w:szCs w:val="24"/>
        </w:rPr>
        <w:t>skráteného</w:t>
      </w:r>
      <w:r w:rsidR="00CA4F4C">
        <w:rPr>
          <w:rFonts w:ascii="Times New Roman" w:hAnsi="Times New Roman" w:cs="Times New Roman"/>
          <w:bCs/>
          <w:sz w:val="24"/>
          <w:szCs w:val="24"/>
        </w:rPr>
        <w:t xml:space="preserve"> názvu, ktorý sa navrhuje až týmto návrhom zákona</w:t>
      </w:r>
      <w:r>
        <w:rPr>
          <w:rFonts w:ascii="Times New Roman" w:hAnsi="Times New Roman" w:cs="Times New Roman"/>
          <w:bCs/>
          <w:sz w:val="24"/>
          <w:szCs w:val="24"/>
        </w:rPr>
        <w:t xml:space="preserve">. </w:t>
      </w:r>
      <w:r w:rsidR="00CA4F4C">
        <w:rPr>
          <w:rFonts w:ascii="Times New Roman" w:hAnsi="Times New Roman" w:cs="Times New Roman"/>
          <w:bCs/>
          <w:sz w:val="24"/>
          <w:szCs w:val="24"/>
        </w:rPr>
        <w:t>I keď</w:t>
      </w:r>
      <w:r w:rsidR="00CA4F4C" w:rsidRPr="00CA4F4C">
        <w:rPr>
          <w:rFonts w:ascii="Times New Roman" w:hAnsi="Times New Roman" w:cs="Times New Roman"/>
          <w:bCs/>
          <w:sz w:val="24"/>
          <w:szCs w:val="24"/>
        </w:rPr>
        <w:t xml:space="preserve"> aj v tomto prípade platí, že nie z pravidla sa vyvodzuje právo, ale z práva, ktoré je, sa má vyvodiť pravidlo (</w:t>
      </w:r>
      <w:proofErr w:type="spellStart"/>
      <w:r w:rsidR="00CA4F4C" w:rsidRPr="00CA4F4C">
        <w:rPr>
          <w:rFonts w:ascii="Times New Roman" w:hAnsi="Times New Roman" w:cs="Times New Roman"/>
          <w:bCs/>
          <w:sz w:val="24"/>
          <w:szCs w:val="24"/>
        </w:rPr>
        <w:t>non</w:t>
      </w:r>
      <w:proofErr w:type="spellEnd"/>
      <w:r w:rsidR="00CA4F4C" w:rsidRPr="00CA4F4C">
        <w:rPr>
          <w:rFonts w:ascii="Times New Roman" w:hAnsi="Times New Roman" w:cs="Times New Roman"/>
          <w:bCs/>
          <w:sz w:val="24"/>
          <w:szCs w:val="24"/>
        </w:rPr>
        <w:t xml:space="preserve"> ex regula </w:t>
      </w:r>
      <w:proofErr w:type="spellStart"/>
      <w:r w:rsidR="00CA4F4C" w:rsidRPr="00CA4F4C">
        <w:rPr>
          <w:rFonts w:ascii="Times New Roman" w:hAnsi="Times New Roman" w:cs="Times New Roman"/>
          <w:bCs/>
          <w:sz w:val="24"/>
          <w:szCs w:val="24"/>
        </w:rPr>
        <w:t>ius</w:t>
      </w:r>
      <w:proofErr w:type="spellEnd"/>
      <w:r w:rsidR="00CA4F4C" w:rsidRPr="00CA4F4C">
        <w:rPr>
          <w:rFonts w:ascii="Times New Roman" w:hAnsi="Times New Roman" w:cs="Times New Roman"/>
          <w:bCs/>
          <w:sz w:val="24"/>
          <w:szCs w:val="24"/>
        </w:rPr>
        <w:t xml:space="preserve"> </w:t>
      </w:r>
      <w:proofErr w:type="spellStart"/>
      <w:r w:rsidR="00CA4F4C" w:rsidRPr="00CA4F4C">
        <w:rPr>
          <w:rFonts w:ascii="Times New Roman" w:hAnsi="Times New Roman" w:cs="Times New Roman"/>
          <w:bCs/>
          <w:sz w:val="24"/>
          <w:szCs w:val="24"/>
        </w:rPr>
        <w:t>sumatur</w:t>
      </w:r>
      <w:proofErr w:type="spellEnd"/>
      <w:r w:rsidR="00CA4F4C" w:rsidRPr="00CA4F4C">
        <w:rPr>
          <w:rFonts w:ascii="Times New Roman" w:hAnsi="Times New Roman" w:cs="Times New Roman"/>
          <w:bCs/>
          <w:sz w:val="24"/>
          <w:szCs w:val="24"/>
        </w:rPr>
        <w:t xml:space="preserve">, sed ex </w:t>
      </w:r>
      <w:proofErr w:type="spellStart"/>
      <w:r w:rsidR="00CA4F4C" w:rsidRPr="00CA4F4C">
        <w:rPr>
          <w:rFonts w:ascii="Times New Roman" w:hAnsi="Times New Roman" w:cs="Times New Roman"/>
          <w:bCs/>
          <w:sz w:val="24"/>
          <w:szCs w:val="24"/>
        </w:rPr>
        <w:t>iure</w:t>
      </w:r>
      <w:proofErr w:type="spellEnd"/>
      <w:r w:rsidR="00CA4F4C" w:rsidRPr="00CA4F4C">
        <w:rPr>
          <w:rFonts w:ascii="Times New Roman" w:hAnsi="Times New Roman" w:cs="Times New Roman"/>
          <w:bCs/>
          <w:sz w:val="24"/>
          <w:szCs w:val="24"/>
        </w:rPr>
        <w:t xml:space="preserve"> </w:t>
      </w:r>
      <w:proofErr w:type="spellStart"/>
      <w:r w:rsidR="00CA4F4C" w:rsidRPr="00CA4F4C">
        <w:rPr>
          <w:rFonts w:ascii="Times New Roman" w:hAnsi="Times New Roman" w:cs="Times New Roman"/>
          <w:bCs/>
          <w:sz w:val="24"/>
          <w:szCs w:val="24"/>
        </w:rPr>
        <w:t>quod</w:t>
      </w:r>
      <w:proofErr w:type="spellEnd"/>
      <w:r w:rsidR="00CA4F4C" w:rsidRPr="00CA4F4C">
        <w:rPr>
          <w:rFonts w:ascii="Times New Roman" w:hAnsi="Times New Roman" w:cs="Times New Roman"/>
          <w:bCs/>
          <w:sz w:val="24"/>
          <w:szCs w:val="24"/>
        </w:rPr>
        <w:t xml:space="preserve"> </w:t>
      </w:r>
      <w:proofErr w:type="spellStart"/>
      <w:r w:rsidR="00CA4F4C" w:rsidRPr="00CA4F4C">
        <w:rPr>
          <w:rFonts w:ascii="Times New Roman" w:hAnsi="Times New Roman" w:cs="Times New Roman"/>
          <w:bCs/>
          <w:sz w:val="24"/>
          <w:szCs w:val="24"/>
        </w:rPr>
        <w:t>esr</w:t>
      </w:r>
      <w:proofErr w:type="spellEnd"/>
      <w:r w:rsidR="00CA4F4C" w:rsidRPr="00CA4F4C">
        <w:rPr>
          <w:rFonts w:ascii="Times New Roman" w:hAnsi="Times New Roman" w:cs="Times New Roman"/>
          <w:bCs/>
          <w:sz w:val="24"/>
          <w:szCs w:val="24"/>
        </w:rPr>
        <w:t xml:space="preserve"> regula </w:t>
      </w:r>
      <w:r w:rsidR="00CA4F4C">
        <w:rPr>
          <w:rFonts w:ascii="Times New Roman" w:hAnsi="Times New Roman" w:cs="Times New Roman"/>
          <w:bCs/>
          <w:sz w:val="24"/>
          <w:szCs w:val="24"/>
        </w:rPr>
        <w:t>fiat), predkladateľ návrhom zákona len reflektoval faktický stav. R</w:t>
      </w:r>
      <w:r w:rsidR="00CA4F4C" w:rsidRPr="00CA4F4C">
        <w:rPr>
          <w:rFonts w:ascii="Times New Roman" w:hAnsi="Times New Roman" w:cs="Times New Roman"/>
          <w:bCs/>
          <w:sz w:val="24"/>
          <w:szCs w:val="24"/>
        </w:rPr>
        <w:t>ozhodnutie predkladateľa nepopiera žiadny z princípov demokratického a právneho štátu, ale naopak potvrdzuje, akým spôsobom funguje deľba moci v štáte.</w:t>
      </w:r>
    </w:p>
    <w:p w14:paraId="2595705A" w14:textId="77777777" w:rsidR="00B849AE" w:rsidRPr="000D0D6E" w:rsidRDefault="00B849AE" w:rsidP="009638E0">
      <w:pPr>
        <w:spacing w:after="0" w:line="240" w:lineRule="auto"/>
        <w:rPr>
          <w:rFonts w:ascii="Times New Roman" w:hAnsi="Times New Roman" w:cs="Times New Roman"/>
          <w:sz w:val="24"/>
          <w:szCs w:val="24"/>
        </w:rPr>
      </w:pPr>
    </w:p>
    <w:p w14:paraId="7103F0CD" w14:textId="77777777" w:rsidR="000D0D6E" w:rsidRPr="000D0D6E" w:rsidRDefault="000D0D6E" w:rsidP="009638E0">
      <w:pPr>
        <w:spacing w:after="0" w:line="240" w:lineRule="auto"/>
        <w:rPr>
          <w:rFonts w:ascii="Times New Roman" w:hAnsi="Times New Roman" w:cs="Times New Roman"/>
          <w:b/>
          <w:sz w:val="24"/>
          <w:szCs w:val="24"/>
        </w:rPr>
      </w:pPr>
      <w:r w:rsidRPr="000D0D6E">
        <w:rPr>
          <w:rFonts w:ascii="Times New Roman" w:hAnsi="Times New Roman" w:cs="Times New Roman"/>
          <w:b/>
          <w:sz w:val="24"/>
          <w:szCs w:val="24"/>
        </w:rPr>
        <w:t>K bodu 3</w:t>
      </w:r>
    </w:p>
    <w:p w14:paraId="3F39ECF2" w14:textId="77777777" w:rsidR="000D0D6E" w:rsidRDefault="00F23BAA" w:rsidP="009638E0">
      <w:pPr>
        <w:spacing w:after="0" w:line="240" w:lineRule="auto"/>
        <w:rPr>
          <w:rFonts w:ascii="Times New Roman" w:hAnsi="Times New Roman" w:cs="Times New Roman"/>
          <w:b/>
          <w:i/>
          <w:sz w:val="24"/>
          <w:szCs w:val="24"/>
        </w:rPr>
      </w:pPr>
      <w:r w:rsidRPr="00F23BAA">
        <w:rPr>
          <w:rFonts w:ascii="Times New Roman" w:hAnsi="Times New Roman" w:cs="Times New Roman"/>
          <w:b/>
          <w:i/>
          <w:sz w:val="24"/>
          <w:szCs w:val="24"/>
        </w:rPr>
        <w:t>(§ 1 ods. 3)</w:t>
      </w:r>
    </w:p>
    <w:p w14:paraId="2C43DF26" w14:textId="77777777" w:rsidR="00736602" w:rsidRDefault="00736602" w:rsidP="009638E0">
      <w:pPr>
        <w:spacing w:after="0" w:line="240" w:lineRule="auto"/>
        <w:rPr>
          <w:rFonts w:ascii="Times New Roman" w:hAnsi="Times New Roman" w:cs="Times New Roman"/>
          <w:b/>
          <w:i/>
          <w:sz w:val="24"/>
          <w:szCs w:val="24"/>
        </w:rPr>
      </w:pPr>
    </w:p>
    <w:p w14:paraId="42D48979" w14:textId="632C58E4" w:rsidR="00736602" w:rsidRDefault="00736602" w:rsidP="00813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73C43" w:rsidRPr="002E76E4">
        <w:rPr>
          <w:rFonts w:ascii="Times New Roman" w:hAnsi="Times New Roman" w:cs="Times New Roman"/>
          <w:sz w:val="24"/>
          <w:szCs w:val="24"/>
        </w:rPr>
        <w:t>Navrhovaná úprava predstavuje</w:t>
      </w:r>
      <w:r w:rsidR="0081311C" w:rsidRPr="002E76E4">
        <w:rPr>
          <w:rFonts w:ascii="Times New Roman" w:hAnsi="Times New Roman" w:cs="Times New Roman"/>
          <w:sz w:val="24"/>
          <w:szCs w:val="24"/>
        </w:rPr>
        <w:t xml:space="preserve"> trans</w:t>
      </w:r>
      <w:r w:rsidR="00573C43" w:rsidRPr="002E76E4">
        <w:rPr>
          <w:rFonts w:ascii="Times New Roman" w:hAnsi="Times New Roman" w:cs="Times New Roman"/>
          <w:sz w:val="24"/>
          <w:szCs w:val="24"/>
        </w:rPr>
        <w:t>pozíci</w:t>
      </w:r>
      <w:r w:rsidR="0081311C" w:rsidRPr="002E76E4">
        <w:rPr>
          <w:rFonts w:ascii="Times New Roman" w:hAnsi="Times New Roman" w:cs="Times New Roman"/>
          <w:sz w:val="24"/>
          <w:szCs w:val="24"/>
        </w:rPr>
        <w:t>u čl. 21 smernice</w:t>
      </w:r>
      <w:r w:rsidR="00573C43" w:rsidRPr="002E76E4">
        <w:rPr>
          <w:rFonts w:ascii="Times New Roman" w:hAnsi="Times New Roman" w:cs="Times New Roman"/>
          <w:sz w:val="24"/>
          <w:szCs w:val="24"/>
        </w:rPr>
        <w:t xml:space="preserve"> (EÚ) 2019/1937</w:t>
      </w:r>
      <w:r w:rsidR="00DE6142">
        <w:rPr>
          <w:rFonts w:ascii="Times New Roman" w:hAnsi="Times New Roman" w:cs="Times New Roman"/>
          <w:sz w:val="24"/>
          <w:szCs w:val="24"/>
        </w:rPr>
        <w:t xml:space="preserve"> v platnom znení</w:t>
      </w:r>
      <w:r w:rsidR="00573C43" w:rsidRPr="002E76E4">
        <w:rPr>
          <w:rFonts w:ascii="Times New Roman" w:hAnsi="Times New Roman" w:cs="Times New Roman"/>
          <w:sz w:val="24"/>
          <w:szCs w:val="24"/>
        </w:rPr>
        <w:t>.</w:t>
      </w:r>
      <w:r w:rsidR="0081311C" w:rsidRPr="002E76E4">
        <w:rPr>
          <w:rFonts w:ascii="Times New Roman" w:hAnsi="Times New Roman" w:cs="Times New Roman"/>
          <w:sz w:val="24"/>
          <w:szCs w:val="24"/>
        </w:rPr>
        <w:t xml:space="preserve"> </w:t>
      </w:r>
      <w:r w:rsidR="009D2EF9">
        <w:rPr>
          <w:rFonts w:ascii="Times New Roman" w:hAnsi="Times New Roman" w:cs="Times New Roman"/>
          <w:sz w:val="24"/>
          <w:szCs w:val="24"/>
        </w:rPr>
        <w:t>Dotknuté ustanovenie</w:t>
      </w:r>
      <w:r w:rsidR="0081311C" w:rsidRPr="002E76E4">
        <w:rPr>
          <w:rFonts w:ascii="Times New Roman" w:hAnsi="Times New Roman" w:cs="Times New Roman"/>
          <w:sz w:val="24"/>
          <w:szCs w:val="24"/>
        </w:rPr>
        <w:t xml:space="preserve"> zabezpečuje ochranu oznamovateľov, ktorí oznámia alebo zverejnia informácie o</w:t>
      </w:r>
      <w:r w:rsidR="00573C43" w:rsidRPr="002E76E4">
        <w:rPr>
          <w:rFonts w:ascii="Times New Roman" w:hAnsi="Times New Roman" w:cs="Times New Roman"/>
          <w:sz w:val="24"/>
          <w:szCs w:val="24"/>
        </w:rPr>
        <w:t xml:space="preserve"> závažnej </w:t>
      </w:r>
      <w:r w:rsidR="0081311C" w:rsidRPr="002E76E4">
        <w:rPr>
          <w:rFonts w:ascii="Times New Roman" w:hAnsi="Times New Roman" w:cs="Times New Roman"/>
          <w:sz w:val="24"/>
          <w:szCs w:val="24"/>
        </w:rPr>
        <w:t>protispoločenskej činnosti</w:t>
      </w:r>
      <w:r w:rsidR="00573C43" w:rsidRPr="002E76E4">
        <w:rPr>
          <w:rFonts w:ascii="Times New Roman" w:hAnsi="Times New Roman" w:cs="Times New Roman"/>
          <w:sz w:val="24"/>
          <w:szCs w:val="24"/>
        </w:rPr>
        <w:t xml:space="preserve"> a tieto informácie zároveň podliehajú </w:t>
      </w:r>
      <w:r w:rsidR="00573C43" w:rsidRPr="005748DA">
        <w:rPr>
          <w:rFonts w:ascii="Times New Roman" w:hAnsi="Times New Roman" w:cs="Times New Roman"/>
          <w:sz w:val="24"/>
          <w:szCs w:val="24"/>
        </w:rPr>
        <w:t>určitej ochrane na základe osobitných predpisov</w:t>
      </w:r>
      <w:r w:rsidR="009D2EF9" w:rsidRPr="005748DA">
        <w:rPr>
          <w:rFonts w:ascii="Times New Roman" w:hAnsi="Times New Roman" w:cs="Times New Roman"/>
          <w:sz w:val="24"/>
          <w:szCs w:val="24"/>
        </w:rPr>
        <w:t xml:space="preserve">. Vypustenie ochrany </w:t>
      </w:r>
      <w:r w:rsidR="00D87132" w:rsidRPr="005748DA">
        <w:rPr>
          <w:rFonts w:ascii="Times New Roman" w:hAnsi="Times New Roman" w:cs="Times New Roman"/>
          <w:sz w:val="24"/>
          <w:szCs w:val="24"/>
        </w:rPr>
        <w:t>obchodného</w:t>
      </w:r>
      <w:r w:rsidR="009D2EF9" w:rsidRPr="005748DA">
        <w:rPr>
          <w:rFonts w:ascii="Times New Roman" w:hAnsi="Times New Roman" w:cs="Times New Roman"/>
          <w:sz w:val="24"/>
          <w:szCs w:val="24"/>
        </w:rPr>
        <w:t xml:space="preserve"> tajomstva zo súčasného znenia § 1 ods. 3 zákona je transpozíciou čl. </w:t>
      </w:r>
      <w:r w:rsidR="00D87132" w:rsidRPr="005748DA">
        <w:rPr>
          <w:rFonts w:ascii="Times New Roman" w:hAnsi="Times New Roman" w:cs="Times New Roman"/>
          <w:sz w:val="24"/>
          <w:szCs w:val="24"/>
        </w:rPr>
        <w:t>21 ods. 7</w:t>
      </w:r>
      <w:r w:rsidR="009D2EF9" w:rsidRPr="005748DA">
        <w:rPr>
          <w:rFonts w:ascii="Times New Roman" w:hAnsi="Times New Roman" w:cs="Times New Roman"/>
          <w:sz w:val="24"/>
          <w:szCs w:val="24"/>
        </w:rPr>
        <w:t xml:space="preserve"> smernice (EÚ) 2019/1937 v platnom znení. </w:t>
      </w:r>
      <w:r w:rsidR="00B84803" w:rsidRPr="005748DA">
        <w:rPr>
          <w:rFonts w:ascii="Times New Roman" w:hAnsi="Times New Roman" w:cs="Times New Roman"/>
          <w:sz w:val="24"/>
          <w:szCs w:val="24"/>
        </w:rPr>
        <w:t xml:space="preserve">Zároveň pri oznamovaní, či zverejňovaní informácii o protispoločenskej činnosti sa musia oznamovatelia odôvodnene domnievať, že ich oznámenie spolu s uvedením informácii, ktoré sú chránené osobitnými predpismi, ako napr. obchodné tajomstvo je nevyhnutné na odhalenie protispoločenskej činnosti, konajú v dobrej viere a takéto informácie sú </w:t>
      </w:r>
      <w:r w:rsidR="00643EDE" w:rsidRPr="005748DA">
        <w:rPr>
          <w:rFonts w:ascii="Times New Roman" w:hAnsi="Times New Roman" w:cs="Times New Roman"/>
          <w:sz w:val="24"/>
          <w:szCs w:val="24"/>
        </w:rPr>
        <w:t>neoddeliteľnou</w:t>
      </w:r>
      <w:r w:rsidR="00B84803" w:rsidRPr="005748DA">
        <w:rPr>
          <w:rFonts w:ascii="Times New Roman" w:hAnsi="Times New Roman" w:cs="Times New Roman"/>
          <w:sz w:val="24"/>
          <w:szCs w:val="24"/>
        </w:rPr>
        <w:t xml:space="preserve"> súčasťou oznámenia. Zároveň by oznamovatelia mali dbať na minimalizáciu zverejňovania citlivých údajov a uvádzať iba tie skutočne nevyhnutné</w:t>
      </w:r>
      <w:r w:rsidR="00643EDE" w:rsidRPr="005748DA">
        <w:rPr>
          <w:rFonts w:ascii="Times New Roman" w:hAnsi="Times New Roman" w:cs="Times New Roman"/>
          <w:sz w:val="24"/>
          <w:szCs w:val="24"/>
        </w:rPr>
        <w:t xml:space="preserve"> pre oznámenie</w:t>
      </w:r>
      <w:r w:rsidR="00B84803" w:rsidRPr="005748DA">
        <w:rPr>
          <w:rFonts w:ascii="Times New Roman" w:hAnsi="Times New Roman" w:cs="Times New Roman"/>
          <w:sz w:val="24"/>
          <w:szCs w:val="24"/>
        </w:rPr>
        <w:t>.</w:t>
      </w:r>
    </w:p>
    <w:p w14:paraId="17C7A997" w14:textId="77777777" w:rsidR="00D87132" w:rsidRPr="00736602" w:rsidRDefault="00D87132" w:rsidP="0081311C">
      <w:pPr>
        <w:spacing w:after="0" w:line="240" w:lineRule="auto"/>
        <w:jc w:val="both"/>
        <w:rPr>
          <w:rFonts w:ascii="Times New Roman" w:hAnsi="Times New Roman" w:cs="Times New Roman"/>
          <w:sz w:val="24"/>
          <w:szCs w:val="24"/>
        </w:rPr>
      </w:pPr>
    </w:p>
    <w:p w14:paraId="2928D2F8" w14:textId="77777777" w:rsidR="000D0D6E" w:rsidRDefault="00185174" w:rsidP="000D0D6E">
      <w:pPr>
        <w:spacing w:after="0" w:line="240" w:lineRule="auto"/>
        <w:jc w:val="both"/>
        <w:rPr>
          <w:rFonts w:ascii="Times New Roman" w:hAnsi="Times New Roman" w:cs="Times New Roman"/>
          <w:b/>
          <w:sz w:val="24"/>
          <w:szCs w:val="24"/>
        </w:rPr>
      </w:pPr>
      <w:r w:rsidRPr="001B1C05">
        <w:rPr>
          <w:rFonts w:ascii="Times New Roman" w:hAnsi="Times New Roman" w:cs="Times New Roman"/>
          <w:b/>
          <w:sz w:val="24"/>
          <w:szCs w:val="24"/>
        </w:rPr>
        <w:t xml:space="preserve">K bodu 4 </w:t>
      </w:r>
    </w:p>
    <w:p w14:paraId="1E324ED6" w14:textId="77777777" w:rsidR="00861C64" w:rsidRPr="001B1C05" w:rsidRDefault="00861C64" w:rsidP="000D0D6E">
      <w:pPr>
        <w:spacing w:after="0" w:line="240" w:lineRule="auto"/>
        <w:jc w:val="both"/>
        <w:rPr>
          <w:rFonts w:ascii="Times New Roman" w:hAnsi="Times New Roman" w:cs="Times New Roman"/>
          <w:b/>
          <w:i/>
          <w:sz w:val="24"/>
          <w:szCs w:val="24"/>
        </w:rPr>
      </w:pPr>
      <w:r w:rsidRPr="001B1C05">
        <w:rPr>
          <w:rFonts w:ascii="Times New Roman" w:hAnsi="Times New Roman" w:cs="Times New Roman"/>
          <w:b/>
          <w:i/>
          <w:sz w:val="24"/>
          <w:szCs w:val="24"/>
        </w:rPr>
        <w:t>(§ 1 ods. 4 a 5)</w:t>
      </w:r>
    </w:p>
    <w:p w14:paraId="0B0719F3" w14:textId="77777777" w:rsidR="00185174" w:rsidRDefault="00185174" w:rsidP="000D0D6E">
      <w:pPr>
        <w:spacing w:after="0" w:line="240" w:lineRule="auto"/>
        <w:jc w:val="both"/>
        <w:rPr>
          <w:rFonts w:ascii="Times New Roman" w:hAnsi="Times New Roman" w:cs="Times New Roman"/>
          <w:sz w:val="24"/>
          <w:szCs w:val="24"/>
        </w:rPr>
      </w:pPr>
    </w:p>
    <w:p w14:paraId="2A7B2737" w14:textId="756191E9" w:rsidR="00EB16D6" w:rsidRDefault="001675F8" w:rsidP="00F62FF9">
      <w:pPr>
        <w:spacing w:after="0" w:line="240" w:lineRule="auto"/>
        <w:ind w:firstLine="708"/>
        <w:jc w:val="both"/>
        <w:rPr>
          <w:rFonts w:ascii="Times New Roman" w:hAnsi="Times New Roman"/>
          <w:sz w:val="24"/>
          <w:szCs w:val="24"/>
        </w:rPr>
      </w:pPr>
      <w:r>
        <w:rPr>
          <w:rFonts w:ascii="Times New Roman" w:hAnsi="Times New Roman" w:cs="Times New Roman"/>
          <w:sz w:val="24"/>
          <w:szCs w:val="24"/>
        </w:rPr>
        <w:t>Navrhované ustanovenie § 1 ods.</w:t>
      </w:r>
      <w:r w:rsidR="00CC2157">
        <w:rPr>
          <w:rFonts w:ascii="Times New Roman" w:hAnsi="Times New Roman" w:cs="Times New Roman"/>
          <w:sz w:val="24"/>
          <w:szCs w:val="24"/>
        </w:rPr>
        <w:t xml:space="preserve"> 4 </w:t>
      </w:r>
      <w:r>
        <w:rPr>
          <w:rFonts w:ascii="Times New Roman" w:hAnsi="Times New Roman" w:cs="Times New Roman"/>
          <w:sz w:val="24"/>
          <w:szCs w:val="24"/>
        </w:rPr>
        <w:t xml:space="preserve">opäť </w:t>
      </w:r>
      <w:r w:rsidR="00CC2157">
        <w:rPr>
          <w:rFonts w:ascii="Times New Roman" w:hAnsi="Times New Roman" w:cs="Times New Roman"/>
          <w:sz w:val="24"/>
          <w:szCs w:val="24"/>
        </w:rPr>
        <w:t>predstavuje transpozíciu čl. 15 smernice</w:t>
      </w:r>
      <w:r w:rsidR="00CC2157" w:rsidRPr="006D0DC3">
        <w:rPr>
          <w:rFonts w:ascii="Times New Roman" w:hAnsi="Times New Roman" w:cs="Times New Roman"/>
          <w:sz w:val="24"/>
          <w:szCs w:val="24"/>
        </w:rPr>
        <w:t xml:space="preserve"> (EÚ) 2019/1937</w:t>
      </w:r>
      <w:r w:rsidR="00CC2157">
        <w:rPr>
          <w:rFonts w:ascii="Times New Roman" w:hAnsi="Times New Roman" w:cs="Times New Roman"/>
          <w:sz w:val="24"/>
          <w:szCs w:val="24"/>
        </w:rPr>
        <w:t>. Uvedené znenie stanovuje podmienky, za ktorých sa poskytuje ochrana fyzickej osobe, ktorá zverejnila informácie o protispoločenskej činnosti. Toto ustanovenie reaguje na výnimočné situácie, v ktorých nebolo oznámenie dostatočne preverené, ďalej sa s ním nezaoberalo</w:t>
      </w:r>
      <w:r w:rsidR="003B1B17">
        <w:rPr>
          <w:rFonts w:ascii="Times New Roman" w:hAnsi="Times New Roman" w:cs="Times New Roman"/>
          <w:sz w:val="24"/>
          <w:szCs w:val="24"/>
        </w:rPr>
        <w:t xml:space="preserve">, príp. fyzická osoba nebola v primeranej lehote oboznámená so stavom preverenia alebo </w:t>
      </w:r>
      <w:r w:rsidR="00CC2157">
        <w:rPr>
          <w:rFonts w:ascii="Times New Roman" w:hAnsi="Times New Roman" w:cs="Times New Roman"/>
          <w:sz w:val="24"/>
          <w:szCs w:val="24"/>
        </w:rPr>
        <w:t>hrozí zmarenie jeho prešetrenia.</w:t>
      </w:r>
      <w:r w:rsidR="003B1B17">
        <w:rPr>
          <w:rFonts w:ascii="Times New Roman" w:hAnsi="Times New Roman" w:cs="Times New Roman"/>
          <w:sz w:val="24"/>
          <w:szCs w:val="24"/>
        </w:rPr>
        <w:t xml:space="preserve"> </w:t>
      </w:r>
      <w:r w:rsidR="00CC2157">
        <w:rPr>
          <w:rFonts w:ascii="Times New Roman" w:hAnsi="Times New Roman" w:cs="Times New Roman"/>
          <w:sz w:val="24"/>
          <w:szCs w:val="24"/>
        </w:rPr>
        <w:t xml:space="preserve">Taktiež v zmysle tohto ustanovenia, je umožnené fyzickej osobe zverejniť </w:t>
      </w:r>
      <w:r w:rsidR="00EB16D6">
        <w:rPr>
          <w:rFonts w:ascii="Times New Roman" w:hAnsi="Times New Roman" w:cs="Times New Roman"/>
          <w:sz w:val="24"/>
          <w:szCs w:val="24"/>
        </w:rPr>
        <w:t xml:space="preserve">informácie o protispoločenskej činnosti </w:t>
      </w:r>
      <w:r w:rsidR="00CC2157">
        <w:rPr>
          <w:rFonts w:ascii="Times New Roman" w:hAnsi="Times New Roman" w:cs="Times New Roman"/>
          <w:sz w:val="24"/>
          <w:szCs w:val="24"/>
        </w:rPr>
        <w:t xml:space="preserve">v prípadoch, keď hrozí </w:t>
      </w:r>
      <w:r w:rsidR="00CC2157" w:rsidRPr="00557F92">
        <w:rPr>
          <w:rFonts w:ascii="Times New Roman" w:hAnsi="Times New Roman"/>
          <w:sz w:val="24"/>
          <w:szCs w:val="24"/>
        </w:rPr>
        <w:t>bezprostredné alebo zjavné ohrozenie verejného záujmu</w:t>
      </w:r>
      <w:r w:rsidR="00CC2157">
        <w:rPr>
          <w:rFonts w:ascii="Times New Roman" w:hAnsi="Times New Roman"/>
          <w:sz w:val="24"/>
          <w:szCs w:val="24"/>
        </w:rPr>
        <w:t>.</w:t>
      </w:r>
    </w:p>
    <w:p w14:paraId="1D7D4D22" w14:textId="0F720DD5" w:rsidR="003B1B17" w:rsidRDefault="003B1B17" w:rsidP="00F62FF9">
      <w:pPr>
        <w:spacing w:after="0" w:line="240" w:lineRule="auto"/>
        <w:ind w:firstLine="708"/>
        <w:jc w:val="both"/>
        <w:rPr>
          <w:rFonts w:ascii="Times New Roman" w:hAnsi="Times New Roman"/>
          <w:sz w:val="24"/>
          <w:szCs w:val="24"/>
        </w:rPr>
      </w:pPr>
    </w:p>
    <w:p w14:paraId="25896D36" w14:textId="538B9E1B" w:rsidR="003B1B17" w:rsidRDefault="006408B7" w:rsidP="006408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danom prípade predkladateľ nepovažoval za vhodné a správne, aby návrh zákona stanovil i explicitnú lehotu dokedy má príslušný subjekt informovať </w:t>
      </w:r>
      <w:r w:rsidR="004B52F5">
        <w:rPr>
          <w:rFonts w:ascii="Times New Roman" w:hAnsi="Times New Roman" w:cs="Times New Roman"/>
          <w:sz w:val="24"/>
          <w:szCs w:val="24"/>
        </w:rPr>
        <w:t xml:space="preserve">dotknutú </w:t>
      </w:r>
      <w:r>
        <w:rPr>
          <w:rFonts w:ascii="Times New Roman" w:hAnsi="Times New Roman" w:cs="Times New Roman"/>
          <w:sz w:val="24"/>
          <w:szCs w:val="24"/>
        </w:rPr>
        <w:t xml:space="preserve">fyzickú osobu o stave </w:t>
      </w:r>
      <w:r w:rsidR="004B52F5">
        <w:rPr>
          <w:rFonts w:ascii="Times New Roman" w:hAnsi="Times New Roman" w:cs="Times New Roman"/>
          <w:sz w:val="24"/>
          <w:szCs w:val="24"/>
        </w:rPr>
        <w:t>prever</w:t>
      </w:r>
      <w:r>
        <w:rPr>
          <w:rFonts w:ascii="Times New Roman" w:hAnsi="Times New Roman" w:cs="Times New Roman"/>
          <w:sz w:val="24"/>
          <w:szCs w:val="24"/>
        </w:rPr>
        <w:t>ovani</w:t>
      </w:r>
      <w:r w:rsidR="00A32E6C">
        <w:rPr>
          <w:rFonts w:ascii="Times New Roman" w:hAnsi="Times New Roman" w:cs="Times New Roman"/>
          <w:sz w:val="24"/>
          <w:szCs w:val="24"/>
        </w:rPr>
        <w:t>a</w:t>
      </w:r>
      <w:r>
        <w:rPr>
          <w:rFonts w:ascii="Times New Roman" w:hAnsi="Times New Roman" w:cs="Times New Roman"/>
          <w:sz w:val="24"/>
          <w:szCs w:val="24"/>
        </w:rPr>
        <w:t xml:space="preserve"> alebo výsledku preverenia, nakoľko ani zákon č. </w:t>
      </w:r>
      <w:r w:rsidRPr="006408B7">
        <w:rPr>
          <w:rFonts w:ascii="Times New Roman" w:hAnsi="Times New Roman" w:cs="Times New Roman"/>
          <w:sz w:val="24"/>
          <w:szCs w:val="24"/>
        </w:rPr>
        <w:t>301/2005 Z. z.</w:t>
      </w:r>
      <w:r>
        <w:rPr>
          <w:rFonts w:ascii="Times New Roman" w:hAnsi="Times New Roman" w:cs="Times New Roman"/>
          <w:sz w:val="24"/>
          <w:szCs w:val="24"/>
        </w:rPr>
        <w:t xml:space="preserve"> Trestný poriadok v znení neskorších predpisov či iné príslušné platné právne predpisy neustanovujú konkrétne lehoty pre prešetrenie </w:t>
      </w:r>
      <w:r w:rsidR="004B52F5">
        <w:rPr>
          <w:rFonts w:ascii="Times New Roman" w:hAnsi="Times New Roman" w:cs="Times New Roman"/>
          <w:sz w:val="24"/>
          <w:szCs w:val="24"/>
        </w:rPr>
        <w:t xml:space="preserve">prijatých </w:t>
      </w:r>
      <w:r>
        <w:rPr>
          <w:rFonts w:ascii="Times New Roman" w:hAnsi="Times New Roman" w:cs="Times New Roman"/>
          <w:sz w:val="24"/>
          <w:szCs w:val="24"/>
        </w:rPr>
        <w:t>oznámení. Predkladateľ si je vedomý sk</w:t>
      </w:r>
      <w:r w:rsidR="004B52F5">
        <w:rPr>
          <w:rFonts w:ascii="Times New Roman" w:hAnsi="Times New Roman" w:cs="Times New Roman"/>
          <w:sz w:val="24"/>
          <w:szCs w:val="24"/>
        </w:rPr>
        <w:t>utočnosti</w:t>
      </w:r>
      <w:r>
        <w:rPr>
          <w:rFonts w:ascii="Times New Roman" w:hAnsi="Times New Roman" w:cs="Times New Roman"/>
          <w:sz w:val="24"/>
          <w:szCs w:val="24"/>
        </w:rPr>
        <w:t xml:space="preserve">, že dôsledné preverenie každého prijatého oznámenia nemožno časovo ohraničiť jednotnou </w:t>
      </w:r>
      <w:r w:rsidR="00F7090C">
        <w:rPr>
          <w:rFonts w:ascii="Times New Roman" w:hAnsi="Times New Roman" w:cs="Times New Roman"/>
          <w:sz w:val="24"/>
          <w:szCs w:val="24"/>
        </w:rPr>
        <w:t>lehotou. Aplikačná prax dokazuje</w:t>
      </w:r>
      <w:r>
        <w:rPr>
          <w:rFonts w:ascii="Times New Roman" w:hAnsi="Times New Roman" w:cs="Times New Roman"/>
          <w:sz w:val="24"/>
          <w:szCs w:val="24"/>
        </w:rPr>
        <w:t xml:space="preserve">, </w:t>
      </w:r>
      <w:r w:rsidR="00F7090C">
        <w:rPr>
          <w:rFonts w:ascii="Times New Roman" w:hAnsi="Times New Roman" w:cs="Times New Roman"/>
          <w:sz w:val="24"/>
          <w:szCs w:val="24"/>
        </w:rPr>
        <w:t xml:space="preserve">že </w:t>
      </w:r>
      <w:r>
        <w:rPr>
          <w:rFonts w:ascii="Times New Roman" w:hAnsi="Times New Roman" w:cs="Times New Roman"/>
          <w:sz w:val="24"/>
          <w:szCs w:val="24"/>
        </w:rPr>
        <w:t xml:space="preserve">jednotlivé oznámenia sa od seba odlišujú nielen svojim rozsahom, ale najmä závažnosťou a komplexnosťou svojho merita – obsahu. Navrhovaný pojem „v primeranej lehote“ je preto potrebné vždy vykladať v kontexte </w:t>
      </w:r>
      <w:r w:rsidR="004B52F5">
        <w:rPr>
          <w:rFonts w:ascii="Times New Roman" w:hAnsi="Times New Roman" w:cs="Times New Roman"/>
          <w:sz w:val="24"/>
          <w:szCs w:val="24"/>
        </w:rPr>
        <w:t>konkrétnych okolností a</w:t>
      </w:r>
      <w:r>
        <w:rPr>
          <w:rFonts w:ascii="Times New Roman" w:hAnsi="Times New Roman" w:cs="Times New Roman"/>
          <w:sz w:val="24"/>
          <w:szCs w:val="24"/>
        </w:rPr>
        <w:t xml:space="preserve"> štandardnej dĺžky zaužívaných postupov pri preverovaní oznámenia</w:t>
      </w:r>
      <w:r w:rsidR="00F7090C">
        <w:rPr>
          <w:rFonts w:ascii="Times New Roman" w:hAnsi="Times New Roman" w:cs="Times New Roman"/>
          <w:sz w:val="24"/>
          <w:szCs w:val="24"/>
        </w:rPr>
        <w:t xml:space="preserve"> konkrétnym orgánom, ktorý za preverenie zodpovedá</w:t>
      </w:r>
      <w:r w:rsidR="004B52F5">
        <w:rPr>
          <w:rFonts w:ascii="Times New Roman" w:hAnsi="Times New Roman" w:cs="Times New Roman"/>
          <w:sz w:val="24"/>
          <w:szCs w:val="24"/>
        </w:rPr>
        <w:t xml:space="preserve">. V tomto kontexte predkladateľ upozorňuje i na skutočnosť, že zmieňované slovné spojenie „v primeranej lehote“ je v platnom právnom poriadku pojmom ustáleným a preto ho možno považovať za pojem všeobecne zrozumiteľný. Obdobné stanovenie lehoty sa štandardne používa napríklad v § 27 zákona č. 71/1969 Z. z. </w:t>
      </w:r>
      <w:r w:rsidR="004B52F5" w:rsidRPr="004B52F5">
        <w:rPr>
          <w:rFonts w:ascii="Times New Roman" w:hAnsi="Times New Roman" w:cs="Times New Roman"/>
          <w:sz w:val="24"/>
          <w:szCs w:val="24"/>
        </w:rPr>
        <w:t>o správnom konaní (správny poriadok)</w:t>
      </w:r>
      <w:r w:rsidR="004B52F5">
        <w:rPr>
          <w:rFonts w:ascii="Times New Roman" w:hAnsi="Times New Roman" w:cs="Times New Roman"/>
          <w:sz w:val="24"/>
          <w:szCs w:val="24"/>
        </w:rPr>
        <w:t xml:space="preserve"> v znení neskorších predpisov, v § 90 ods. 2 zákona č. 160/2018 Z. z. </w:t>
      </w:r>
      <w:r w:rsidR="004B52F5" w:rsidRPr="004B52F5">
        <w:rPr>
          <w:rFonts w:ascii="Times New Roman" w:hAnsi="Times New Roman" w:cs="Times New Roman"/>
          <w:sz w:val="24"/>
          <w:szCs w:val="24"/>
        </w:rPr>
        <w:t>Civilný sporový poriadok</w:t>
      </w:r>
      <w:r w:rsidR="004B52F5">
        <w:rPr>
          <w:rFonts w:ascii="Times New Roman" w:hAnsi="Times New Roman" w:cs="Times New Roman"/>
          <w:sz w:val="24"/>
          <w:szCs w:val="24"/>
        </w:rPr>
        <w:t xml:space="preserve"> v znení neskorších predpisov, v § 2 ods. 6 zákona č. 301/2005 Z. z. Trestný poriadok v znení neskorších predpisov, ako i v mnohých ďalších zákono</w:t>
      </w:r>
      <w:r w:rsidR="00DE7D8A">
        <w:rPr>
          <w:rFonts w:ascii="Times New Roman" w:hAnsi="Times New Roman" w:cs="Times New Roman"/>
          <w:sz w:val="24"/>
          <w:szCs w:val="24"/>
        </w:rPr>
        <w:t>ch</w:t>
      </w:r>
      <w:r w:rsidR="004B52F5">
        <w:rPr>
          <w:rFonts w:ascii="Times New Roman" w:hAnsi="Times New Roman" w:cs="Times New Roman"/>
          <w:sz w:val="24"/>
          <w:szCs w:val="24"/>
        </w:rPr>
        <w:t xml:space="preserve">. </w:t>
      </w:r>
    </w:p>
    <w:p w14:paraId="519C3BB3" w14:textId="4A91CD2D" w:rsidR="00EB16D6" w:rsidRDefault="00EB16D6" w:rsidP="00F62FF9">
      <w:pPr>
        <w:spacing w:after="0" w:line="240" w:lineRule="auto"/>
        <w:ind w:firstLine="708"/>
        <w:jc w:val="both"/>
        <w:rPr>
          <w:rFonts w:ascii="Times New Roman" w:hAnsi="Times New Roman" w:cs="Times New Roman"/>
          <w:sz w:val="24"/>
          <w:szCs w:val="24"/>
        </w:rPr>
      </w:pPr>
    </w:p>
    <w:p w14:paraId="5679227E" w14:textId="34090E5F" w:rsidR="00F7090C" w:rsidRDefault="00F7090C" w:rsidP="005B4A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v § 1 ods. 4 písm. c) podmieňuje zverejnenie informácií o protispoločenskej činnosti fyzickou osobou i z „dôvodnej obavy bezprostredného alebo zjavného ohrozenia verejného záujmu“. </w:t>
      </w:r>
      <w:r w:rsidR="005B4AA7">
        <w:rPr>
          <w:rFonts w:ascii="Times New Roman" w:hAnsi="Times New Roman" w:cs="Times New Roman"/>
          <w:sz w:val="24"/>
          <w:szCs w:val="24"/>
        </w:rPr>
        <w:t>Slovné spojenie „verejný záujem“ je pojmom ústavným a zákonným, nakoľko predmetné slovné spojenie v sebe implikuje nielen Ústava Slovenskej republiky ale i celý rad zákonov a podzákonných právnych predpisov. Rovnako</w:t>
      </w:r>
      <w:r w:rsidR="00D6301D">
        <w:rPr>
          <w:rFonts w:ascii="Times New Roman" w:hAnsi="Times New Roman" w:cs="Times New Roman"/>
          <w:sz w:val="24"/>
          <w:szCs w:val="24"/>
        </w:rPr>
        <w:t>,</w:t>
      </w:r>
      <w:r w:rsidR="005B4AA7">
        <w:rPr>
          <w:rFonts w:ascii="Times New Roman" w:hAnsi="Times New Roman" w:cs="Times New Roman"/>
          <w:sz w:val="24"/>
          <w:szCs w:val="24"/>
        </w:rPr>
        <w:t xml:space="preserve"> predkladateľ upozorňuje i na rozsiahlu právnu teóriu a judikatúru, ktorá sa zaoberá nielen výkladom pojmu „verejný záujem“ ale i jeho ohrozením. Z uvedeného dôvodu predkladateľ </w:t>
      </w:r>
      <w:r w:rsidR="005B4AA7">
        <w:rPr>
          <w:rFonts w:ascii="Times New Roman" w:hAnsi="Times New Roman" w:cs="Times New Roman"/>
          <w:sz w:val="24"/>
          <w:szCs w:val="24"/>
        </w:rPr>
        <w:lastRenderedPageBreak/>
        <w:t>nepovažuje za</w:t>
      </w:r>
      <w:r w:rsidR="00D6301D">
        <w:rPr>
          <w:rFonts w:ascii="Times New Roman" w:hAnsi="Times New Roman" w:cs="Times New Roman"/>
          <w:sz w:val="24"/>
          <w:szCs w:val="24"/>
        </w:rPr>
        <w:t xml:space="preserve"> účelné</w:t>
      </w:r>
      <w:r w:rsidR="005B4AA7">
        <w:rPr>
          <w:rFonts w:ascii="Times New Roman" w:hAnsi="Times New Roman" w:cs="Times New Roman"/>
          <w:sz w:val="24"/>
          <w:szCs w:val="24"/>
        </w:rPr>
        <w:t xml:space="preserve"> stanovovať exaktné </w:t>
      </w:r>
      <w:r w:rsidR="005B4AA7" w:rsidRPr="005B4AA7">
        <w:rPr>
          <w:rFonts w:ascii="Times New Roman" w:hAnsi="Times New Roman" w:cs="Times New Roman"/>
          <w:sz w:val="24"/>
          <w:szCs w:val="24"/>
        </w:rPr>
        <w:t>k</w:t>
      </w:r>
      <w:r w:rsidR="005B4AA7">
        <w:rPr>
          <w:rFonts w:ascii="Times New Roman" w:hAnsi="Times New Roman" w:cs="Times New Roman"/>
          <w:sz w:val="24"/>
          <w:szCs w:val="24"/>
        </w:rPr>
        <w:t>ritériá pre</w:t>
      </w:r>
      <w:r w:rsidR="005B4AA7" w:rsidRPr="005B4AA7">
        <w:rPr>
          <w:rFonts w:ascii="Times New Roman" w:hAnsi="Times New Roman" w:cs="Times New Roman"/>
          <w:sz w:val="24"/>
          <w:szCs w:val="24"/>
        </w:rPr>
        <w:t xml:space="preserve"> interpretáciu</w:t>
      </w:r>
      <w:r w:rsidR="005B4AA7">
        <w:rPr>
          <w:rFonts w:ascii="Times New Roman" w:hAnsi="Times New Roman" w:cs="Times New Roman"/>
          <w:sz w:val="24"/>
          <w:szCs w:val="24"/>
        </w:rPr>
        <w:t xml:space="preserve"> zmieňovaných pojmov</w:t>
      </w:r>
      <w:r w:rsidR="005B4AA7" w:rsidRPr="005B4AA7">
        <w:rPr>
          <w:rFonts w:ascii="Times New Roman" w:hAnsi="Times New Roman" w:cs="Times New Roman"/>
          <w:sz w:val="24"/>
          <w:szCs w:val="24"/>
        </w:rPr>
        <w:t>,</w:t>
      </w:r>
      <w:r w:rsidR="005B4AA7">
        <w:rPr>
          <w:rFonts w:ascii="Times New Roman" w:hAnsi="Times New Roman" w:cs="Times New Roman"/>
          <w:sz w:val="24"/>
          <w:szCs w:val="24"/>
        </w:rPr>
        <w:t xml:space="preserve"> nakoľko v</w:t>
      </w:r>
      <w:r w:rsidR="005B4AA7" w:rsidRPr="005B4AA7">
        <w:rPr>
          <w:rFonts w:ascii="Times New Roman" w:hAnsi="Times New Roman" w:cs="Times New Roman"/>
          <w:sz w:val="24"/>
          <w:szCs w:val="24"/>
        </w:rPr>
        <w:t>erejný záujem vyjadruje okamžitosť stavu záujmov a ich vzájomnú hierarchiu, je</w:t>
      </w:r>
      <w:r w:rsidR="005B4AA7">
        <w:rPr>
          <w:rFonts w:ascii="Times New Roman" w:hAnsi="Times New Roman" w:cs="Times New Roman"/>
          <w:sz w:val="24"/>
          <w:szCs w:val="24"/>
        </w:rPr>
        <w:t xml:space="preserve"> časovo a </w:t>
      </w:r>
      <w:r w:rsidR="005B4AA7" w:rsidRPr="005B4AA7">
        <w:rPr>
          <w:rFonts w:ascii="Times New Roman" w:hAnsi="Times New Roman" w:cs="Times New Roman"/>
          <w:sz w:val="24"/>
          <w:szCs w:val="24"/>
        </w:rPr>
        <w:t>miestne premenný, a preto sa musí posudzovať len v ko</w:t>
      </w:r>
      <w:r w:rsidR="005B4AA7">
        <w:rPr>
          <w:rFonts w:ascii="Times New Roman" w:hAnsi="Times New Roman" w:cs="Times New Roman"/>
          <w:sz w:val="24"/>
          <w:szCs w:val="24"/>
        </w:rPr>
        <w:t xml:space="preserve">nkrétnej situácii, v konkrétnom </w:t>
      </w:r>
      <w:r w:rsidR="005B4AA7" w:rsidRPr="005B4AA7">
        <w:rPr>
          <w:rFonts w:ascii="Times New Roman" w:hAnsi="Times New Roman" w:cs="Times New Roman"/>
          <w:sz w:val="24"/>
          <w:szCs w:val="24"/>
        </w:rPr>
        <w:t>mieste a v konkrétnom čase</w:t>
      </w:r>
      <w:r w:rsidR="005B4AA7">
        <w:rPr>
          <w:rFonts w:ascii="Times New Roman" w:hAnsi="Times New Roman" w:cs="Times New Roman"/>
          <w:sz w:val="24"/>
          <w:szCs w:val="24"/>
        </w:rPr>
        <w:t xml:space="preserve"> s ohľadom na ustálenú aplikačnú prax. </w:t>
      </w:r>
    </w:p>
    <w:p w14:paraId="34B75868" w14:textId="77777777" w:rsidR="00F7090C" w:rsidRDefault="00F7090C" w:rsidP="00F62FF9">
      <w:pPr>
        <w:spacing w:after="0" w:line="240" w:lineRule="auto"/>
        <w:ind w:firstLine="708"/>
        <w:jc w:val="both"/>
        <w:rPr>
          <w:rFonts w:ascii="Times New Roman" w:hAnsi="Times New Roman" w:cs="Times New Roman"/>
          <w:sz w:val="24"/>
          <w:szCs w:val="24"/>
        </w:rPr>
      </w:pPr>
    </w:p>
    <w:p w14:paraId="71AB303F" w14:textId="77777777" w:rsidR="00362F9A" w:rsidRDefault="00CC2157" w:rsidP="00F62FF9">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Zverejnením sa rozumie sprístupnenie informácie o protispoločenskej činnosti, ktorá inak tvorí obsah oznámenia, pričom môže ísť napríklad o zverejnenie prostredníctvom textu v printových alebo internetových médiách, zverejnenie prostredníctvom sociálnych sietí, zverejnenie prostredníctvom videozáznamu, rozhlasom, televíziou alebo iným obdobne účinným spôsobom pred viacerými súčasne prítomnými osobami.</w:t>
      </w:r>
    </w:p>
    <w:p w14:paraId="4F66C225" w14:textId="77777777" w:rsidR="008336BE" w:rsidRDefault="008336BE" w:rsidP="00F62FF9">
      <w:pPr>
        <w:spacing w:after="0" w:line="240" w:lineRule="auto"/>
        <w:ind w:firstLine="708"/>
        <w:jc w:val="both"/>
        <w:rPr>
          <w:rFonts w:ascii="Times New Roman" w:hAnsi="Times New Roman" w:cs="Times New Roman"/>
          <w:sz w:val="24"/>
          <w:szCs w:val="24"/>
        </w:rPr>
      </w:pPr>
    </w:p>
    <w:p w14:paraId="3432D697" w14:textId="5A033C35" w:rsidR="00185174" w:rsidRDefault="008336BE" w:rsidP="00ED47A3">
      <w:pPr>
        <w:spacing w:after="0" w:line="240" w:lineRule="auto"/>
        <w:ind w:firstLine="708"/>
        <w:jc w:val="both"/>
        <w:rPr>
          <w:rFonts w:ascii="Times New Roman" w:hAnsi="Times New Roman"/>
          <w:sz w:val="24"/>
          <w:szCs w:val="24"/>
        </w:rPr>
      </w:pPr>
      <w:r>
        <w:rPr>
          <w:rFonts w:ascii="Times New Roman" w:hAnsi="Times New Roman" w:cs="Times New Roman"/>
          <w:sz w:val="24"/>
          <w:szCs w:val="24"/>
        </w:rPr>
        <w:t>Podľa návrhu zákona</w:t>
      </w:r>
      <w:r w:rsidR="00F7090C">
        <w:rPr>
          <w:rFonts w:ascii="Times New Roman" w:hAnsi="Times New Roman" w:cs="Times New Roman"/>
          <w:sz w:val="24"/>
          <w:szCs w:val="24"/>
        </w:rPr>
        <w:t xml:space="preserve"> </w:t>
      </w:r>
      <w:r>
        <w:rPr>
          <w:rFonts w:ascii="Times New Roman" w:hAnsi="Times New Roman" w:cs="Times New Roman"/>
          <w:sz w:val="24"/>
          <w:szCs w:val="24"/>
        </w:rPr>
        <w:t xml:space="preserve">sa za oznamovateľa už nebude považovať blízka osoba oznamovateľa ani </w:t>
      </w:r>
      <w:r>
        <w:rPr>
          <w:rFonts w:ascii="Times New Roman" w:hAnsi="Times New Roman"/>
          <w:sz w:val="24"/>
          <w:szCs w:val="24"/>
        </w:rPr>
        <w:t>fyzická osoba – podnikateľ</w:t>
      </w:r>
      <w:r w:rsidRPr="00557F92">
        <w:rPr>
          <w:rFonts w:ascii="Times New Roman" w:hAnsi="Times New Roman"/>
          <w:sz w:val="24"/>
          <w:szCs w:val="24"/>
        </w:rPr>
        <w:t xml:space="preserve"> alebo </w:t>
      </w:r>
      <w:r>
        <w:rPr>
          <w:rFonts w:ascii="Times New Roman" w:hAnsi="Times New Roman"/>
          <w:sz w:val="24"/>
          <w:szCs w:val="24"/>
        </w:rPr>
        <w:t>právnická osoba</w:t>
      </w:r>
      <w:r w:rsidRPr="00557F92">
        <w:rPr>
          <w:rFonts w:ascii="Times New Roman" w:hAnsi="Times New Roman"/>
          <w:sz w:val="24"/>
          <w:szCs w:val="24"/>
        </w:rPr>
        <w:t>, ktorú oznamovateľ ovláda, v ktorej má účasť, v ktorej vykonáva funkciu člena orgánu právnickej osoby, alebo pre ktorú vykonáva pracovnú činnosť</w:t>
      </w:r>
      <w:r>
        <w:rPr>
          <w:rFonts w:ascii="Times New Roman" w:hAnsi="Times New Roman"/>
          <w:sz w:val="24"/>
          <w:szCs w:val="24"/>
        </w:rPr>
        <w:t>. Nakoľko je však nevyhnutné poskytnúť ochranu aj týmto osobám, §</w:t>
      </w:r>
      <w:r w:rsidR="00CB6041">
        <w:rPr>
          <w:rFonts w:ascii="Times New Roman" w:hAnsi="Times New Roman"/>
          <w:sz w:val="24"/>
          <w:szCs w:val="24"/>
        </w:rPr>
        <w:t xml:space="preserve"> </w:t>
      </w:r>
      <w:r>
        <w:rPr>
          <w:rFonts w:ascii="Times New Roman" w:hAnsi="Times New Roman"/>
          <w:sz w:val="24"/>
          <w:szCs w:val="24"/>
        </w:rPr>
        <w:t xml:space="preserve">1 </w:t>
      </w:r>
      <w:r w:rsidR="00CB6041">
        <w:rPr>
          <w:rFonts w:ascii="Times New Roman" w:hAnsi="Times New Roman"/>
          <w:sz w:val="24"/>
          <w:szCs w:val="24"/>
        </w:rPr>
        <w:t xml:space="preserve">zákona </w:t>
      </w:r>
      <w:r>
        <w:rPr>
          <w:rFonts w:ascii="Times New Roman" w:hAnsi="Times New Roman"/>
          <w:sz w:val="24"/>
          <w:szCs w:val="24"/>
        </w:rPr>
        <w:t>bol doplnený odsekom 5, ktorý definuje, že ochrana podľa tohto zákona sa poskytuje aj týmto osobám. Zároveň sa ochrana podľa tohto zákona rozširuje aj na osobu</w:t>
      </w:r>
      <w:r w:rsidR="00EB16D6">
        <w:rPr>
          <w:rFonts w:ascii="Times New Roman" w:hAnsi="Times New Roman"/>
          <w:sz w:val="24"/>
          <w:szCs w:val="24"/>
        </w:rPr>
        <w:t>,</w:t>
      </w:r>
      <w:r w:rsidR="0081311C">
        <w:rPr>
          <w:rFonts w:ascii="Times New Roman" w:hAnsi="Times New Roman"/>
          <w:sz w:val="24"/>
          <w:szCs w:val="24"/>
        </w:rPr>
        <w:t xml:space="preserve"> </w:t>
      </w:r>
      <w:r w:rsidRPr="008336BE">
        <w:rPr>
          <w:rFonts w:ascii="Times New Roman" w:hAnsi="Times New Roman"/>
          <w:sz w:val="24"/>
          <w:szCs w:val="24"/>
        </w:rPr>
        <w:t>ktorá oznamovateľovi poskytla pomoc v súvislosti s oznámením, alebo inej osobe, ktorá bola postihnutá v súvislosti s</w:t>
      </w:r>
      <w:r>
        <w:rPr>
          <w:rFonts w:ascii="Times New Roman" w:hAnsi="Times New Roman"/>
          <w:sz w:val="24"/>
          <w:szCs w:val="24"/>
        </w:rPr>
        <w:t> </w:t>
      </w:r>
      <w:r w:rsidRPr="008336BE">
        <w:rPr>
          <w:rFonts w:ascii="Times New Roman" w:hAnsi="Times New Roman"/>
          <w:sz w:val="24"/>
          <w:szCs w:val="24"/>
        </w:rPr>
        <w:t>oznámením</w:t>
      </w:r>
      <w:r>
        <w:rPr>
          <w:rFonts w:ascii="Times New Roman" w:hAnsi="Times New Roman"/>
          <w:sz w:val="24"/>
          <w:szCs w:val="24"/>
        </w:rPr>
        <w:t>. Taktiež je týmto ustanovením poskytnutá ochrana zodpovednej osobe, ktorá bola postihnutá v súvislosti s oznámením. Uvedený rozsah osôb, ktorým je</w:t>
      </w:r>
      <w:r w:rsidR="00CB6041">
        <w:rPr>
          <w:rFonts w:ascii="Times New Roman" w:hAnsi="Times New Roman"/>
          <w:sz w:val="24"/>
          <w:szCs w:val="24"/>
        </w:rPr>
        <w:t xml:space="preserve"> poskytovaná ochrana vyplýva z čl. 4 ods. 4 </w:t>
      </w:r>
      <w:r>
        <w:rPr>
          <w:rFonts w:ascii="Times New Roman" w:hAnsi="Times New Roman"/>
          <w:sz w:val="24"/>
          <w:szCs w:val="24"/>
        </w:rPr>
        <w:t>smernice</w:t>
      </w:r>
      <w:r w:rsidR="00725B8B">
        <w:rPr>
          <w:rFonts w:ascii="Times New Roman" w:hAnsi="Times New Roman"/>
          <w:sz w:val="24"/>
          <w:szCs w:val="24"/>
        </w:rPr>
        <w:t xml:space="preserve"> </w:t>
      </w:r>
      <w:r w:rsidRPr="008336BE">
        <w:rPr>
          <w:rFonts w:ascii="Times New Roman" w:hAnsi="Times New Roman"/>
          <w:sz w:val="24"/>
          <w:szCs w:val="24"/>
        </w:rPr>
        <w:t>(EÚ) 2019/1937</w:t>
      </w:r>
      <w:r w:rsidR="003A3D9C">
        <w:rPr>
          <w:rFonts w:ascii="Times New Roman" w:hAnsi="Times New Roman"/>
          <w:sz w:val="24"/>
          <w:szCs w:val="24"/>
        </w:rPr>
        <w:t xml:space="preserve"> v platnom znení</w:t>
      </w:r>
      <w:r>
        <w:rPr>
          <w:rFonts w:ascii="Times New Roman" w:hAnsi="Times New Roman"/>
          <w:sz w:val="24"/>
          <w:szCs w:val="24"/>
        </w:rPr>
        <w:t>. Podmienkou poskytnutia ochrany uvedeným osobám je, že tieto osoby museli byť postihnuté v súvislosti s oznámením.</w:t>
      </w:r>
      <w:r w:rsidR="00E167CB">
        <w:rPr>
          <w:rFonts w:ascii="Times New Roman" w:hAnsi="Times New Roman"/>
          <w:sz w:val="24"/>
          <w:szCs w:val="24"/>
        </w:rPr>
        <w:t xml:space="preserve"> Ďalej rozsah poskytovania ochrany týmto skupinám osôb vysvetľujú § 2a a § 12. Tieto osoby by mali byť chránené predovšetkým pred akoukoľvek formou postihov a hrozieb postihov.</w:t>
      </w:r>
    </w:p>
    <w:p w14:paraId="4929B032" w14:textId="5BB1E8E0" w:rsidR="007C0AD5" w:rsidRDefault="007C0AD5" w:rsidP="00ED47A3">
      <w:pPr>
        <w:spacing w:after="0" w:line="240" w:lineRule="auto"/>
        <w:ind w:firstLine="708"/>
        <w:jc w:val="both"/>
        <w:rPr>
          <w:rFonts w:ascii="Times New Roman" w:hAnsi="Times New Roman"/>
          <w:sz w:val="24"/>
          <w:szCs w:val="24"/>
        </w:rPr>
      </w:pPr>
    </w:p>
    <w:p w14:paraId="533FB83C" w14:textId="57A3D69E" w:rsidR="007C0AD5" w:rsidRDefault="007C0AD5" w:rsidP="00ED47A3">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Na účely tohto zákona sa blízkom osobou rozumie </w:t>
      </w:r>
      <w:r w:rsidRPr="007C0AD5">
        <w:rPr>
          <w:rFonts w:ascii="Times New Roman" w:hAnsi="Times New Roman"/>
          <w:sz w:val="24"/>
          <w:szCs w:val="24"/>
        </w:rPr>
        <w:t>príbuzný v priamom rade, súrodenec a manžel; iné osoby v pomere rodinnom alebo obdobnom sa pokladajú za osoby sebe navzájom blízke, ak by ujmu, ktorú utrpela jedna z nich, druhá dôvodne pociťovala ako vlastnú ujmu.</w:t>
      </w:r>
    </w:p>
    <w:p w14:paraId="1D5F2DD5" w14:textId="77777777" w:rsidR="00185174" w:rsidRPr="000D0D6E" w:rsidRDefault="00185174" w:rsidP="000D0D6E">
      <w:pPr>
        <w:spacing w:after="0" w:line="240" w:lineRule="auto"/>
        <w:jc w:val="both"/>
        <w:rPr>
          <w:rFonts w:ascii="Times New Roman" w:hAnsi="Times New Roman" w:cs="Times New Roman"/>
          <w:sz w:val="24"/>
          <w:szCs w:val="24"/>
        </w:rPr>
      </w:pPr>
    </w:p>
    <w:p w14:paraId="676E0916" w14:textId="77777777" w:rsidR="000D0D6E" w:rsidRDefault="000D0D6E" w:rsidP="009638E0">
      <w:pPr>
        <w:spacing w:after="0" w:line="240" w:lineRule="auto"/>
        <w:rPr>
          <w:rFonts w:ascii="Times New Roman" w:hAnsi="Times New Roman" w:cs="Times New Roman"/>
          <w:b/>
          <w:sz w:val="24"/>
          <w:szCs w:val="24"/>
        </w:rPr>
      </w:pPr>
      <w:r w:rsidRPr="001B1C05">
        <w:rPr>
          <w:rFonts w:ascii="Times New Roman" w:hAnsi="Times New Roman" w:cs="Times New Roman"/>
          <w:b/>
          <w:sz w:val="24"/>
          <w:szCs w:val="24"/>
        </w:rPr>
        <w:t xml:space="preserve">K bodu 5 </w:t>
      </w:r>
    </w:p>
    <w:p w14:paraId="035F807D" w14:textId="77777777" w:rsidR="0071372F" w:rsidRPr="00825A19" w:rsidRDefault="0071372F" w:rsidP="009638E0">
      <w:pPr>
        <w:spacing w:after="0" w:line="240" w:lineRule="auto"/>
        <w:rPr>
          <w:rFonts w:ascii="Times New Roman" w:hAnsi="Times New Roman" w:cs="Times New Roman"/>
          <w:b/>
          <w:i/>
          <w:sz w:val="24"/>
          <w:szCs w:val="24"/>
        </w:rPr>
      </w:pPr>
      <w:r w:rsidRPr="00825A19">
        <w:rPr>
          <w:rFonts w:ascii="Times New Roman" w:hAnsi="Times New Roman" w:cs="Times New Roman"/>
          <w:b/>
          <w:i/>
          <w:sz w:val="24"/>
          <w:szCs w:val="24"/>
        </w:rPr>
        <w:t>(§ 2 písm. a))</w:t>
      </w:r>
    </w:p>
    <w:p w14:paraId="01D0F9AE" w14:textId="77777777" w:rsidR="00624F51" w:rsidRDefault="00624F51" w:rsidP="009638E0">
      <w:pPr>
        <w:spacing w:after="0" w:line="240" w:lineRule="auto"/>
        <w:rPr>
          <w:rFonts w:ascii="Times New Roman" w:hAnsi="Times New Roman" w:cs="Times New Roman"/>
          <w:sz w:val="24"/>
          <w:szCs w:val="24"/>
        </w:rPr>
      </w:pPr>
    </w:p>
    <w:p w14:paraId="49073983" w14:textId="236C9EC0" w:rsidR="00624F51" w:rsidRDefault="00624F51" w:rsidP="00624F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Ustanovenie § 2 písm. a) je precizovaním definície oznamovateľa </w:t>
      </w:r>
      <w:r w:rsidR="00085DCB">
        <w:rPr>
          <w:rFonts w:ascii="Times New Roman" w:hAnsi="Times New Roman" w:cs="Times New Roman"/>
          <w:sz w:val="24"/>
          <w:szCs w:val="24"/>
        </w:rPr>
        <w:t>a zároveň</w:t>
      </w:r>
      <w:r>
        <w:rPr>
          <w:rFonts w:ascii="Times New Roman" w:hAnsi="Times New Roman" w:cs="Times New Roman"/>
          <w:sz w:val="24"/>
          <w:szCs w:val="24"/>
        </w:rPr>
        <w:t xml:space="preserve"> rozšíren</w:t>
      </w:r>
      <w:r w:rsidR="00085DCB">
        <w:rPr>
          <w:rFonts w:ascii="Times New Roman" w:hAnsi="Times New Roman" w:cs="Times New Roman"/>
          <w:sz w:val="24"/>
          <w:szCs w:val="24"/>
        </w:rPr>
        <w:t>ím</w:t>
      </w:r>
      <w:r>
        <w:rPr>
          <w:rFonts w:ascii="Times New Roman" w:hAnsi="Times New Roman" w:cs="Times New Roman"/>
          <w:sz w:val="24"/>
          <w:szCs w:val="24"/>
        </w:rPr>
        <w:t xml:space="preserve"> skupiny osôb, ktoré sa považujú na účely zákona za oznamovateľa. </w:t>
      </w:r>
      <w:r w:rsidR="00085DCB">
        <w:rPr>
          <w:rFonts w:ascii="Times New Roman" w:hAnsi="Times New Roman" w:cs="Times New Roman"/>
          <w:sz w:val="24"/>
          <w:szCs w:val="24"/>
        </w:rPr>
        <w:t>Oznamovateľom môže byť iba fyzická osoba, ktorá urobila oznámenie</w:t>
      </w:r>
      <w:r w:rsidR="0081311C">
        <w:rPr>
          <w:rFonts w:ascii="Times New Roman" w:hAnsi="Times New Roman" w:cs="Times New Roman"/>
          <w:sz w:val="24"/>
          <w:szCs w:val="24"/>
        </w:rPr>
        <w:t xml:space="preserve"> </w:t>
      </w:r>
      <w:r>
        <w:rPr>
          <w:rFonts w:ascii="Times New Roman" w:hAnsi="Times New Roman" w:cs="Times New Roman"/>
          <w:sz w:val="24"/>
          <w:szCs w:val="24"/>
        </w:rPr>
        <w:t>v dobrej viere a</w:t>
      </w:r>
      <w:r w:rsidR="00DF7D6E">
        <w:rPr>
          <w:rFonts w:ascii="Times New Roman" w:hAnsi="Times New Roman" w:cs="Times New Roman"/>
          <w:sz w:val="24"/>
          <w:szCs w:val="24"/>
        </w:rPr>
        <w:t xml:space="preserve"> toto oznámenie adresovala </w:t>
      </w:r>
      <w:r>
        <w:rPr>
          <w:rFonts w:ascii="Times New Roman" w:hAnsi="Times New Roman" w:cs="Times New Roman"/>
          <w:sz w:val="24"/>
          <w:szCs w:val="24"/>
        </w:rPr>
        <w:t xml:space="preserve">príslušnému orgánu na prijatie takéhoto oznámenia. </w:t>
      </w:r>
      <w:r w:rsidR="00464602">
        <w:rPr>
          <w:rFonts w:ascii="Times New Roman" w:hAnsi="Times New Roman" w:cs="Times New Roman"/>
          <w:sz w:val="24"/>
          <w:szCs w:val="24"/>
        </w:rPr>
        <w:t>Uvedené ustanovenie nadväzuje na bod 36 recitálu smernice (EÚ) 2019/1937</w:t>
      </w:r>
      <w:r w:rsidR="003A3D9C">
        <w:rPr>
          <w:rFonts w:ascii="Times New Roman" w:hAnsi="Times New Roman" w:cs="Times New Roman"/>
          <w:sz w:val="24"/>
          <w:szCs w:val="24"/>
        </w:rPr>
        <w:t xml:space="preserve"> v platnom znení</w:t>
      </w:r>
      <w:r w:rsidR="00464602">
        <w:rPr>
          <w:rFonts w:ascii="Times New Roman" w:hAnsi="Times New Roman" w:cs="Times New Roman"/>
          <w:sz w:val="24"/>
          <w:szCs w:val="24"/>
        </w:rPr>
        <w:t>.</w:t>
      </w:r>
    </w:p>
    <w:p w14:paraId="3536445D" w14:textId="77777777" w:rsidR="00B652BB" w:rsidRDefault="00B652BB" w:rsidP="00825A19">
      <w:pPr>
        <w:spacing w:after="0" w:line="240" w:lineRule="auto"/>
        <w:jc w:val="both"/>
        <w:rPr>
          <w:rFonts w:ascii="Times New Roman" w:hAnsi="Times New Roman" w:cs="Times New Roman"/>
          <w:sz w:val="24"/>
          <w:szCs w:val="24"/>
        </w:rPr>
      </w:pPr>
    </w:p>
    <w:p w14:paraId="7DE9723B" w14:textId="016AAAE9" w:rsidR="006C2B40" w:rsidRDefault="006C2B40" w:rsidP="006C2B40">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7E5DBE">
        <w:rPr>
          <w:rFonts w:ascii="Times New Roman" w:hAnsi="Times New Roman" w:cs="Times New Roman"/>
          <w:sz w:val="24"/>
          <w:szCs w:val="24"/>
        </w:rPr>
        <w:t>D</w:t>
      </w:r>
      <w:r w:rsidRPr="008617AD">
        <w:rPr>
          <w:rFonts w:ascii="Times New Roman" w:hAnsi="Times New Roman" w:cs="Times New Roman"/>
          <w:sz w:val="24"/>
          <w:szCs w:val="24"/>
        </w:rPr>
        <w:t>efiníci</w:t>
      </w:r>
      <w:r w:rsidR="00CF764C" w:rsidRPr="008617AD">
        <w:rPr>
          <w:rFonts w:ascii="Times New Roman" w:hAnsi="Times New Roman" w:cs="Times New Roman"/>
          <w:sz w:val="24"/>
          <w:szCs w:val="24"/>
        </w:rPr>
        <w:t xml:space="preserve">a oznamovateľa </w:t>
      </w:r>
      <w:r w:rsidR="007E5DBE">
        <w:rPr>
          <w:rFonts w:ascii="Times New Roman" w:hAnsi="Times New Roman" w:cs="Times New Roman"/>
          <w:sz w:val="24"/>
          <w:szCs w:val="24"/>
        </w:rPr>
        <w:t xml:space="preserve">sa </w:t>
      </w:r>
      <w:r w:rsidR="00CF764C" w:rsidRPr="008617AD">
        <w:rPr>
          <w:rFonts w:ascii="Times New Roman" w:hAnsi="Times New Roman" w:cs="Times New Roman"/>
          <w:sz w:val="24"/>
          <w:szCs w:val="24"/>
        </w:rPr>
        <w:t>rozširuje</w:t>
      </w:r>
      <w:r w:rsidR="00624F51">
        <w:rPr>
          <w:rFonts w:ascii="Times New Roman" w:hAnsi="Times New Roman" w:cs="Times New Roman"/>
          <w:sz w:val="24"/>
          <w:szCs w:val="24"/>
        </w:rPr>
        <w:t xml:space="preserve"> aj</w:t>
      </w:r>
      <w:r w:rsidR="00CF764C" w:rsidRPr="008617AD">
        <w:rPr>
          <w:rFonts w:ascii="Times New Roman" w:hAnsi="Times New Roman" w:cs="Times New Roman"/>
          <w:sz w:val="24"/>
          <w:szCs w:val="24"/>
        </w:rPr>
        <w:t xml:space="preserve"> o osobu, ktorá</w:t>
      </w:r>
      <w:r w:rsidR="0081311C">
        <w:rPr>
          <w:rFonts w:ascii="Times New Roman" w:hAnsi="Times New Roman" w:cs="Times New Roman"/>
          <w:sz w:val="24"/>
          <w:szCs w:val="24"/>
        </w:rPr>
        <w:t xml:space="preserve"> </w:t>
      </w:r>
      <w:r w:rsidR="00CF764C" w:rsidRPr="008617AD">
        <w:rPr>
          <w:rFonts w:ascii="Times New Roman" w:hAnsi="Times New Roman" w:cs="Times New Roman"/>
          <w:sz w:val="24"/>
          <w:szCs w:val="24"/>
        </w:rPr>
        <w:t xml:space="preserve">oznámi </w:t>
      </w:r>
      <w:r w:rsidRPr="008617AD">
        <w:rPr>
          <w:rFonts w:ascii="Times New Roman" w:hAnsi="Times New Roman" w:cs="Times New Roman"/>
          <w:sz w:val="24"/>
          <w:szCs w:val="24"/>
        </w:rPr>
        <w:t>informácie o protispoločenskej činnosti</w:t>
      </w:r>
      <w:r w:rsidR="00CF764C" w:rsidRPr="008617AD">
        <w:rPr>
          <w:rFonts w:ascii="Times New Roman" w:hAnsi="Times New Roman" w:cs="Times New Roman"/>
          <w:sz w:val="24"/>
          <w:szCs w:val="24"/>
        </w:rPr>
        <w:t xml:space="preserve">, o ktorej sa dozvedela </w:t>
      </w:r>
      <w:r w:rsidRPr="008617AD">
        <w:rPr>
          <w:rFonts w:ascii="Times New Roman" w:hAnsi="Times New Roman" w:cs="Times New Roman"/>
          <w:sz w:val="24"/>
          <w:szCs w:val="24"/>
        </w:rPr>
        <w:t xml:space="preserve">počas </w:t>
      </w:r>
      <w:r w:rsidR="00937550">
        <w:rPr>
          <w:rFonts w:ascii="Times New Roman" w:hAnsi="Times New Roman" w:cs="Times New Roman"/>
          <w:sz w:val="24"/>
          <w:szCs w:val="24"/>
        </w:rPr>
        <w:t>trvania</w:t>
      </w:r>
      <w:r w:rsidRPr="008617AD">
        <w:rPr>
          <w:rFonts w:ascii="Times New Roman" w:hAnsi="Times New Roman" w:cs="Times New Roman"/>
          <w:sz w:val="24"/>
          <w:szCs w:val="24"/>
        </w:rPr>
        <w:t xml:space="preserve"> pracovnoprávneho vzťahu</w:t>
      </w:r>
      <w:r w:rsidR="00624F51">
        <w:rPr>
          <w:rFonts w:ascii="Times New Roman" w:hAnsi="Times New Roman" w:cs="Times New Roman"/>
          <w:sz w:val="24"/>
          <w:szCs w:val="24"/>
        </w:rPr>
        <w:t xml:space="preserve"> alebo iného obdobného vzťahu</w:t>
      </w:r>
      <w:r w:rsidRPr="008617AD">
        <w:rPr>
          <w:rFonts w:ascii="Times New Roman" w:hAnsi="Times New Roman" w:cs="Times New Roman"/>
          <w:sz w:val="24"/>
          <w:szCs w:val="24"/>
        </w:rPr>
        <w:t xml:space="preserve">, pričom </w:t>
      </w:r>
      <w:r w:rsidR="00CF764C" w:rsidRPr="008617AD">
        <w:rPr>
          <w:rFonts w:ascii="Times New Roman" w:hAnsi="Times New Roman" w:cs="Times New Roman"/>
          <w:sz w:val="24"/>
          <w:szCs w:val="24"/>
        </w:rPr>
        <w:t>tento</w:t>
      </w:r>
      <w:r w:rsidR="00937550">
        <w:rPr>
          <w:rFonts w:ascii="Times New Roman" w:hAnsi="Times New Roman" w:cs="Times New Roman"/>
          <w:sz w:val="24"/>
          <w:szCs w:val="24"/>
        </w:rPr>
        <w:t xml:space="preserve"> pracovnoprávny</w:t>
      </w:r>
      <w:r w:rsidRPr="008617AD">
        <w:rPr>
          <w:rFonts w:ascii="Times New Roman" w:hAnsi="Times New Roman" w:cs="Times New Roman"/>
          <w:sz w:val="24"/>
          <w:szCs w:val="24"/>
        </w:rPr>
        <w:t xml:space="preserve"> vzťah </w:t>
      </w:r>
      <w:r w:rsidR="00624F51">
        <w:rPr>
          <w:rFonts w:ascii="Times New Roman" w:hAnsi="Times New Roman" w:cs="Times New Roman"/>
          <w:sz w:val="24"/>
          <w:szCs w:val="24"/>
        </w:rPr>
        <w:t>alebo in</w:t>
      </w:r>
      <w:r w:rsidR="00ED5260">
        <w:rPr>
          <w:rFonts w:ascii="Times New Roman" w:hAnsi="Times New Roman" w:cs="Times New Roman"/>
          <w:sz w:val="24"/>
          <w:szCs w:val="24"/>
        </w:rPr>
        <w:t>ý</w:t>
      </w:r>
      <w:r w:rsidR="00624F51">
        <w:rPr>
          <w:rFonts w:ascii="Times New Roman" w:hAnsi="Times New Roman" w:cs="Times New Roman"/>
          <w:sz w:val="24"/>
          <w:szCs w:val="24"/>
        </w:rPr>
        <w:t xml:space="preserve"> obdobný vzťah </w:t>
      </w:r>
      <w:r w:rsidRPr="008617AD">
        <w:rPr>
          <w:rFonts w:ascii="Times New Roman" w:hAnsi="Times New Roman" w:cs="Times New Roman"/>
          <w:sz w:val="24"/>
          <w:szCs w:val="24"/>
        </w:rPr>
        <w:t>sa už skončil. Definí</w:t>
      </w:r>
      <w:r w:rsidR="00CF764C" w:rsidRPr="008617AD">
        <w:rPr>
          <w:rFonts w:ascii="Times New Roman" w:hAnsi="Times New Roman" w:cs="Times New Roman"/>
          <w:sz w:val="24"/>
          <w:szCs w:val="24"/>
        </w:rPr>
        <w:t xml:space="preserve">cia sa rozširuje taktiež o osobu, ktorej </w:t>
      </w:r>
      <w:r w:rsidRPr="008617AD">
        <w:rPr>
          <w:rFonts w:ascii="Times New Roman" w:hAnsi="Times New Roman" w:cs="Times New Roman"/>
          <w:sz w:val="24"/>
          <w:szCs w:val="24"/>
        </w:rPr>
        <w:t xml:space="preserve">pracovnoprávny vzťah </w:t>
      </w:r>
      <w:r w:rsidR="00624F51">
        <w:rPr>
          <w:rFonts w:ascii="Times New Roman" w:hAnsi="Times New Roman" w:cs="Times New Roman"/>
          <w:sz w:val="24"/>
          <w:szCs w:val="24"/>
        </w:rPr>
        <w:t xml:space="preserve">alebo iný obdobný vzťah </w:t>
      </w:r>
      <w:r w:rsidRPr="008617AD">
        <w:rPr>
          <w:rFonts w:ascii="Times New Roman" w:hAnsi="Times New Roman" w:cs="Times New Roman"/>
          <w:sz w:val="24"/>
          <w:szCs w:val="24"/>
        </w:rPr>
        <w:t>sa dosiaľ nezačal a má sa začať. Ochrana sa teda môže poskytovať</w:t>
      </w:r>
      <w:r w:rsidR="00CF764C" w:rsidRPr="008617AD">
        <w:rPr>
          <w:rFonts w:ascii="Times New Roman" w:hAnsi="Times New Roman" w:cs="Times New Roman"/>
          <w:sz w:val="24"/>
          <w:szCs w:val="24"/>
        </w:rPr>
        <w:t xml:space="preserve"> aj uchádzačovi</w:t>
      </w:r>
      <w:r w:rsidRPr="008617AD">
        <w:rPr>
          <w:rFonts w:ascii="Times New Roman" w:hAnsi="Times New Roman" w:cs="Times New Roman"/>
          <w:sz w:val="24"/>
          <w:szCs w:val="24"/>
        </w:rPr>
        <w:t xml:space="preserve"> o zamestnanie bez ohľadu na to, </w:t>
      </w:r>
      <w:r w:rsidR="00CF764C" w:rsidRPr="008617AD">
        <w:rPr>
          <w:rFonts w:ascii="Times New Roman" w:hAnsi="Times New Roman" w:cs="Times New Roman"/>
          <w:sz w:val="24"/>
          <w:szCs w:val="24"/>
        </w:rPr>
        <w:t xml:space="preserve">či sa predmetný pracovnoprávny vzťah </w:t>
      </w:r>
      <w:r w:rsidR="00624F51">
        <w:rPr>
          <w:rFonts w:ascii="Times New Roman" w:hAnsi="Times New Roman" w:cs="Times New Roman"/>
          <w:sz w:val="24"/>
          <w:szCs w:val="24"/>
        </w:rPr>
        <w:t xml:space="preserve">alebo iný obdobný vzťah </w:t>
      </w:r>
      <w:r w:rsidR="00CF764C" w:rsidRPr="008617AD">
        <w:rPr>
          <w:rFonts w:ascii="Times New Roman" w:hAnsi="Times New Roman" w:cs="Times New Roman"/>
          <w:sz w:val="24"/>
          <w:szCs w:val="24"/>
        </w:rPr>
        <w:t>s týmto uchádzačom</w:t>
      </w:r>
      <w:r w:rsidRPr="008617AD">
        <w:rPr>
          <w:rFonts w:ascii="Times New Roman" w:hAnsi="Times New Roman" w:cs="Times New Roman"/>
          <w:sz w:val="24"/>
          <w:szCs w:val="24"/>
        </w:rPr>
        <w:t xml:space="preserve"> začne alebo nie.</w:t>
      </w:r>
      <w:r w:rsidR="00ED5260">
        <w:rPr>
          <w:rFonts w:ascii="Times New Roman" w:hAnsi="Times New Roman" w:cs="Times New Roman"/>
          <w:sz w:val="24"/>
          <w:szCs w:val="24"/>
        </w:rPr>
        <w:t xml:space="preserve"> Rovnako sa ochrana poskytuje aj inej osobe ako zamestnancovi, ktorá má určitý predzmluvný vzťah, s osobou voči ktorej smeruje oznámenie (napr. účastník </w:t>
      </w:r>
      <w:r w:rsidR="00CC2840" w:rsidRPr="0081311C">
        <w:rPr>
          <w:rFonts w:ascii="Times New Roman" w:hAnsi="Times New Roman" w:cs="Times New Roman"/>
          <w:sz w:val="24"/>
          <w:szCs w:val="24"/>
        </w:rPr>
        <w:t>tendra</w:t>
      </w:r>
      <w:r w:rsidR="00ED5260" w:rsidRPr="0081311C">
        <w:rPr>
          <w:rFonts w:ascii="Times New Roman" w:hAnsi="Times New Roman" w:cs="Times New Roman"/>
          <w:sz w:val="24"/>
          <w:szCs w:val="24"/>
        </w:rPr>
        <w:t xml:space="preserve"> realizovaného súkromnou spoločnosťou</w:t>
      </w:r>
      <w:r w:rsidR="00504E05" w:rsidRPr="0081311C">
        <w:rPr>
          <w:rFonts w:ascii="Times New Roman" w:hAnsi="Times New Roman" w:cs="Times New Roman"/>
          <w:sz w:val="24"/>
          <w:szCs w:val="24"/>
        </w:rPr>
        <w:t xml:space="preserve">, ktorý sa dozvie o protispoločenskej činnosti </w:t>
      </w:r>
      <w:r w:rsidR="00CC2840" w:rsidRPr="0081311C">
        <w:rPr>
          <w:rFonts w:ascii="Times New Roman" w:hAnsi="Times New Roman" w:cs="Times New Roman"/>
          <w:sz w:val="24"/>
          <w:szCs w:val="24"/>
        </w:rPr>
        <w:t>v tendri</w:t>
      </w:r>
      <w:r w:rsidR="00ED5260" w:rsidRPr="0081311C">
        <w:rPr>
          <w:rFonts w:ascii="Times New Roman" w:hAnsi="Times New Roman" w:cs="Times New Roman"/>
          <w:sz w:val="24"/>
          <w:szCs w:val="24"/>
        </w:rPr>
        <w:t>).</w:t>
      </w:r>
      <w:r w:rsidR="00624F51">
        <w:rPr>
          <w:rFonts w:ascii="Times New Roman" w:hAnsi="Times New Roman" w:cs="Times New Roman"/>
          <w:sz w:val="24"/>
          <w:szCs w:val="24"/>
        </w:rPr>
        <w:t xml:space="preserve"> Poslednou skupinou </w:t>
      </w:r>
      <w:r w:rsidR="00ED5260">
        <w:rPr>
          <w:rFonts w:ascii="Times New Roman" w:hAnsi="Times New Roman" w:cs="Times New Roman"/>
          <w:sz w:val="24"/>
          <w:szCs w:val="24"/>
        </w:rPr>
        <w:t>je</w:t>
      </w:r>
      <w:r w:rsidR="00624F51">
        <w:rPr>
          <w:rFonts w:ascii="Times New Roman" w:hAnsi="Times New Roman" w:cs="Times New Roman"/>
          <w:sz w:val="24"/>
          <w:szCs w:val="24"/>
        </w:rPr>
        <w:t xml:space="preserve"> fyzick</w:t>
      </w:r>
      <w:r w:rsidR="00ED5260">
        <w:rPr>
          <w:rFonts w:ascii="Times New Roman" w:hAnsi="Times New Roman" w:cs="Times New Roman"/>
          <w:sz w:val="24"/>
          <w:szCs w:val="24"/>
        </w:rPr>
        <w:t>á</w:t>
      </w:r>
      <w:r w:rsidR="00624F51">
        <w:rPr>
          <w:rFonts w:ascii="Times New Roman" w:hAnsi="Times New Roman" w:cs="Times New Roman"/>
          <w:sz w:val="24"/>
          <w:szCs w:val="24"/>
        </w:rPr>
        <w:t xml:space="preserve"> osob</w:t>
      </w:r>
      <w:r w:rsidR="00ED5260">
        <w:rPr>
          <w:rFonts w:ascii="Times New Roman" w:hAnsi="Times New Roman" w:cs="Times New Roman"/>
          <w:sz w:val="24"/>
          <w:szCs w:val="24"/>
        </w:rPr>
        <w:t>a,</w:t>
      </w:r>
      <w:r w:rsidR="00624F51">
        <w:rPr>
          <w:rFonts w:ascii="Times New Roman" w:hAnsi="Times New Roman" w:cs="Times New Roman"/>
          <w:sz w:val="24"/>
          <w:szCs w:val="24"/>
        </w:rPr>
        <w:t xml:space="preserve"> ktor</w:t>
      </w:r>
      <w:r w:rsidR="00ED5260">
        <w:rPr>
          <w:rFonts w:ascii="Times New Roman" w:hAnsi="Times New Roman" w:cs="Times New Roman"/>
          <w:sz w:val="24"/>
          <w:szCs w:val="24"/>
        </w:rPr>
        <w:t>á</w:t>
      </w:r>
      <w:r w:rsidR="00624F51">
        <w:rPr>
          <w:rFonts w:ascii="Times New Roman" w:hAnsi="Times New Roman" w:cs="Times New Roman"/>
          <w:sz w:val="24"/>
          <w:szCs w:val="24"/>
        </w:rPr>
        <w:t xml:space="preserve"> urobil</w:t>
      </w:r>
      <w:r w:rsidR="00ED5260">
        <w:rPr>
          <w:rFonts w:ascii="Times New Roman" w:hAnsi="Times New Roman" w:cs="Times New Roman"/>
          <w:sz w:val="24"/>
          <w:szCs w:val="24"/>
        </w:rPr>
        <w:t>a</w:t>
      </w:r>
      <w:r w:rsidR="00624F51">
        <w:rPr>
          <w:rFonts w:ascii="Times New Roman" w:hAnsi="Times New Roman" w:cs="Times New Roman"/>
          <w:sz w:val="24"/>
          <w:szCs w:val="24"/>
        </w:rPr>
        <w:t xml:space="preserve"> </w:t>
      </w:r>
      <w:r w:rsidR="00624F51">
        <w:rPr>
          <w:rFonts w:ascii="Times New Roman" w:hAnsi="Times New Roman" w:cs="Times New Roman"/>
          <w:sz w:val="24"/>
          <w:szCs w:val="24"/>
        </w:rPr>
        <w:lastRenderedPageBreak/>
        <w:t xml:space="preserve">oznámenie anonymne, avšak </w:t>
      </w:r>
      <w:r w:rsidR="0081311C">
        <w:rPr>
          <w:rFonts w:ascii="Times New Roman" w:hAnsi="Times New Roman" w:cs="Times New Roman"/>
          <w:sz w:val="24"/>
          <w:szCs w:val="24"/>
        </w:rPr>
        <w:t>j</w:t>
      </w:r>
      <w:r w:rsidR="00ED5260">
        <w:rPr>
          <w:rFonts w:ascii="Times New Roman" w:hAnsi="Times New Roman" w:cs="Times New Roman"/>
          <w:sz w:val="24"/>
          <w:szCs w:val="24"/>
        </w:rPr>
        <w:t>ej</w:t>
      </w:r>
      <w:r w:rsidR="00624F51">
        <w:rPr>
          <w:rFonts w:ascii="Times New Roman" w:hAnsi="Times New Roman" w:cs="Times New Roman"/>
          <w:sz w:val="24"/>
          <w:szCs w:val="24"/>
        </w:rPr>
        <w:t xml:space="preserve"> totožnosť bola odhalená. V danom prípade je irelevantné, na základe akých skutočností prišlo k odhaleniu identity anonymného oznamovateľa. </w:t>
      </w:r>
    </w:p>
    <w:p w14:paraId="742B7087" w14:textId="375C449A" w:rsidR="003A3D9C" w:rsidRDefault="003A3D9C" w:rsidP="006C2B40">
      <w:pPr>
        <w:spacing w:after="0" w:line="240" w:lineRule="auto"/>
        <w:jc w:val="both"/>
        <w:rPr>
          <w:rFonts w:ascii="Times New Roman" w:hAnsi="Times New Roman" w:cs="Times New Roman"/>
          <w:sz w:val="24"/>
          <w:szCs w:val="24"/>
        </w:rPr>
      </w:pPr>
    </w:p>
    <w:p w14:paraId="26353E4A" w14:textId="28A1E437" w:rsidR="003F53F8" w:rsidRPr="008617AD" w:rsidRDefault="003A3D9C" w:rsidP="00F87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Základným predpokladom pre naplnenie definície oznamovateľa je kritériu</w:t>
      </w:r>
      <w:r w:rsidR="00ED44F9">
        <w:rPr>
          <w:rFonts w:ascii="Times New Roman" w:hAnsi="Times New Roman" w:cs="Times New Roman"/>
          <w:sz w:val="24"/>
          <w:szCs w:val="24"/>
        </w:rPr>
        <w:t>m</w:t>
      </w:r>
      <w:r>
        <w:rPr>
          <w:rFonts w:ascii="Times New Roman" w:hAnsi="Times New Roman" w:cs="Times New Roman"/>
          <w:sz w:val="24"/>
          <w:szCs w:val="24"/>
        </w:rPr>
        <w:t xml:space="preserve"> dobrej viery, v ktorej daná osoba urobí oznámenie alebo zverejní informácie</w:t>
      </w:r>
      <w:r w:rsidR="00ED44F9">
        <w:rPr>
          <w:rFonts w:ascii="Times New Roman" w:hAnsi="Times New Roman" w:cs="Times New Roman"/>
          <w:sz w:val="24"/>
          <w:szCs w:val="24"/>
        </w:rPr>
        <w:t>. Navrhovaná úprava nadväzuje na</w:t>
      </w:r>
      <w:r>
        <w:rPr>
          <w:rFonts w:ascii="Times New Roman" w:hAnsi="Times New Roman" w:cs="Times New Roman"/>
          <w:sz w:val="24"/>
          <w:szCs w:val="24"/>
        </w:rPr>
        <w:t xml:space="preserve"> </w:t>
      </w:r>
      <w:r w:rsidRPr="003A3D9C">
        <w:rPr>
          <w:rFonts w:ascii="Times New Roman" w:hAnsi="Times New Roman" w:cs="Times New Roman"/>
          <w:sz w:val="24"/>
          <w:szCs w:val="24"/>
        </w:rPr>
        <w:t>čl</w:t>
      </w:r>
      <w:r>
        <w:rPr>
          <w:rFonts w:ascii="Times New Roman" w:hAnsi="Times New Roman" w:cs="Times New Roman"/>
          <w:sz w:val="24"/>
          <w:szCs w:val="24"/>
        </w:rPr>
        <w:t>. 6 ods. 1 smernice (EÚ) 2019/1937</w:t>
      </w:r>
      <w:r w:rsidR="00ED44F9">
        <w:rPr>
          <w:rFonts w:ascii="Times New Roman" w:hAnsi="Times New Roman" w:cs="Times New Roman"/>
          <w:sz w:val="24"/>
          <w:szCs w:val="24"/>
        </w:rPr>
        <w:t xml:space="preserve"> v platnom znení, pričom p</w:t>
      </w:r>
      <w:r>
        <w:rPr>
          <w:rFonts w:ascii="Times New Roman" w:hAnsi="Times New Roman" w:cs="Times New Roman"/>
          <w:sz w:val="24"/>
          <w:szCs w:val="24"/>
        </w:rPr>
        <w:t>ojem „dobrá viera“ je vymedzený v ustanovení §</w:t>
      </w:r>
      <w:r w:rsidR="005D1108">
        <w:rPr>
          <w:rFonts w:ascii="Times New Roman" w:hAnsi="Times New Roman" w:cs="Times New Roman"/>
          <w:sz w:val="24"/>
          <w:szCs w:val="24"/>
        </w:rPr>
        <w:t xml:space="preserve"> </w:t>
      </w:r>
      <w:r>
        <w:rPr>
          <w:rFonts w:ascii="Times New Roman" w:hAnsi="Times New Roman" w:cs="Times New Roman"/>
          <w:sz w:val="24"/>
          <w:szCs w:val="24"/>
        </w:rPr>
        <w:t xml:space="preserve">2 písm. </w:t>
      </w:r>
      <w:r w:rsidR="0098633E">
        <w:rPr>
          <w:rFonts w:ascii="Times New Roman" w:hAnsi="Times New Roman" w:cs="Times New Roman"/>
          <w:sz w:val="24"/>
          <w:szCs w:val="24"/>
        </w:rPr>
        <w:t>i</w:t>
      </w:r>
      <w:r>
        <w:rPr>
          <w:rFonts w:ascii="Times New Roman" w:hAnsi="Times New Roman" w:cs="Times New Roman"/>
          <w:sz w:val="24"/>
          <w:szCs w:val="24"/>
        </w:rPr>
        <w:t xml:space="preserve">) zákona. </w:t>
      </w:r>
    </w:p>
    <w:p w14:paraId="7FD04873" w14:textId="77777777" w:rsidR="006C2B40" w:rsidRPr="0090742D" w:rsidRDefault="006C2B40" w:rsidP="00A3392F">
      <w:pPr>
        <w:spacing w:after="0" w:line="240" w:lineRule="auto"/>
        <w:jc w:val="both"/>
        <w:rPr>
          <w:rFonts w:ascii="Times New Roman" w:hAnsi="Times New Roman" w:cs="Times New Roman"/>
          <w:sz w:val="24"/>
          <w:szCs w:val="24"/>
        </w:rPr>
      </w:pPr>
    </w:p>
    <w:p w14:paraId="74787044" w14:textId="77777777" w:rsidR="00463E08" w:rsidRPr="00C02EF6" w:rsidRDefault="007E5DBE" w:rsidP="00D167DA">
      <w:pPr>
        <w:spacing w:after="0" w:line="240" w:lineRule="auto"/>
        <w:jc w:val="both"/>
        <w:rPr>
          <w:rFonts w:ascii="Times New Roman" w:hAnsi="Times New Roman" w:cs="Times New Roman"/>
          <w:b/>
          <w:sz w:val="24"/>
          <w:szCs w:val="24"/>
        </w:rPr>
      </w:pPr>
      <w:r w:rsidRPr="00C02EF6">
        <w:rPr>
          <w:rFonts w:ascii="Times New Roman" w:hAnsi="Times New Roman" w:cs="Times New Roman"/>
          <w:b/>
          <w:sz w:val="24"/>
          <w:szCs w:val="24"/>
        </w:rPr>
        <w:t xml:space="preserve">K bodu 6 </w:t>
      </w:r>
    </w:p>
    <w:p w14:paraId="4B77D0B8" w14:textId="77777777" w:rsidR="007E5DBE" w:rsidRPr="008E4358" w:rsidRDefault="007E5DBE" w:rsidP="00D167DA">
      <w:pPr>
        <w:spacing w:after="0" w:line="240" w:lineRule="auto"/>
        <w:jc w:val="both"/>
        <w:rPr>
          <w:rFonts w:ascii="Times New Roman" w:hAnsi="Times New Roman" w:cs="Times New Roman"/>
          <w:b/>
          <w:i/>
          <w:sz w:val="24"/>
          <w:szCs w:val="24"/>
        </w:rPr>
      </w:pPr>
      <w:r w:rsidRPr="008E4358">
        <w:rPr>
          <w:rFonts w:ascii="Times New Roman" w:hAnsi="Times New Roman" w:cs="Times New Roman"/>
          <w:b/>
          <w:i/>
          <w:sz w:val="24"/>
          <w:szCs w:val="24"/>
        </w:rPr>
        <w:t>(§ 2 písm. b))</w:t>
      </w:r>
    </w:p>
    <w:p w14:paraId="4E8F11F6" w14:textId="77777777" w:rsidR="00463E08" w:rsidRPr="008E4358" w:rsidRDefault="00463E08" w:rsidP="009638E0">
      <w:pPr>
        <w:spacing w:after="0" w:line="240" w:lineRule="auto"/>
        <w:rPr>
          <w:rFonts w:ascii="Times New Roman" w:hAnsi="Times New Roman" w:cs="Times New Roman"/>
          <w:sz w:val="24"/>
          <w:szCs w:val="24"/>
        </w:rPr>
      </w:pPr>
    </w:p>
    <w:p w14:paraId="61B0F284" w14:textId="78309A7B" w:rsidR="00C02EF6" w:rsidRDefault="00C02EF6" w:rsidP="00D537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Navrhovaná zmena je transpozíci</w:t>
      </w:r>
      <w:r w:rsidR="00603838">
        <w:rPr>
          <w:rFonts w:ascii="Times New Roman" w:hAnsi="Times New Roman" w:cs="Times New Roman"/>
          <w:sz w:val="24"/>
          <w:szCs w:val="24"/>
        </w:rPr>
        <w:t>o</w:t>
      </w:r>
      <w:r>
        <w:rPr>
          <w:rFonts w:ascii="Times New Roman" w:hAnsi="Times New Roman" w:cs="Times New Roman"/>
          <w:sz w:val="24"/>
          <w:szCs w:val="24"/>
        </w:rPr>
        <w:t xml:space="preserve">u čl. 5 ods. 2 </w:t>
      </w:r>
      <w:r>
        <w:rPr>
          <w:rFonts w:ascii="Times New Roman" w:hAnsi="Times New Roman"/>
          <w:sz w:val="24"/>
          <w:szCs w:val="24"/>
        </w:rPr>
        <w:t xml:space="preserve">smernice </w:t>
      </w:r>
      <w:r w:rsidRPr="008336BE">
        <w:rPr>
          <w:rFonts w:ascii="Times New Roman" w:hAnsi="Times New Roman"/>
          <w:sz w:val="24"/>
          <w:szCs w:val="24"/>
        </w:rPr>
        <w:t>(EÚ) 2019/1937</w:t>
      </w:r>
      <w:r w:rsidR="003A3D9C">
        <w:rPr>
          <w:rFonts w:ascii="Times New Roman" w:hAnsi="Times New Roman"/>
          <w:sz w:val="24"/>
          <w:szCs w:val="24"/>
        </w:rPr>
        <w:t xml:space="preserve"> v platnom znení</w:t>
      </w:r>
      <w:r>
        <w:rPr>
          <w:rFonts w:ascii="Times New Roman" w:hAnsi="Times New Roman"/>
          <w:sz w:val="24"/>
          <w:szCs w:val="24"/>
        </w:rPr>
        <w:t xml:space="preserve">, ktorá adresnejšie definuje oznámenie </w:t>
      </w:r>
      <w:r w:rsidR="003F7126">
        <w:rPr>
          <w:rFonts w:ascii="Times New Roman" w:hAnsi="Times New Roman"/>
          <w:sz w:val="24"/>
          <w:szCs w:val="24"/>
        </w:rPr>
        <w:t>protispoločenskej činnosti</w:t>
      </w:r>
      <w:r>
        <w:rPr>
          <w:rFonts w:ascii="Times New Roman" w:hAnsi="Times New Roman"/>
          <w:sz w:val="24"/>
          <w:szCs w:val="24"/>
        </w:rPr>
        <w:t xml:space="preserve">, o ktorej sa oznamovateľ dozvie v súvislosti s jeho pracovnoprávnym alebo iným obdobným vzťahom. </w:t>
      </w:r>
      <w:r w:rsidR="00F44EAF">
        <w:rPr>
          <w:rFonts w:ascii="Times New Roman" w:hAnsi="Times New Roman"/>
          <w:sz w:val="24"/>
          <w:szCs w:val="24"/>
        </w:rPr>
        <w:t xml:space="preserve">Táto zmena nadväzuje na navrhované ustanovenie § 1 ods. 1 písm. a) a § 2 písm. f) návrhu zákona. </w:t>
      </w:r>
    </w:p>
    <w:p w14:paraId="5FFF9DB9" w14:textId="77777777" w:rsidR="008827A6" w:rsidRDefault="008827A6" w:rsidP="009638E0">
      <w:pPr>
        <w:spacing w:after="0" w:line="240" w:lineRule="auto"/>
        <w:jc w:val="both"/>
        <w:rPr>
          <w:rFonts w:ascii="Times New Roman" w:hAnsi="Times New Roman" w:cs="Times New Roman"/>
          <w:sz w:val="24"/>
          <w:szCs w:val="24"/>
          <w:u w:val="single"/>
        </w:rPr>
      </w:pPr>
    </w:p>
    <w:p w14:paraId="3546DC9B" w14:textId="5849D4A6" w:rsidR="007E5DBE" w:rsidRPr="00ED47A3" w:rsidRDefault="007E5DBE"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 xml:space="preserve">K bodu 7 </w:t>
      </w:r>
      <w:r w:rsidR="004A08BE">
        <w:rPr>
          <w:rFonts w:ascii="Times New Roman" w:hAnsi="Times New Roman" w:cs="Times New Roman"/>
          <w:b/>
          <w:sz w:val="24"/>
          <w:szCs w:val="24"/>
        </w:rPr>
        <w:t>a 8</w:t>
      </w:r>
    </w:p>
    <w:p w14:paraId="7A89EF5C" w14:textId="77777777" w:rsidR="007E5DBE" w:rsidRPr="00ED47A3" w:rsidRDefault="007E5DBE"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w:t>
      </w:r>
      <w:r w:rsidR="00C510C4" w:rsidRPr="00ED47A3">
        <w:rPr>
          <w:rFonts w:ascii="Times New Roman" w:hAnsi="Times New Roman" w:cs="Times New Roman"/>
          <w:b/>
          <w:i/>
          <w:sz w:val="24"/>
          <w:szCs w:val="24"/>
        </w:rPr>
        <w:t>§ 2 písm. d)</w:t>
      </w:r>
      <w:r w:rsidRPr="00ED47A3">
        <w:rPr>
          <w:rFonts w:ascii="Times New Roman" w:hAnsi="Times New Roman" w:cs="Times New Roman"/>
          <w:b/>
          <w:i/>
          <w:sz w:val="24"/>
          <w:szCs w:val="24"/>
        </w:rPr>
        <w:t>)</w:t>
      </w:r>
    </w:p>
    <w:p w14:paraId="18B0A073" w14:textId="77777777" w:rsidR="00C510C4" w:rsidRPr="00ED47A3" w:rsidRDefault="00C510C4" w:rsidP="009638E0">
      <w:pPr>
        <w:spacing w:after="0" w:line="240" w:lineRule="auto"/>
        <w:jc w:val="both"/>
        <w:rPr>
          <w:rFonts w:ascii="Times New Roman" w:hAnsi="Times New Roman" w:cs="Times New Roman"/>
          <w:sz w:val="24"/>
          <w:szCs w:val="24"/>
        </w:rPr>
      </w:pPr>
    </w:p>
    <w:p w14:paraId="4B08115A" w14:textId="4C098AEC" w:rsidR="001270BA" w:rsidRDefault="00C510C4" w:rsidP="00D537BF">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Dotknuté ustanovenie v rámci vymedzenia jednotlivých pojmov na účely zákona v § 2 písm. d) definuje závažnú protispoločenskú činnosť v zásade dvomi spôsobmi. V prvom prípade v</w:t>
      </w:r>
      <w:r w:rsidR="00F54342">
        <w:rPr>
          <w:rFonts w:ascii="Times New Roman" w:hAnsi="Times New Roman" w:cs="Times New Roman"/>
          <w:sz w:val="24"/>
          <w:szCs w:val="24"/>
        </w:rPr>
        <w:t> </w:t>
      </w:r>
      <w:r w:rsidRPr="00ED47A3">
        <w:rPr>
          <w:rFonts w:ascii="Times New Roman" w:hAnsi="Times New Roman" w:cs="Times New Roman"/>
          <w:sz w:val="24"/>
          <w:szCs w:val="24"/>
        </w:rPr>
        <w:t>bode</w:t>
      </w:r>
      <w:r w:rsidR="00F54342">
        <w:rPr>
          <w:rFonts w:ascii="Times New Roman" w:hAnsi="Times New Roman" w:cs="Times New Roman"/>
          <w:sz w:val="24"/>
          <w:szCs w:val="24"/>
        </w:rPr>
        <w:t xml:space="preserve"> </w:t>
      </w:r>
      <w:r w:rsidRPr="00ED47A3">
        <w:rPr>
          <w:rFonts w:ascii="Times New Roman" w:hAnsi="Times New Roman" w:cs="Times New Roman"/>
          <w:sz w:val="24"/>
          <w:szCs w:val="24"/>
        </w:rPr>
        <w:t xml:space="preserve">1 taxatívne menuje trestné činy a v bode 2. stanovuje </w:t>
      </w:r>
      <w:r w:rsidR="001270BA" w:rsidRPr="00ED47A3">
        <w:rPr>
          <w:rFonts w:ascii="Times New Roman" w:hAnsi="Times New Roman" w:cs="Times New Roman"/>
          <w:sz w:val="24"/>
          <w:szCs w:val="24"/>
        </w:rPr>
        <w:t xml:space="preserve">podmienku, </w:t>
      </w:r>
      <w:r w:rsidR="00890644" w:rsidRPr="00ED47A3">
        <w:rPr>
          <w:rFonts w:ascii="Times New Roman" w:hAnsi="Times New Roman" w:cs="Times New Roman"/>
          <w:sz w:val="24"/>
          <w:szCs w:val="24"/>
        </w:rPr>
        <w:t>ktorá ak</w:t>
      </w:r>
      <w:r w:rsidR="001270BA" w:rsidRPr="00ED47A3">
        <w:rPr>
          <w:rFonts w:ascii="Times New Roman" w:hAnsi="Times New Roman" w:cs="Times New Roman"/>
          <w:sz w:val="24"/>
          <w:szCs w:val="24"/>
        </w:rPr>
        <w:t xml:space="preserve"> bude </w:t>
      </w:r>
      <w:r w:rsidR="00890644" w:rsidRPr="00ED47A3">
        <w:rPr>
          <w:rFonts w:ascii="Times New Roman" w:hAnsi="Times New Roman" w:cs="Times New Roman"/>
          <w:sz w:val="24"/>
          <w:szCs w:val="24"/>
        </w:rPr>
        <w:t>n</w:t>
      </w:r>
      <w:r w:rsidR="00D53512" w:rsidRPr="00ED47A3">
        <w:rPr>
          <w:rFonts w:ascii="Times New Roman" w:hAnsi="Times New Roman" w:cs="Times New Roman"/>
          <w:sz w:val="24"/>
          <w:szCs w:val="24"/>
        </w:rPr>
        <w:t>a</w:t>
      </w:r>
      <w:r w:rsidR="00890644" w:rsidRPr="00ED47A3">
        <w:rPr>
          <w:rFonts w:ascii="Times New Roman" w:hAnsi="Times New Roman" w:cs="Times New Roman"/>
          <w:sz w:val="24"/>
          <w:szCs w:val="24"/>
        </w:rPr>
        <w:t xml:space="preserve">plnená, bude </w:t>
      </w:r>
      <w:r w:rsidR="001270BA" w:rsidRPr="00ED47A3">
        <w:rPr>
          <w:rFonts w:ascii="Times New Roman" w:hAnsi="Times New Roman" w:cs="Times New Roman"/>
          <w:sz w:val="24"/>
          <w:szCs w:val="24"/>
        </w:rPr>
        <w:t>daná trestná činnosť spĺňať kvalifikáciu závažnej</w:t>
      </w:r>
      <w:r w:rsidR="0081311C">
        <w:rPr>
          <w:rFonts w:ascii="Times New Roman" w:hAnsi="Times New Roman" w:cs="Times New Roman"/>
          <w:sz w:val="24"/>
          <w:szCs w:val="24"/>
        </w:rPr>
        <w:t xml:space="preserve"> </w:t>
      </w:r>
      <w:r w:rsidR="001270BA" w:rsidRPr="00ED47A3">
        <w:rPr>
          <w:rFonts w:ascii="Times New Roman" w:hAnsi="Times New Roman" w:cs="Times New Roman"/>
          <w:sz w:val="24"/>
          <w:szCs w:val="24"/>
        </w:rPr>
        <w:t>protispoločenskej činnosti. V súča</w:t>
      </w:r>
      <w:r w:rsidR="00890644" w:rsidRPr="00ED47A3">
        <w:rPr>
          <w:rFonts w:ascii="Times New Roman" w:hAnsi="Times New Roman" w:cs="Times New Roman"/>
          <w:sz w:val="24"/>
          <w:szCs w:val="24"/>
        </w:rPr>
        <w:t>s</w:t>
      </w:r>
      <w:r w:rsidR="00D35C2E" w:rsidRPr="00ED47A3">
        <w:rPr>
          <w:rFonts w:ascii="Times New Roman" w:hAnsi="Times New Roman" w:cs="Times New Roman"/>
          <w:sz w:val="24"/>
          <w:szCs w:val="24"/>
        </w:rPr>
        <w:t xml:space="preserve">nosti je táto podmienka </w:t>
      </w:r>
      <w:r w:rsidR="00581335" w:rsidRPr="00ED47A3">
        <w:rPr>
          <w:rFonts w:ascii="Times New Roman" w:hAnsi="Times New Roman" w:cs="Times New Roman"/>
          <w:sz w:val="24"/>
          <w:szCs w:val="24"/>
        </w:rPr>
        <w:t>určená</w:t>
      </w:r>
      <w:r w:rsidR="001270BA" w:rsidRPr="00ED47A3">
        <w:rPr>
          <w:rFonts w:ascii="Times New Roman" w:hAnsi="Times New Roman" w:cs="Times New Roman"/>
          <w:sz w:val="24"/>
          <w:szCs w:val="24"/>
        </w:rPr>
        <w:t xml:space="preserve"> hornou hranicou trestnej sadzby prevyšujúcou tri roky. </w:t>
      </w:r>
      <w:r w:rsidR="00D53512" w:rsidRPr="00ED47A3">
        <w:rPr>
          <w:rFonts w:ascii="Times New Roman" w:hAnsi="Times New Roman" w:cs="Times New Roman"/>
          <w:sz w:val="24"/>
          <w:szCs w:val="24"/>
        </w:rPr>
        <w:t>Z praxe vyplynulo, že t</w:t>
      </w:r>
      <w:r w:rsidR="001270BA" w:rsidRPr="00ED47A3">
        <w:rPr>
          <w:rFonts w:ascii="Times New Roman" w:hAnsi="Times New Roman" w:cs="Times New Roman"/>
          <w:sz w:val="24"/>
          <w:szCs w:val="24"/>
        </w:rPr>
        <w:t xml:space="preserve">áto definícia nedokázala obsiahnuť všetky trestné činy spadajúce </w:t>
      </w:r>
      <w:r w:rsidR="00D53512" w:rsidRPr="00ED47A3">
        <w:rPr>
          <w:rFonts w:ascii="Times New Roman" w:hAnsi="Times New Roman" w:cs="Times New Roman"/>
          <w:sz w:val="24"/>
          <w:szCs w:val="24"/>
        </w:rPr>
        <w:t>medzi závažné formy protispoločenskej činnosti,</w:t>
      </w:r>
      <w:r w:rsidR="0081311C">
        <w:rPr>
          <w:rFonts w:ascii="Times New Roman" w:hAnsi="Times New Roman" w:cs="Times New Roman"/>
          <w:sz w:val="24"/>
          <w:szCs w:val="24"/>
        </w:rPr>
        <w:t xml:space="preserve"> </w:t>
      </w:r>
      <w:r w:rsidR="001270BA" w:rsidRPr="00ED47A3">
        <w:rPr>
          <w:rFonts w:ascii="Times New Roman" w:hAnsi="Times New Roman" w:cs="Times New Roman"/>
          <w:sz w:val="24"/>
          <w:szCs w:val="24"/>
        </w:rPr>
        <w:t>viď napr.§ 168, 170, 170b, 300, 302, 352a zákona č. 300/2005 Z. z. Trestný zákon v znení neskorších predpisov. Z uvedeného dôvodu sa navrhuje rozšíriť zoznam trestných činov, ktorých oznamovanie bude spadať pod režim závažnej protispoločenskej činnosti a to tak, že príde k úprave podmienky v časti stanovu</w:t>
      </w:r>
      <w:r w:rsidR="00D35C2E" w:rsidRPr="00ED47A3">
        <w:rPr>
          <w:rFonts w:ascii="Times New Roman" w:hAnsi="Times New Roman" w:cs="Times New Roman"/>
          <w:sz w:val="24"/>
          <w:szCs w:val="24"/>
        </w:rPr>
        <w:t xml:space="preserve">júcej hornú </w:t>
      </w:r>
      <w:r w:rsidR="003F7126" w:rsidRPr="00ED47A3">
        <w:rPr>
          <w:rFonts w:ascii="Times New Roman" w:hAnsi="Times New Roman" w:cs="Times New Roman"/>
          <w:sz w:val="24"/>
          <w:szCs w:val="24"/>
        </w:rPr>
        <w:t xml:space="preserve">hranicu </w:t>
      </w:r>
      <w:r w:rsidR="00D35C2E" w:rsidRPr="00ED47A3">
        <w:rPr>
          <w:rFonts w:ascii="Times New Roman" w:hAnsi="Times New Roman" w:cs="Times New Roman"/>
          <w:sz w:val="24"/>
          <w:szCs w:val="24"/>
        </w:rPr>
        <w:t>trestn</w:t>
      </w:r>
      <w:r w:rsidR="003F7126" w:rsidRPr="00ED47A3">
        <w:rPr>
          <w:rFonts w:ascii="Times New Roman" w:hAnsi="Times New Roman" w:cs="Times New Roman"/>
          <w:sz w:val="24"/>
          <w:szCs w:val="24"/>
        </w:rPr>
        <w:t>ej</w:t>
      </w:r>
      <w:r w:rsidR="00D35C2E" w:rsidRPr="00ED47A3">
        <w:rPr>
          <w:rFonts w:ascii="Times New Roman" w:hAnsi="Times New Roman" w:cs="Times New Roman"/>
          <w:sz w:val="24"/>
          <w:szCs w:val="24"/>
        </w:rPr>
        <w:t xml:space="preserve"> sadz</w:t>
      </w:r>
      <w:r w:rsidR="001270BA" w:rsidRPr="00ED47A3">
        <w:rPr>
          <w:rFonts w:ascii="Times New Roman" w:hAnsi="Times New Roman" w:cs="Times New Roman"/>
          <w:sz w:val="24"/>
          <w:szCs w:val="24"/>
        </w:rPr>
        <w:t>b</w:t>
      </w:r>
      <w:r w:rsidR="003F7126" w:rsidRPr="00ED47A3">
        <w:rPr>
          <w:rFonts w:ascii="Times New Roman" w:hAnsi="Times New Roman" w:cs="Times New Roman"/>
          <w:sz w:val="24"/>
          <w:szCs w:val="24"/>
        </w:rPr>
        <w:t>y</w:t>
      </w:r>
      <w:r w:rsidR="001270BA" w:rsidRPr="00ED47A3">
        <w:rPr>
          <w:rFonts w:ascii="Times New Roman" w:hAnsi="Times New Roman" w:cs="Times New Roman"/>
          <w:sz w:val="24"/>
          <w:szCs w:val="24"/>
        </w:rPr>
        <w:t xml:space="preserve"> z pôvodných troch rokov na dva roky</w:t>
      </w:r>
      <w:r w:rsidR="0098633E">
        <w:rPr>
          <w:rFonts w:ascii="Times New Roman" w:hAnsi="Times New Roman" w:cs="Times New Roman"/>
          <w:sz w:val="24"/>
          <w:szCs w:val="24"/>
        </w:rPr>
        <w:t xml:space="preserve"> a zároveň sa rozšíri aj explicitný zoznam trestných činov, ktoré sa považujú za závažnú protispoločenskú činnosť</w:t>
      </w:r>
      <w:r w:rsidR="001270BA" w:rsidRPr="00ED47A3">
        <w:rPr>
          <w:rFonts w:ascii="Times New Roman" w:hAnsi="Times New Roman" w:cs="Times New Roman"/>
          <w:sz w:val="24"/>
          <w:szCs w:val="24"/>
        </w:rPr>
        <w:t>. Tým bude možné poskytnúť preventívnu ochranu oznamovateľom prostredníctvom prokuratúry aj pri oznamovaní trestných činov, ktoré majú miernejšiu trestnú sadzbu.</w:t>
      </w:r>
    </w:p>
    <w:p w14:paraId="7D285647" w14:textId="640DE536" w:rsidR="0045070F" w:rsidRDefault="0045070F" w:rsidP="00D537BF">
      <w:pPr>
        <w:spacing w:after="0" w:line="240" w:lineRule="auto"/>
        <w:ind w:firstLine="708"/>
        <w:jc w:val="both"/>
        <w:rPr>
          <w:rFonts w:ascii="Times New Roman" w:hAnsi="Times New Roman" w:cs="Times New Roman"/>
          <w:sz w:val="24"/>
          <w:szCs w:val="24"/>
        </w:rPr>
      </w:pPr>
    </w:p>
    <w:p w14:paraId="67D3B64A" w14:textId="3C3B3CF5" w:rsidR="0045070F" w:rsidRDefault="0045070F" w:rsidP="0045070F">
      <w:pPr>
        <w:spacing w:after="0" w:line="240" w:lineRule="auto"/>
        <w:jc w:val="both"/>
        <w:rPr>
          <w:rFonts w:ascii="Times New Roman" w:hAnsi="Times New Roman" w:cs="Times New Roman"/>
          <w:color w:val="000000"/>
          <w:sz w:val="24"/>
          <w:szCs w:val="24"/>
        </w:rPr>
      </w:pPr>
      <w:r w:rsidRPr="0045070F">
        <w:rPr>
          <w:rFonts w:ascii="Times New Roman" w:hAnsi="Times New Roman" w:cs="Times New Roman"/>
          <w:sz w:val="24"/>
          <w:szCs w:val="24"/>
        </w:rPr>
        <w:t xml:space="preserve">Medzi taxatívne stanovené trestné činy, ktoré sa pouvažujú za závažnú protispoločenskú činnosť, patria: trestný čin ohrozovania zdravia závadnými potravinami a inými predmetmi podľa § 168 Trestného zákona, trestný čin ohrozovania zdravia nepovolenými liekmi, liečivami a zdravotníckymi pomôckami podľa § 170 Trestného zákona, trestný čin falšovania liekov a zdravotníckej pomôcky podľa § 170b Trestného zákona, trestný čin neposkytnutia pomoci podľa § 177 Trestného zákona, trestný čin krádeže podľa § 212 Trestného zákona, trestný čin sprenevery podľa § 213 Trestného zákona, trestný čin neoprávneného používania cudzieho motorového vozidla podľa § 217 Trestného zákona, trestný čin podvodu podľa § 221 Trestného zákona, trestný čin neoprávneného obohatenia podľa § 226 Trestného zákona, trestný čin legalizácie výnosu z trestnej činnosti podľa § 233a Trestného zákona, trestný čin porušovania povinnosti pri správe cudzieho majetku podľa § 237 a § 238 Trestného zákona, trestný čin poškodzovania veriteľa podľa § 239 Trestného zákona, trestný čin zvýhodňovania veriteľa podľa § 240 Trestného zákona, trestný čin marenia konkurzného alebo vyrovnacieho konania podľa § 243 Trestného zákona, trestný čin marenia exekučného konania podľa § 243a Trestného zákona, trestný čin neoprávneného prístupu do počítačového systému podľa § 247 Trestného </w:t>
      </w:r>
      <w:r w:rsidRPr="0045070F">
        <w:rPr>
          <w:rFonts w:ascii="Times New Roman" w:hAnsi="Times New Roman" w:cs="Times New Roman"/>
          <w:sz w:val="24"/>
          <w:szCs w:val="24"/>
        </w:rPr>
        <w:lastRenderedPageBreak/>
        <w:t>zákona, trestný čin výroby a držby prístupového zariadenia, hesla do počítačového systému alebo iných údajov podľa § 247d Trestného zákona, trestný čin neoprávneného zamestnávania podľa § 251a Trestného zákona, trestný čin neoprávneného obchodovania s devízovými hodnotami a poskytovanie devízových služieb podľa § 252 Trestného zákona, trestný čin nepovolenej výroby liehu, tabaku a tabakových výrobkov podľa § 253 Trestného zákona, trestný čin porušovania predpisov o obehu tovaru v styku s cudzinou podľa § 254 Trestného zákona, trestný čin poškodzovania finančných záujmov Európskej únie podľa § 261 až 263 Trestného zákona, trestný čin machinácií pri verejnom obstarávaní a verejnej dražbe podľa § 266 až 268 Trestného zákona, trestný čin uvádzania falšovaných, pozmenených a neoprávnene vyrobených peňazí a cenných papierov podľa § 271 Trestného zákona, trestný čin uvádzania falšovaných, pozmenených a neoprávnené vyrobených peňazí a cenných papierov podľa § 271 Trestného zákona, trestný čin marenia výkonu správy daní podľa § 278a Trestného zákona, trestný čin porušovania autorského práva podľa § 283 Trestného zákona, trestný čin neoprávneného uskutočňovania stavby podľa § 299a Trestného zákona, trestný čin neoprávneného nakladania s odpadmi podľa § 302 Trestného zákona, trestný čin porušovania ochrany rastlín a živočíchov podľa § 305 Trestného zákona, trestné činy verejných činiteľov podľa § 326 až 327a Trestného zákona alebo trestné činy korupcie podľa § 328 až 336b Trestného zákona, trestný čin prijatia a poskytnutia nenáležitej výhody podľa § 336d Trestného zákona, trestný čin marenia výkonu úradného rozhodnutia podľa § 348 Trestného zákona, trestný čin falšovania a vyhotovenia nepravdivej zdravotnej dokumentácie podľa § 352a Trestného zákona, trestný čin neoprávneného nakladania s osobnými údajmi podľa § 374 Trestného zákona</w:t>
      </w:r>
      <w:r>
        <w:rPr>
          <w:rFonts w:ascii="Times New Roman" w:hAnsi="Times New Roman" w:cs="Times New Roman"/>
          <w:color w:val="000000"/>
          <w:sz w:val="24"/>
          <w:szCs w:val="24"/>
        </w:rPr>
        <w:t>.</w:t>
      </w:r>
    </w:p>
    <w:p w14:paraId="1AB176B8" w14:textId="59C31B9E" w:rsidR="00330460" w:rsidRDefault="00330460" w:rsidP="0045070F">
      <w:pPr>
        <w:spacing w:after="0" w:line="240" w:lineRule="auto"/>
        <w:jc w:val="both"/>
        <w:rPr>
          <w:rFonts w:ascii="Times New Roman" w:hAnsi="Times New Roman" w:cs="Times New Roman"/>
          <w:sz w:val="24"/>
          <w:szCs w:val="24"/>
        </w:rPr>
      </w:pPr>
    </w:p>
    <w:p w14:paraId="7699FD00" w14:textId="4591D02E" w:rsidR="00330460" w:rsidRDefault="00330460" w:rsidP="00330460">
      <w:pPr>
        <w:spacing w:after="0" w:line="240" w:lineRule="auto"/>
        <w:jc w:val="both"/>
        <w:rPr>
          <w:rFonts w:ascii="Times New Roman" w:hAnsi="Times New Roman" w:cs="Times New Roman"/>
          <w:b/>
          <w:sz w:val="24"/>
          <w:szCs w:val="24"/>
        </w:rPr>
      </w:pPr>
      <w:r w:rsidRPr="00531615">
        <w:rPr>
          <w:rFonts w:ascii="Times New Roman" w:hAnsi="Times New Roman" w:cs="Times New Roman"/>
          <w:b/>
          <w:sz w:val="24"/>
          <w:szCs w:val="24"/>
        </w:rPr>
        <w:t xml:space="preserve">K bodu </w:t>
      </w:r>
      <w:r w:rsidR="004A08BE" w:rsidRPr="00745211">
        <w:rPr>
          <w:rFonts w:ascii="Times New Roman" w:hAnsi="Times New Roman" w:cs="Times New Roman"/>
          <w:b/>
          <w:sz w:val="24"/>
          <w:szCs w:val="24"/>
        </w:rPr>
        <w:t>9</w:t>
      </w:r>
    </w:p>
    <w:p w14:paraId="20A71606" w14:textId="191C1E21" w:rsidR="00330460" w:rsidRPr="00531615" w:rsidRDefault="00330460" w:rsidP="00330460">
      <w:pPr>
        <w:spacing w:after="0" w:line="240" w:lineRule="auto"/>
        <w:jc w:val="both"/>
        <w:rPr>
          <w:rFonts w:ascii="Times New Roman" w:hAnsi="Times New Roman" w:cs="Times New Roman"/>
          <w:b/>
          <w:i/>
          <w:sz w:val="24"/>
          <w:szCs w:val="24"/>
        </w:rPr>
      </w:pPr>
      <w:r w:rsidRPr="00531615">
        <w:rPr>
          <w:rFonts w:ascii="Times New Roman" w:hAnsi="Times New Roman" w:cs="Times New Roman"/>
          <w:b/>
          <w:i/>
          <w:sz w:val="24"/>
          <w:szCs w:val="24"/>
        </w:rPr>
        <w:t>(</w:t>
      </w:r>
      <w:r>
        <w:rPr>
          <w:rFonts w:ascii="Times New Roman" w:hAnsi="Times New Roman" w:cs="Times New Roman"/>
          <w:b/>
          <w:i/>
          <w:sz w:val="24"/>
          <w:szCs w:val="24"/>
        </w:rPr>
        <w:t>§ 2 písm. e))</w:t>
      </w:r>
    </w:p>
    <w:p w14:paraId="0F8E7EAB" w14:textId="754E00CA" w:rsidR="00C510C4" w:rsidRDefault="00C510C4" w:rsidP="009638E0">
      <w:pPr>
        <w:spacing w:after="0" w:line="240" w:lineRule="auto"/>
        <w:jc w:val="both"/>
        <w:rPr>
          <w:rFonts w:ascii="Times New Roman" w:hAnsi="Times New Roman" w:cs="Times New Roman"/>
          <w:sz w:val="24"/>
          <w:szCs w:val="24"/>
        </w:rPr>
      </w:pPr>
    </w:p>
    <w:p w14:paraId="4C813985" w14:textId="14CE1813" w:rsidR="00330460" w:rsidRDefault="0033046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Uvedenou zmenou pojmu sa spresňuje výpočet vzťahov, ktoré sa na účely tohto zákona považujú za pracovnoprávny vzťah. Pojem dohody o prácach vykonávaných mimo pracovného pomeru plne reflektuje zákonnú úpravu podľa § 223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Zákonníka práce.</w:t>
      </w:r>
    </w:p>
    <w:p w14:paraId="6BA03697" w14:textId="77777777" w:rsidR="00330460" w:rsidRPr="00ED47A3" w:rsidRDefault="00330460" w:rsidP="009638E0">
      <w:pPr>
        <w:spacing w:after="0" w:line="240" w:lineRule="auto"/>
        <w:jc w:val="both"/>
        <w:rPr>
          <w:rFonts w:ascii="Times New Roman" w:hAnsi="Times New Roman" w:cs="Times New Roman"/>
          <w:sz w:val="24"/>
          <w:szCs w:val="24"/>
        </w:rPr>
      </w:pPr>
    </w:p>
    <w:p w14:paraId="3203226A" w14:textId="27BE41B6" w:rsidR="003066D2" w:rsidRPr="003066D2" w:rsidRDefault="003066D2" w:rsidP="009638E0">
      <w:pPr>
        <w:spacing w:after="0" w:line="240" w:lineRule="auto"/>
        <w:jc w:val="both"/>
        <w:rPr>
          <w:rFonts w:ascii="Times New Roman" w:hAnsi="Times New Roman" w:cs="Times New Roman"/>
          <w:b/>
          <w:sz w:val="24"/>
          <w:szCs w:val="24"/>
        </w:rPr>
      </w:pPr>
      <w:r w:rsidRPr="003066D2">
        <w:rPr>
          <w:rFonts w:ascii="Times New Roman" w:hAnsi="Times New Roman" w:cs="Times New Roman"/>
          <w:b/>
          <w:sz w:val="24"/>
          <w:szCs w:val="24"/>
        </w:rPr>
        <w:t xml:space="preserve">K bodu </w:t>
      </w:r>
      <w:r w:rsidR="00603838">
        <w:rPr>
          <w:rFonts w:ascii="Times New Roman" w:hAnsi="Times New Roman" w:cs="Times New Roman"/>
          <w:b/>
          <w:sz w:val="24"/>
          <w:szCs w:val="24"/>
        </w:rPr>
        <w:t>1</w:t>
      </w:r>
      <w:r w:rsidR="00745211">
        <w:rPr>
          <w:rFonts w:ascii="Times New Roman" w:hAnsi="Times New Roman" w:cs="Times New Roman"/>
          <w:b/>
          <w:sz w:val="24"/>
          <w:szCs w:val="24"/>
        </w:rPr>
        <w:t>1</w:t>
      </w:r>
    </w:p>
    <w:p w14:paraId="3BF4F3FD" w14:textId="6588362F" w:rsidR="003066D2" w:rsidRDefault="003066D2" w:rsidP="009638E0">
      <w:pPr>
        <w:spacing w:after="0" w:line="240" w:lineRule="auto"/>
        <w:jc w:val="both"/>
        <w:rPr>
          <w:rFonts w:ascii="Times New Roman" w:hAnsi="Times New Roman" w:cs="Times New Roman"/>
          <w:b/>
          <w:i/>
          <w:sz w:val="24"/>
          <w:szCs w:val="24"/>
        </w:rPr>
      </w:pPr>
      <w:r w:rsidRPr="003066D2">
        <w:rPr>
          <w:rFonts w:ascii="Times New Roman" w:hAnsi="Times New Roman" w:cs="Times New Roman"/>
          <w:b/>
          <w:i/>
          <w:sz w:val="24"/>
          <w:szCs w:val="24"/>
        </w:rPr>
        <w:t>(§ 2a)</w:t>
      </w:r>
    </w:p>
    <w:p w14:paraId="35938F21" w14:textId="77777777" w:rsidR="0001797E" w:rsidRPr="003066D2" w:rsidRDefault="0001797E" w:rsidP="009638E0">
      <w:pPr>
        <w:spacing w:after="0" w:line="240" w:lineRule="auto"/>
        <w:jc w:val="both"/>
        <w:rPr>
          <w:rFonts w:ascii="Times New Roman" w:hAnsi="Times New Roman" w:cs="Times New Roman"/>
          <w:b/>
          <w:i/>
          <w:sz w:val="24"/>
          <w:szCs w:val="24"/>
        </w:rPr>
      </w:pPr>
    </w:p>
    <w:p w14:paraId="59BFDB4D" w14:textId="1F3B779D" w:rsidR="003066D2" w:rsidRDefault="0001797E"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 ohľadom na rozšírenie pôsobnosti zákona z hľadiska poskytovania ochrany osobám v inom obdobnom vzťahu považoval predkladateľ za vhodné jednoznačne určiť, ktoré ustanovenia zákona sa budú vzťahovať na osoby</w:t>
      </w:r>
      <w:r w:rsidR="00745211">
        <w:rPr>
          <w:rFonts w:ascii="Times New Roman" w:hAnsi="Times New Roman" w:cs="Times New Roman"/>
          <w:sz w:val="24"/>
          <w:szCs w:val="24"/>
        </w:rPr>
        <w:t xml:space="preserve"> v pracovnoprávnom vzťahu, na osoby podľa §1 ods. 5, na ktoré sa taktiež vzťahuje ochrana podľa tohto zákona ako aj na osoby</w:t>
      </w:r>
      <w:r>
        <w:rPr>
          <w:rFonts w:ascii="Times New Roman" w:hAnsi="Times New Roman" w:cs="Times New Roman"/>
          <w:sz w:val="24"/>
          <w:szCs w:val="24"/>
        </w:rPr>
        <w:t xml:space="preserve"> v „inom obdobnom vzťahu“. Z uvedeného dôvodu návrh zákona obsahuje i navrhovaný § 2a, ktorý plní funkciu vysvetľujúceho a interpretačného ustanovenia. </w:t>
      </w:r>
    </w:p>
    <w:p w14:paraId="50F36CF5" w14:textId="77777777" w:rsidR="003066D2" w:rsidRPr="00ED47A3" w:rsidRDefault="003066D2" w:rsidP="009638E0">
      <w:pPr>
        <w:spacing w:after="0" w:line="240" w:lineRule="auto"/>
        <w:jc w:val="both"/>
        <w:rPr>
          <w:rFonts w:ascii="Times New Roman" w:hAnsi="Times New Roman" w:cs="Times New Roman"/>
          <w:sz w:val="24"/>
          <w:szCs w:val="24"/>
        </w:rPr>
      </w:pPr>
    </w:p>
    <w:p w14:paraId="3D8B2654" w14:textId="3DE4D4F0" w:rsidR="00C510C4" w:rsidRPr="00ED47A3" w:rsidRDefault="00C510C4"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 xml:space="preserve">K bodu </w:t>
      </w:r>
      <w:r w:rsidR="003066D2">
        <w:rPr>
          <w:rFonts w:ascii="Times New Roman" w:hAnsi="Times New Roman" w:cs="Times New Roman"/>
          <w:b/>
          <w:sz w:val="24"/>
          <w:szCs w:val="24"/>
        </w:rPr>
        <w:t>1</w:t>
      </w:r>
      <w:r w:rsidR="00E42310">
        <w:rPr>
          <w:rFonts w:ascii="Times New Roman" w:hAnsi="Times New Roman" w:cs="Times New Roman"/>
          <w:b/>
          <w:sz w:val="24"/>
          <w:szCs w:val="24"/>
        </w:rPr>
        <w:t>2</w:t>
      </w:r>
      <w:r w:rsidRPr="00ED47A3">
        <w:rPr>
          <w:rFonts w:ascii="Times New Roman" w:hAnsi="Times New Roman" w:cs="Times New Roman"/>
          <w:b/>
          <w:sz w:val="24"/>
          <w:szCs w:val="24"/>
        </w:rPr>
        <w:t xml:space="preserve"> a 1</w:t>
      </w:r>
      <w:r w:rsidR="00E42310">
        <w:rPr>
          <w:rFonts w:ascii="Times New Roman" w:hAnsi="Times New Roman" w:cs="Times New Roman"/>
          <w:b/>
          <w:sz w:val="24"/>
          <w:szCs w:val="24"/>
        </w:rPr>
        <w:t>4</w:t>
      </w:r>
    </w:p>
    <w:p w14:paraId="73EDE429" w14:textId="0E2D8728" w:rsidR="00E42310" w:rsidRDefault="00C510C4"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4 ods. 3 a § 6 ods. 3)</w:t>
      </w:r>
    </w:p>
    <w:p w14:paraId="03A6CCF9" w14:textId="77777777" w:rsidR="00A9183D" w:rsidRPr="00ED47A3" w:rsidRDefault="00A9183D" w:rsidP="009638E0">
      <w:pPr>
        <w:spacing w:after="0" w:line="240" w:lineRule="auto"/>
        <w:jc w:val="both"/>
        <w:rPr>
          <w:rFonts w:ascii="Times New Roman" w:hAnsi="Times New Roman" w:cs="Times New Roman"/>
          <w:sz w:val="24"/>
          <w:szCs w:val="24"/>
        </w:rPr>
      </w:pPr>
    </w:p>
    <w:p w14:paraId="25E3AA69" w14:textId="36738871" w:rsidR="00725DC0" w:rsidRDefault="001270BA" w:rsidP="00725B8B">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V dotknutých ustanovenia sa </w:t>
      </w:r>
      <w:r w:rsidR="00725DC0" w:rsidRPr="00ED47A3">
        <w:rPr>
          <w:rFonts w:ascii="Times New Roman" w:hAnsi="Times New Roman" w:cs="Times New Roman"/>
          <w:sz w:val="24"/>
          <w:szCs w:val="24"/>
        </w:rPr>
        <w:t>rozširuje</w:t>
      </w:r>
      <w:r w:rsidR="0081311C">
        <w:rPr>
          <w:rFonts w:ascii="Times New Roman" w:hAnsi="Times New Roman" w:cs="Times New Roman"/>
          <w:sz w:val="24"/>
          <w:szCs w:val="24"/>
        </w:rPr>
        <w:t xml:space="preserve"> </w:t>
      </w:r>
      <w:r w:rsidR="00725DC0" w:rsidRPr="00ED47A3">
        <w:rPr>
          <w:rFonts w:ascii="Times New Roman" w:hAnsi="Times New Roman" w:cs="Times New Roman"/>
          <w:sz w:val="24"/>
          <w:szCs w:val="24"/>
        </w:rPr>
        <w:t>výpočet adresátov, ktorým prokuratúra alebo správny orgán doručuje oznámenie o nekvalifikovanom oznámení. Po novom bude toto oznámenie doručované i </w:t>
      </w:r>
      <w:r w:rsidR="00D35C2E" w:rsidRPr="00ED47A3">
        <w:rPr>
          <w:rFonts w:ascii="Times New Roman" w:hAnsi="Times New Roman" w:cs="Times New Roman"/>
          <w:sz w:val="24"/>
          <w:szCs w:val="24"/>
        </w:rPr>
        <w:t>úradu</w:t>
      </w:r>
      <w:r w:rsidR="00725DC0" w:rsidRPr="00ED47A3">
        <w:rPr>
          <w:rFonts w:ascii="Times New Roman" w:hAnsi="Times New Roman" w:cs="Times New Roman"/>
          <w:sz w:val="24"/>
          <w:szCs w:val="24"/>
        </w:rPr>
        <w:t xml:space="preserve">, nakoľko práve </w:t>
      </w:r>
      <w:r w:rsidR="00D35C2E" w:rsidRPr="00ED47A3">
        <w:rPr>
          <w:rFonts w:ascii="Times New Roman" w:hAnsi="Times New Roman" w:cs="Times New Roman"/>
          <w:sz w:val="24"/>
          <w:szCs w:val="24"/>
        </w:rPr>
        <w:t>úradu</w:t>
      </w:r>
      <w:r w:rsidR="00725DC0" w:rsidRPr="00ED47A3">
        <w:rPr>
          <w:rFonts w:ascii="Times New Roman" w:hAnsi="Times New Roman" w:cs="Times New Roman"/>
          <w:sz w:val="24"/>
          <w:szCs w:val="24"/>
        </w:rPr>
        <w:t xml:space="preserve"> zákon zveruje v mnohým smeroch komp</w:t>
      </w:r>
      <w:r w:rsidR="00D35C2E" w:rsidRPr="00ED47A3">
        <w:rPr>
          <w:rFonts w:ascii="Times New Roman" w:hAnsi="Times New Roman" w:cs="Times New Roman"/>
          <w:sz w:val="24"/>
          <w:szCs w:val="24"/>
        </w:rPr>
        <w:t>ete</w:t>
      </w:r>
      <w:r w:rsidR="00725DC0" w:rsidRPr="00ED47A3">
        <w:rPr>
          <w:rFonts w:ascii="Times New Roman" w:hAnsi="Times New Roman" w:cs="Times New Roman"/>
          <w:sz w:val="24"/>
          <w:szCs w:val="24"/>
        </w:rPr>
        <w:t xml:space="preserve">ncie </w:t>
      </w:r>
      <w:r w:rsidR="00D35C2E" w:rsidRPr="00ED47A3">
        <w:rPr>
          <w:rFonts w:ascii="Times New Roman" w:hAnsi="Times New Roman" w:cs="Times New Roman"/>
          <w:sz w:val="24"/>
          <w:szCs w:val="24"/>
        </w:rPr>
        <w:t xml:space="preserve">rozhodovať a fakticky i vykonávať </w:t>
      </w:r>
      <w:r w:rsidR="00725DC0" w:rsidRPr="00ED47A3">
        <w:rPr>
          <w:rFonts w:ascii="Times New Roman" w:hAnsi="Times New Roman" w:cs="Times New Roman"/>
          <w:sz w:val="24"/>
          <w:szCs w:val="24"/>
        </w:rPr>
        <w:t>samotnú ochranu oznamovateľov v praxi</w:t>
      </w:r>
      <w:r w:rsidR="00AF3D00" w:rsidRPr="00ED47A3">
        <w:rPr>
          <w:rFonts w:ascii="Times New Roman" w:hAnsi="Times New Roman" w:cs="Times New Roman"/>
          <w:sz w:val="24"/>
          <w:szCs w:val="24"/>
        </w:rPr>
        <w:t xml:space="preserve">, ako aj napomáhať pri ochrane oznamovateľov ich kvalifikovaným zastupovaním v jednotlivých trestných </w:t>
      </w:r>
      <w:r w:rsidR="00016190" w:rsidRPr="00ED47A3">
        <w:rPr>
          <w:rFonts w:ascii="Times New Roman" w:hAnsi="Times New Roman" w:cs="Times New Roman"/>
          <w:sz w:val="24"/>
          <w:szCs w:val="24"/>
        </w:rPr>
        <w:t xml:space="preserve">konaniach </w:t>
      </w:r>
      <w:r w:rsidR="00AF3D00" w:rsidRPr="00ED47A3">
        <w:rPr>
          <w:rFonts w:ascii="Times New Roman" w:hAnsi="Times New Roman" w:cs="Times New Roman"/>
          <w:sz w:val="24"/>
          <w:szCs w:val="24"/>
        </w:rPr>
        <w:t>a</w:t>
      </w:r>
      <w:r w:rsidR="00016190" w:rsidRPr="00ED47A3">
        <w:rPr>
          <w:rFonts w:ascii="Times New Roman" w:hAnsi="Times New Roman" w:cs="Times New Roman"/>
          <w:sz w:val="24"/>
          <w:szCs w:val="24"/>
        </w:rPr>
        <w:t> </w:t>
      </w:r>
      <w:r w:rsidR="00AF3D00" w:rsidRPr="00ED47A3">
        <w:rPr>
          <w:rFonts w:ascii="Times New Roman" w:hAnsi="Times New Roman" w:cs="Times New Roman"/>
          <w:sz w:val="24"/>
          <w:szCs w:val="24"/>
        </w:rPr>
        <w:t>konaniach</w:t>
      </w:r>
      <w:r w:rsidR="00016190" w:rsidRPr="00ED47A3">
        <w:rPr>
          <w:rFonts w:ascii="Times New Roman" w:hAnsi="Times New Roman" w:cs="Times New Roman"/>
          <w:sz w:val="24"/>
          <w:szCs w:val="24"/>
        </w:rPr>
        <w:t xml:space="preserve"> o správnom delikte</w:t>
      </w:r>
      <w:r w:rsidR="00AF3D00" w:rsidRPr="00ED47A3">
        <w:rPr>
          <w:rFonts w:ascii="Times New Roman" w:hAnsi="Times New Roman" w:cs="Times New Roman"/>
          <w:sz w:val="24"/>
          <w:szCs w:val="24"/>
        </w:rPr>
        <w:t>.</w:t>
      </w:r>
      <w:r w:rsidR="0081311C">
        <w:rPr>
          <w:rFonts w:ascii="Times New Roman" w:hAnsi="Times New Roman" w:cs="Times New Roman"/>
          <w:sz w:val="24"/>
          <w:szCs w:val="24"/>
        </w:rPr>
        <w:t xml:space="preserve"> </w:t>
      </w:r>
      <w:r w:rsidR="00AF3D00" w:rsidRPr="00ED47A3">
        <w:rPr>
          <w:rFonts w:ascii="Times New Roman" w:hAnsi="Times New Roman" w:cs="Times New Roman"/>
          <w:sz w:val="24"/>
          <w:szCs w:val="24"/>
        </w:rPr>
        <w:t>Z uvedených dôvodov je dôležité aby aj úrad mal vedomosť o posúdení jednotlivých oznámení ako nekvalifikovaných.</w:t>
      </w:r>
    </w:p>
    <w:p w14:paraId="094634B7" w14:textId="263DB6AB" w:rsidR="009F4A0E" w:rsidRDefault="009F4A0E" w:rsidP="00E42310">
      <w:pPr>
        <w:spacing w:after="0" w:line="240" w:lineRule="auto"/>
        <w:jc w:val="both"/>
        <w:rPr>
          <w:rFonts w:ascii="Times New Roman" w:hAnsi="Times New Roman" w:cs="Times New Roman"/>
          <w:sz w:val="24"/>
          <w:szCs w:val="24"/>
        </w:rPr>
      </w:pPr>
    </w:p>
    <w:p w14:paraId="28957F63" w14:textId="7F0A5132" w:rsidR="00E42310" w:rsidRPr="00531615" w:rsidRDefault="00E42310" w:rsidP="00E42310">
      <w:pPr>
        <w:spacing w:after="0" w:line="240" w:lineRule="auto"/>
        <w:jc w:val="both"/>
        <w:rPr>
          <w:rFonts w:ascii="Times New Roman" w:hAnsi="Times New Roman" w:cs="Times New Roman"/>
          <w:b/>
          <w:sz w:val="24"/>
          <w:szCs w:val="24"/>
        </w:rPr>
      </w:pPr>
      <w:r w:rsidRPr="00531615">
        <w:rPr>
          <w:rFonts w:ascii="Times New Roman" w:hAnsi="Times New Roman" w:cs="Times New Roman"/>
          <w:b/>
          <w:sz w:val="24"/>
          <w:szCs w:val="24"/>
        </w:rPr>
        <w:t>K bodu 13</w:t>
      </w:r>
    </w:p>
    <w:p w14:paraId="5E6E45D5" w14:textId="25678D98" w:rsidR="00E42310" w:rsidRDefault="00E42310" w:rsidP="00E42310">
      <w:pPr>
        <w:spacing w:after="0" w:line="240" w:lineRule="auto"/>
        <w:jc w:val="both"/>
        <w:rPr>
          <w:rFonts w:ascii="Times New Roman" w:hAnsi="Times New Roman" w:cs="Times New Roman"/>
          <w:b/>
          <w:i/>
          <w:sz w:val="24"/>
          <w:szCs w:val="24"/>
        </w:rPr>
      </w:pPr>
      <w:r w:rsidRPr="00531615">
        <w:rPr>
          <w:rFonts w:ascii="Times New Roman" w:hAnsi="Times New Roman" w:cs="Times New Roman"/>
          <w:b/>
          <w:i/>
          <w:sz w:val="24"/>
          <w:szCs w:val="24"/>
        </w:rPr>
        <w:t>(§</w:t>
      </w:r>
      <w:r w:rsidR="00A9183D">
        <w:rPr>
          <w:rFonts w:ascii="Times New Roman" w:hAnsi="Times New Roman" w:cs="Times New Roman"/>
          <w:b/>
          <w:i/>
          <w:sz w:val="24"/>
          <w:szCs w:val="24"/>
        </w:rPr>
        <w:t xml:space="preserve"> </w:t>
      </w:r>
      <w:r w:rsidRPr="00531615">
        <w:rPr>
          <w:rFonts w:ascii="Times New Roman" w:hAnsi="Times New Roman" w:cs="Times New Roman"/>
          <w:b/>
          <w:i/>
          <w:sz w:val="24"/>
          <w:szCs w:val="24"/>
        </w:rPr>
        <w:t>5 ods. 1)</w:t>
      </w:r>
    </w:p>
    <w:p w14:paraId="0F5EFA0A" w14:textId="77777777" w:rsidR="00E42310" w:rsidRPr="00531615" w:rsidRDefault="00E42310" w:rsidP="00E42310">
      <w:pPr>
        <w:spacing w:after="0" w:line="240" w:lineRule="auto"/>
        <w:jc w:val="both"/>
        <w:rPr>
          <w:rFonts w:ascii="Times New Roman" w:hAnsi="Times New Roman" w:cs="Times New Roman"/>
          <w:b/>
          <w:i/>
          <w:sz w:val="24"/>
          <w:szCs w:val="24"/>
        </w:rPr>
      </w:pPr>
    </w:p>
    <w:p w14:paraId="35D19F7C" w14:textId="0056F511" w:rsidR="00E42310" w:rsidRDefault="00E42310" w:rsidP="00E42310">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Uvedená zmena je legislatívno-technického charakteru. </w:t>
      </w:r>
    </w:p>
    <w:p w14:paraId="017BB254" w14:textId="77777777" w:rsidR="00385BA8" w:rsidRPr="00ED47A3" w:rsidRDefault="00385BA8" w:rsidP="009638E0">
      <w:pPr>
        <w:spacing w:after="0" w:line="240" w:lineRule="auto"/>
        <w:jc w:val="both"/>
        <w:rPr>
          <w:rFonts w:ascii="Times New Roman" w:hAnsi="Times New Roman" w:cs="Times New Roman"/>
          <w:sz w:val="24"/>
          <w:szCs w:val="24"/>
        </w:rPr>
      </w:pPr>
    </w:p>
    <w:p w14:paraId="0174FD96" w14:textId="54886954" w:rsidR="00256995" w:rsidRPr="00ED47A3" w:rsidRDefault="00385BA8"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643C9B">
        <w:rPr>
          <w:rFonts w:ascii="Times New Roman" w:hAnsi="Times New Roman" w:cs="Times New Roman"/>
          <w:b/>
          <w:sz w:val="24"/>
          <w:szCs w:val="24"/>
        </w:rPr>
        <w:t>5</w:t>
      </w:r>
    </w:p>
    <w:p w14:paraId="00311866" w14:textId="77777777" w:rsidR="00256995" w:rsidRPr="00ED47A3" w:rsidRDefault="00256995"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9 ods. 2)</w:t>
      </w:r>
    </w:p>
    <w:p w14:paraId="7681A2CE" w14:textId="77777777" w:rsidR="00256995" w:rsidRPr="00ED47A3" w:rsidRDefault="00256995" w:rsidP="009638E0">
      <w:pPr>
        <w:spacing w:after="0" w:line="240" w:lineRule="auto"/>
        <w:jc w:val="both"/>
        <w:rPr>
          <w:rFonts w:ascii="Times New Roman" w:hAnsi="Times New Roman" w:cs="Times New Roman"/>
          <w:sz w:val="24"/>
          <w:szCs w:val="24"/>
        </w:rPr>
      </w:pPr>
    </w:p>
    <w:p w14:paraId="664FAEAB" w14:textId="5F55D206" w:rsidR="00256995" w:rsidRDefault="00256995"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Uvedená zmena je legislatívno-technického charakteru. </w:t>
      </w:r>
    </w:p>
    <w:p w14:paraId="3C725B0C" w14:textId="77777777" w:rsidR="00BB2CAA" w:rsidRPr="00ED47A3" w:rsidRDefault="00BB2CAA" w:rsidP="00531615">
      <w:pPr>
        <w:spacing w:after="0" w:line="240" w:lineRule="auto"/>
        <w:jc w:val="both"/>
        <w:rPr>
          <w:rFonts w:ascii="Times New Roman" w:hAnsi="Times New Roman" w:cs="Times New Roman"/>
          <w:sz w:val="24"/>
          <w:szCs w:val="24"/>
        </w:rPr>
      </w:pPr>
    </w:p>
    <w:p w14:paraId="29E7ADDE" w14:textId="4035F22D" w:rsidR="00385BA8" w:rsidRPr="00ED47A3" w:rsidRDefault="00256995"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w:t>
      </w:r>
      <w:r w:rsidR="00765B22" w:rsidRPr="00ED47A3">
        <w:rPr>
          <w:rFonts w:ascii="Times New Roman" w:hAnsi="Times New Roman" w:cs="Times New Roman"/>
          <w:b/>
          <w:sz w:val="24"/>
          <w:szCs w:val="24"/>
        </w:rPr>
        <w:t xml:space="preserve"> 1</w:t>
      </w:r>
      <w:r w:rsidR="00643C9B">
        <w:rPr>
          <w:rFonts w:ascii="Times New Roman" w:hAnsi="Times New Roman" w:cs="Times New Roman"/>
          <w:b/>
          <w:sz w:val="24"/>
          <w:szCs w:val="24"/>
        </w:rPr>
        <w:t>6</w:t>
      </w:r>
    </w:p>
    <w:p w14:paraId="3805D9F7" w14:textId="77777777" w:rsidR="00385BA8" w:rsidRPr="00ED47A3" w:rsidRDefault="00256995"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xml:space="preserve">(§ 9 ods. </w:t>
      </w:r>
      <w:r w:rsidR="00765B22" w:rsidRPr="00ED47A3">
        <w:rPr>
          <w:rFonts w:ascii="Times New Roman" w:hAnsi="Times New Roman" w:cs="Times New Roman"/>
          <w:b/>
          <w:i/>
          <w:sz w:val="24"/>
          <w:szCs w:val="24"/>
        </w:rPr>
        <w:t>3</w:t>
      </w:r>
      <w:r w:rsidR="00385BA8" w:rsidRPr="00ED47A3">
        <w:rPr>
          <w:rFonts w:ascii="Times New Roman" w:hAnsi="Times New Roman" w:cs="Times New Roman"/>
          <w:b/>
          <w:i/>
          <w:sz w:val="24"/>
          <w:szCs w:val="24"/>
        </w:rPr>
        <w:t>)</w:t>
      </w:r>
    </w:p>
    <w:p w14:paraId="5387BB09" w14:textId="77777777" w:rsidR="00256995" w:rsidRPr="00ED47A3" w:rsidRDefault="00256995" w:rsidP="009638E0">
      <w:pPr>
        <w:spacing w:after="0" w:line="240" w:lineRule="auto"/>
        <w:jc w:val="both"/>
        <w:rPr>
          <w:rFonts w:ascii="Times New Roman" w:hAnsi="Times New Roman" w:cs="Times New Roman"/>
          <w:sz w:val="24"/>
          <w:szCs w:val="24"/>
        </w:rPr>
      </w:pPr>
    </w:p>
    <w:p w14:paraId="191F2E1A" w14:textId="69E7D1E9" w:rsidR="00725DC0" w:rsidRPr="00ED47A3" w:rsidRDefault="00255EE3" w:rsidP="009638E0">
      <w:pPr>
        <w:spacing w:after="0" w:line="240" w:lineRule="auto"/>
        <w:jc w:val="both"/>
        <w:rPr>
          <w:rFonts w:ascii="Times New Roman" w:hAnsi="Times New Roman" w:cs="Times New Roman"/>
          <w:sz w:val="24"/>
          <w:szCs w:val="24"/>
        </w:rPr>
      </w:pPr>
      <w:r w:rsidRPr="00ED47A3">
        <w:rPr>
          <w:rFonts w:ascii="Times New Roman" w:hAnsi="Times New Roman" w:cs="Times New Roman"/>
          <w:sz w:val="24"/>
          <w:szCs w:val="24"/>
        </w:rPr>
        <w:tab/>
        <w:t>Uvedená zmena umožňuje oznamovateľovi podať žiadosť o poskytnutie odmeny aj v </w:t>
      </w:r>
      <w:r w:rsidR="008E4358" w:rsidRPr="00ED47A3">
        <w:rPr>
          <w:rFonts w:ascii="Times New Roman" w:hAnsi="Times New Roman" w:cs="Times New Roman"/>
          <w:sz w:val="24"/>
          <w:szCs w:val="24"/>
        </w:rPr>
        <w:t>prípade</w:t>
      </w:r>
      <w:r w:rsidRPr="00ED47A3">
        <w:rPr>
          <w:rFonts w:ascii="Times New Roman" w:hAnsi="Times New Roman" w:cs="Times New Roman"/>
          <w:sz w:val="24"/>
          <w:szCs w:val="24"/>
        </w:rPr>
        <w:t xml:space="preserve">, ak oznamovateľ nemal štatút chráneného oznamovateľa, ani nemal od prokuratúry či správneho orgánu potvrdenie, že jeho oznámenie je kvalifikované a zároveň </w:t>
      </w:r>
      <w:r w:rsidR="008E4358" w:rsidRPr="00ED47A3">
        <w:rPr>
          <w:rFonts w:ascii="Times New Roman" w:hAnsi="Times New Roman" w:cs="Times New Roman"/>
          <w:sz w:val="24"/>
          <w:szCs w:val="24"/>
        </w:rPr>
        <w:t>oznamovateľovi</w:t>
      </w:r>
      <w:r w:rsidRPr="00ED47A3">
        <w:rPr>
          <w:rFonts w:ascii="Times New Roman" w:hAnsi="Times New Roman" w:cs="Times New Roman"/>
          <w:sz w:val="24"/>
          <w:szCs w:val="24"/>
        </w:rPr>
        <w:t xml:space="preserve"> neboli doručované </w:t>
      </w:r>
      <w:r w:rsidR="008E4358" w:rsidRPr="00ED47A3">
        <w:rPr>
          <w:rFonts w:ascii="Times New Roman" w:hAnsi="Times New Roman" w:cs="Times New Roman"/>
          <w:sz w:val="24"/>
          <w:szCs w:val="24"/>
        </w:rPr>
        <w:t>rozhodnutia podľa §</w:t>
      </w:r>
      <w:r w:rsidR="00DE7D8A">
        <w:rPr>
          <w:rFonts w:ascii="Times New Roman" w:hAnsi="Times New Roman" w:cs="Times New Roman"/>
          <w:sz w:val="24"/>
          <w:szCs w:val="24"/>
        </w:rPr>
        <w:t xml:space="preserve"> </w:t>
      </w:r>
      <w:r w:rsidR="008E4358" w:rsidRPr="00ED47A3">
        <w:rPr>
          <w:rFonts w:ascii="Times New Roman" w:hAnsi="Times New Roman" w:cs="Times New Roman"/>
          <w:sz w:val="24"/>
          <w:szCs w:val="24"/>
        </w:rPr>
        <w:t xml:space="preserve">9 ods. 2 </w:t>
      </w:r>
      <w:r w:rsidR="00BF2594">
        <w:rPr>
          <w:rFonts w:ascii="Times New Roman" w:hAnsi="Times New Roman" w:cs="Times New Roman"/>
          <w:sz w:val="24"/>
          <w:szCs w:val="24"/>
        </w:rPr>
        <w:t xml:space="preserve">zákona </w:t>
      </w:r>
      <w:r w:rsidR="008E4358" w:rsidRPr="00ED47A3">
        <w:rPr>
          <w:rFonts w:ascii="Times New Roman" w:hAnsi="Times New Roman" w:cs="Times New Roman"/>
          <w:sz w:val="24"/>
          <w:szCs w:val="24"/>
        </w:rPr>
        <w:t>(podanie obžaloby, schválenie dohody o uznaní viny a prijatí trestu, schválenie zmieru a zastavenie trestného stíhania, podmienečné zastavenie trestného stíhania alebo nadobudnutie právoplatnosti rozhodnutia podľa §</w:t>
      </w:r>
      <w:r w:rsidR="00A50242">
        <w:rPr>
          <w:rFonts w:ascii="Times New Roman" w:hAnsi="Times New Roman" w:cs="Times New Roman"/>
          <w:sz w:val="24"/>
          <w:szCs w:val="24"/>
        </w:rPr>
        <w:t xml:space="preserve"> </w:t>
      </w:r>
      <w:r w:rsidR="008E4358" w:rsidRPr="00ED47A3">
        <w:rPr>
          <w:rFonts w:ascii="Times New Roman" w:hAnsi="Times New Roman" w:cs="Times New Roman"/>
          <w:sz w:val="24"/>
          <w:szCs w:val="24"/>
        </w:rPr>
        <w:t>9 odseku 1 písm. b)</w:t>
      </w:r>
      <w:r w:rsidR="00BB2CAA">
        <w:rPr>
          <w:rFonts w:ascii="Times New Roman" w:hAnsi="Times New Roman" w:cs="Times New Roman"/>
          <w:sz w:val="24"/>
          <w:szCs w:val="24"/>
        </w:rPr>
        <w:t>). Zároveň však naďalej platí, že odmena môže byť poskytnutá iba oznamovateľom, ktorí urobili kvalifikované oznámenie podľa §</w:t>
      </w:r>
      <w:r w:rsidR="00A50242">
        <w:rPr>
          <w:rFonts w:ascii="Times New Roman" w:hAnsi="Times New Roman" w:cs="Times New Roman"/>
          <w:sz w:val="24"/>
          <w:szCs w:val="24"/>
        </w:rPr>
        <w:t xml:space="preserve"> </w:t>
      </w:r>
      <w:r w:rsidR="00BB2CAA">
        <w:rPr>
          <w:rFonts w:ascii="Times New Roman" w:hAnsi="Times New Roman" w:cs="Times New Roman"/>
          <w:sz w:val="24"/>
          <w:szCs w:val="24"/>
        </w:rPr>
        <w:t>2 písm. c).</w:t>
      </w:r>
    </w:p>
    <w:p w14:paraId="5C384926" w14:textId="77777777" w:rsidR="00D35C2E" w:rsidRPr="00ED47A3" w:rsidRDefault="00D35C2E" w:rsidP="009638E0">
      <w:pPr>
        <w:spacing w:after="0" w:line="240" w:lineRule="auto"/>
        <w:jc w:val="both"/>
        <w:rPr>
          <w:rFonts w:ascii="Times New Roman" w:hAnsi="Times New Roman" w:cs="Times New Roman"/>
          <w:sz w:val="24"/>
          <w:szCs w:val="24"/>
        </w:rPr>
      </w:pPr>
    </w:p>
    <w:p w14:paraId="765B2F5C" w14:textId="6E60FADB" w:rsidR="00725DC0" w:rsidRPr="00ED47A3" w:rsidRDefault="00725DC0"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643C9B">
        <w:rPr>
          <w:rFonts w:ascii="Times New Roman" w:hAnsi="Times New Roman" w:cs="Times New Roman"/>
          <w:b/>
          <w:sz w:val="24"/>
          <w:szCs w:val="24"/>
        </w:rPr>
        <w:t>7</w:t>
      </w:r>
    </w:p>
    <w:p w14:paraId="2334E697" w14:textId="77777777" w:rsidR="00725DC0" w:rsidRPr="00ED47A3" w:rsidRDefault="00385BA8"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9 ods. 5)</w:t>
      </w:r>
    </w:p>
    <w:p w14:paraId="3F7F0699" w14:textId="77777777" w:rsidR="00765B22" w:rsidRPr="00ED47A3" w:rsidRDefault="00765B22" w:rsidP="009638E0">
      <w:pPr>
        <w:spacing w:after="0" w:line="240" w:lineRule="auto"/>
        <w:jc w:val="both"/>
        <w:rPr>
          <w:rFonts w:ascii="Times New Roman" w:hAnsi="Times New Roman" w:cs="Times New Roman"/>
          <w:sz w:val="24"/>
          <w:szCs w:val="24"/>
        </w:rPr>
      </w:pPr>
    </w:p>
    <w:p w14:paraId="072CE9F6" w14:textId="3F766350" w:rsidR="00765B22" w:rsidRDefault="0015651B"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D</w:t>
      </w:r>
      <w:r w:rsidR="00765B22" w:rsidRPr="00ED47A3">
        <w:rPr>
          <w:rFonts w:ascii="Times New Roman" w:hAnsi="Times New Roman" w:cs="Times New Roman"/>
          <w:sz w:val="24"/>
          <w:szCs w:val="24"/>
        </w:rPr>
        <w:t xml:space="preserve">oplnenie ustanovenia § 9 ods. 5 </w:t>
      </w:r>
      <w:r w:rsidR="00BF2594">
        <w:rPr>
          <w:rFonts w:ascii="Times New Roman" w:hAnsi="Times New Roman" w:cs="Times New Roman"/>
          <w:sz w:val="24"/>
          <w:szCs w:val="24"/>
        </w:rPr>
        <w:t xml:space="preserve">zákona </w:t>
      </w:r>
      <w:r w:rsidRPr="00ED47A3">
        <w:rPr>
          <w:rFonts w:ascii="Times New Roman" w:hAnsi="Times New Roman" w:cs="Times New Roman"/>
          <w:sz w:val="24"/>
          <w:szCs w:val="24"/>
        </w:rPr>
        <w:t>sa navrhuje za účelom poskytnúť</w:t>
      </w:r>
      <w:r w:rsidR="00765B22" w:rsidRPr="00ED47A3">
        <w:rPr>
          <w:rFonts w:ascii="Times New Roman" w:hAnsi="Times New Roman" w:cs="Times New Roman"/>
          <w:sz w:val="24"/>
          <w:szCs w:val="24"/>
        </w:rPr>
        <w:t xml:space="preserve"> úrad</w:t>
      </w:r>
      <w:r w:rsidRPr="00ED47A3">
        <w:rPr>
          <w:rFonts w:ascii="Times New Roman" w:hAnsi="Times New Roman" w:cs="Times New Roman"/>
          <w:sz w:val="24"/>
          <w:szCs w:val="24"/>
        </w:rPr>
        <w:t>u širšie možnosti pri</w:t>
      </w:r>
      <w:r w:rsidR="00765B22" w:rsidRPr="00ED47A3">
        <w:rPr>
          <w:rFonts w:ascii="Times New Roman" w:hAnsi="Times New Roman" w:cs="Times New Roman"/>
          <w:sz w:val="24"/>
          <w:szCs w:val="24"/>
        </w:rPr>
        <w:t xml:space="preserve"> správnej úvahy</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o</w:t>
      </w:r>
      <w:r w:rsidR="00765B22" w:rsidRPr="00ED47A3">
        <w:rPr>
          <w:rFonts w:ascii="Times New Roman" w:hAnsi="Times New Roman" w:cs="Times New Roman"/>
          <w:sz w:val="24"/>
          <w:szCs w:val="24"/>
        </w:rPr>
        <w:t xml:space="preserve"> posudzovaní výšky poskytnutej odmeny</w:t>
      </w:r>
      <w:r w:rsidR="00C0264B" w:rsidRPr="00ED47A3">
        <w:rPr>
          <w:rFonts w:ascii="Times New Roman" w:hAnsi="Times New Roman" w:cs="Times New Roman"/>
          <w:sz w:val="24"/>
          <w:szCs w:val="24"/>
        </w:rPr>
        <w:t xml:space="preserve">, nakoľko </w:t>
      </w:r>
      <w:r w:rsidRPr="00ED47A3">
        <w:rPr>
          <w:rFonts w:ascii="Times New Roman" w:hAnsi="Times New Roman" w:cs="Times New Roman"/>
          <w:sz w:val="24"/>
          <w:szCs w:val="24"/>
        </w:rPr>
        <w:t>uvedenou zmenou sa zákonom stanovené skutočnosti</w:t>
      </w:r>
      <w:r w:rsidR="00C0264B" w:rsidRPr="00ED47A3">
        <w:rPr>
          <w:rFonts w:ascii="Times New Roman" w:hAnsi="Times New Roman" w:cs="Times New Roman"/>
          <w:sz w:val="24"/>
          <w:szCs w:val="24"/>
        </w:rPr>
        <w:t>, ktoré úrad musí zohľadniť</w:t>
      </w:r>
      <w:r w:rsidRPr="00ED47A3">
        <w:rPr>
          <w:rFonts w:ascii="Times New Roman" w:hAnsi="Times New Roman" w:cs="Times New Roman"/>
          <w:sz w:val="24"/>
          <w:szCs w:val="24"/>
        </w:rPr>
        <w:t>, stávajú fakult</w:t>
      </w:r>
      <w:r w:rsidR="00C0264B" w:rsidRPr="00ED47A3">
        <w:rPr>
          <w:rFonts w:ascii="Times New Roman" w:hAnsi="Times New Roman" w:cs="Times New Roman"/>
          <w:sz w:val="24"/>
          <w:szCs w:val="24"/>
        </w:rPr>
        <w:t>atívnymi</w:t>
      </w:r>
      <w:r w:rsidRPr="00ED47A3">
        <w:rPr>
          <w:rFonts w:ascii="Times New Roman" w:hAnsi="Times New Roman" w:cs="Times New Roman"/>
          <w:sz w:val="24"/>
          <w:szCs w:val="24"/>
        </w:rPr>
        <w:t>, čo</w:t>
      </w:r>
      <w:r w:rsidR="0081311C">
        <w:rPr>
          <w:rFonts w:ascii="Times New Roman" w:hAnsi="Times New Roman" w:cs="Times New Roman"/>
          <w:sz w:val="24"/>
          <w:szCs w:val="24"/>
        </w:rPr>
        <w:t xml:space="preserve"> </w:t>
      </w:r>
      <w:r w:rsidR="00C0264B" w:rsidRPr="00ED47A3">
        <w:rPr>
          <w:rFonts w:ascii="Times New Roman" w:hAnsi="Times New Roman" w:cs="Times New Roman"/>
          <w:sz w:val="24"/>
          <w:szCs w:val="24"/>
        </w:rPr>
        <w:t>úradu poskytuje</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dostatočný priestor</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zohľadniť</w:t>
      </w:r>
      <w:r w:rsidR="00C0264B" w:rsidRPr="00ED47A3">
        <w:rPr>
          <w:rFonts w:ascii="Times New Roman" w:hAnsi="Times New Roman" w:cs="Times New Roman"/>
          <w:sz w:val="24"/>
          <w:szCs w:val="24"/>
        </w:rPr>
        <w:t xml:space="preserve"> i ďalšie prípadné individuálne okolnosti v</w:t>
      </w:r>
      <w:r w:rsidR="0081311C">
        <w:rPr>
          <w:rFonts w:ascii="Times New Roman" w:hAnsi="Times New Roman" w:cs="Times New Roman"/>
          <w:sz w:val="24"/>
          <w:szCs w:val="24"/>
        </w:rPr>
        <w:t> </w:t>
      </w:r>
      <w:r w:rsidR="00C0264B" w:rsidRPr="00ED47A3">
        <w:rPr>
          <w:rFonts w:ascii="Times New Roman" w:hAnsi="Times New Roman" w:cs="Times New Roman"/>
          <w:sz w:val="24"/>
          <w:szCs w:val="24"/>
        </w:rPr>
        <w:t>konk</w:t>
      </w:r>
      <w:r w:rsidRPr="00ED47A3">
        <w:rPr>
          <w:rFonts w:ascii="Times New Roman" w:hAnsi="Times New Roman" w:cs="Times New Roman"/>
          <w:sz w:val="24"/>
          <w:szCs w:val="24"/>
        </w:rPr>
        <w:t>rétnych</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prípadov</w:t>
      </w:r>
      <w:r w:rsidR="00C0264B" w:rsidRPr="00ED47A3">
        <w:rPr>
          <w:rFonts w:ascii="Times New Roman" w:hAnsi="Times New Roman" w:cs="Times New Roman"/>
          <w:sz w:val="24"/>
          <w:szCs w:val="24"/>
        </w:rPr>
        <w:t xml:space="preserve">. </w:t>
      </w:r>
    </w:p>
    <w:p w14:paraId="5E13CE72" w14:textId="55FB4F23" w:rsidR="00405740" w:rsidRDefault="00405740" w:rsidP="00825A19">
      <w:pPr>
        <w:spacing w:after="0" w:line="240" w:lineRule="auto"/>
        <w:ind w:firstLine="708"/>
        <w:jc w:val="both"/>
        <w:rPr>
          <w:rFonts w:ascii="Times New Roman" w:hAnsi="Times New Roman" w:cs="Times New Roman"/>
          <w:sz w:val="24"/>
          <w:szCs w:val="24"/>
        </w:rPr>
      </w:pPr>
    </w:p>
    <w:p w14:paraId="2517DA18" w14:textId="43B3C86F" w:rsidR="00405740" w:rsidRPr="00531615" w:rsidRDefault="00405740" w:rsidP="00405740">
      <w:pPr>
        <w:spacing w:after="0" w:line="240" w:lineRule="auto"/>
        <w:jc w:val="both"/>
        <w:rPr>
          <w:rFonts w:ascii="Times New Roman" w:hAnsi="Times New Roman" w:cs="Times New Roman"/>
          <w:b/>
          <w:sz w:val="24"/>
          <w:szCs w:val="24"/>
        </w:rPr>
      </w:pPr>
      <w:r w:rsidRPr="00531615">
        <w:rPr>
          <w:rFonts w:ascii="Times New Roman" w:hAnsi="Times New Roman" w:cs="Times New Roman"/>
          <w:b/>
          <w:sz w:val="24"/>
          <w:szCs w:val="24"/>
        </w:rPr>
        <w:t>K bodu 18</w:t>
      </w:r>
    </w:p>
    <w:p w14:paraId="631D34B8" w14:textId="6D1F8050" w:rsidR="00405740" w:rsidRPr="00531615" w:rsidRDefault="00405740" w:rsidP="00405740">
      <w:pPr>
        <w:spacing w:after="0" w:line="240" w:lineRule="auto"/>
        <w:jc w:val="both"/>
        <w:rPr>
          <w:rFonts w:ascii="Times New Roman" w:hAnsi="Times New Roman" w:cs="Times New Roman"/>
          <w:b/>
          <w:i/>
          <w:sz w:val="24"/>
          <w:szCs w:val="24"/>
        </w:rPr>
      </w:pPr>
      <w:r w:rsidRPr="00531615">
        <w:rPr>
          <w:rFonts w:ascii="Times New Roman" w:hAnsi="Times New Roman" w:cs="Times New Roman"/>
          <w:b/>
          <w:i/>
          <w:sz w:val="24"/>
          <w:szCs w:val="24"/>
        </w:rPr>
        <w:t xml:space="preserve">(§ 9 ods. </w:t>
      </w:r>
      <w:r>
        <w:rPr>
          <w:rFonts w:ascii="Times New Roman" w:hAnsi="Times New Roman" w:cs="Times New Roman"/>
          <w:b/>
          <w:i/>
          <w:sz w:val="24"/>
          <w:szCs w:val="24"/>
        </w:rPr>
        <w:t>8</w:t>
      </w:r>
      <w:r w:rsidRPr="00531615">
        <w:rPr>
          <w:rFonts w:ascii="Times New Roman" w:hAnsi="Times New Roman" w:cs="Times New Roman"/>
          <w:b/>
          <w:i/>
          <w:sz w:val="24"/>
          <w:szCs w:val="24"/>
        </w:rPr>
        <w:t>)</w:t>
      </w:r>
    </w:p>
    <w:p w14:paraId="611835B1" w14:textId="3D39B694" w:rsidR="00725DC0" w:rsidRDefault="00725DC0" w:rsidP="009638E0">
      <w:pPr>
        <w:spacing w:after="0" w:line="240" w:lineRule="auto"/>
        <w:jc w:val="both"/>
        <w:rPr>
          <w:rFonts w:ascii="Times New Roman" w:hAnsi="Times New Roman" w:cs="Times New Roman"/>
          <w:sz w:val="24"/>
          <w:szCs w:val="24"/>
        </w:rPr>
      </w:pPr>
    </w:p>
    <w:p w14:paraId="6A1E0EE6" w14:textId="439FBC74" w:rsidR="00405740" w:rsidRDefault="0040574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Novým odsek 8 reflektuje rozšírenie uplatňovania ustanovení o odmene aj na oznamovateľov, ktorí sú v inom obdobnom vzťahu a splnia podmienky uvedené v ustanoveniach § 9.</w:t>
      </w:r>
    </w:p>
    <w:p w14:paraId="620D9218" w14:textId="77777777" w:rsidR="00405740" w:rsidRPr="00ED47A3" w:rsidRDefault="00405740" w:rsidP="009638E0">
      <w:pPr>
        <w:spacing w:after="0" w:line="240" w:lineRule="auto"/>
        <w:jc w:val="both"/>
        <w:rPr>
          <w:rFonts w:ascii="Times New Roman" w:hAnsi="Times New Roman" w:cs="Times New Roman"/>
          <w:sz w:val="24"/>
          <w:szCs w:val="24"/>
        </w:rPr>
      </w:pPr>
    </w:p>
    <w:p w14:paraId="78D0B165" w14:textId="53E2F546" w:rsidR="00725DC0" w:rsidRPr="00ED47A3" w:rsidRDefault="00385BA8"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405740">
        <w:rPr>
          <w:rFonts w:ascii="Times New Roman" w:hAnsi="Times New Roman" w:cs="Times New Roman"/>
          <w:b/>
          <w:sz w:val="24"/>
          <w:szCs w:val="24"/>
        </w:rPr>
        <w:t>9</w:t>
      </w:r>
    </w:p>
    <w:p w14:paraId="793277AF" w14:textId="77777777" w:rsidR="00C0264B" w:rsidRDefault="00385BA8"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10 ods. 1)</w:t>
      </w:r>
    </w:p>
    <w:p w14:paraId="2026687E" w14:textId="354B4374" w:rsidR="007E53BE" w:rsidRDefault="007E53BE" w:rsidP="009638E0">
      <w:pPr>
        <w:spacing w:after="0" w:line="240" w:lineRule="auto"/>
        <w:jc w:val="both"/>
        <w:rPr>
          <w:rFonts w:ascii="Times New Roman" w:hAnsi="Times New Roman" w:cs="Times New Roman"/>
          <w:sz w:val="24"/>
          <w:szCs w:val="24"/>
        </w:rPr>
      </w:pPr>
    </w:p>
    <w:p w14:paraId="23678618" w14:textId="75EB28E0" w:rsidR="00D45169" w:rsidRDefault="00D45169"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Navrhovaná úprava transponuje čl. 8 ods. 5 a 6</w:t>
      </w:r>
      <w:r w:rsidRPr="00D45169">
        <w:t xml:space="preserve"> </w:t>
      </w:r>
      <w:r w:rsidRPr="00D45169">
        <w:rPr>
          <w:rFonts w:ascii="Times New Roman" w:hAnsi="Times New Roman" w:cs="Times New Roman"/>
          <w:sz w:val="24"/>
          <w:szCs w:val="24"/>
        </w:rPr>
        <w:t>smernice (EÚ) 2019/1937 v platnom znení</w:t>
      </w:r>
      <w:r>
        <w:rPr>
          <w:rFonts w:ascii="Times New Roman" w:hAnsi="Times New Roman" w:cs="Times New Roman"/>
          <w:sz w:val="24"/>
          <w:szCs w:val="24"/>
        </w:rPr>
        <w:t>. Uvedeným sa čiastočne zužuje pôsobnosť zodpovedných osôb, ktoré vykonávajú svoju činnosť na základe zmluvy a pôsobia mimo organizácie zamestnávateľa (externé zodpovedné osoby). Podľa uvedeného znenia je možné ďalej delegovať niektoré úlohy zamestnávateľa na takéto externé zodpovedné osoby, a to v rozsahu prijímania a potvrdzovania oznámení. Zamestnávatelia, ktorí zamestnávajú menej ako 250 zamestnancov</w:t>
      </w:r>
      <w:r w:rsidR="005B628B">
        <w:rPr>
          <w:rFonts w:ascii="Times New Roman" w:hAnsi="Times New Roman" w:cs="Times New Roman"/>
          <w:sz w:val="24"/>
          <w:szCs w:val="24"/>
        </w:rPr>
        <w:t xml:space="preserve"> a nie sú orgánmi verejnej moci</w:t>
      </w:r>
      <w:r>
        <w:rPr>
          <w:rFonts w:ascii="Times New Roman" w:hAnsi="Times New Roman" w:cs="Times New Roman"/>
          <w:sz w:val="24"/>
          <w:szCs w:val="24"/>
        </w:rPr>
        <w:t xml:space="preserve"> môžu poveriť externé zodpovedné osoby aj preverovaním oznámení, avšak naďalej </w:t>
      </w:r>
      <w:r>
        <w:rPr>
          <w:rFonts w:ascii="Times New Roman" w:hAnsi="Times New Roman" w:cs="Times New Roman"/>
          <w:sz w:val="24"/>
          <w:szCs w:val="24"/>
        </w:rPr>
        <w:lastRenderedPageBreak/>
        <w:t>zamestnávateľovi zostáva povinnosť vykonávať preverovanie oznámení aj zodpovednou osobu v rámci jeho organizácie (internou zodpovednou osobou).</w:t>
      </w:r>
    </w:p>
    <w:p w14:paraId="11CF9E1A" w14:textId="4A30F328" w:rsidR="00B50D29" w:rsidRDefault="00B50D29" w:rsidP="009638E0">
      <w:pPr>
        <w:spacing w:after="0" w:line="240" w:lineRule="auto"/>
        <w:jc w:val="both"/>
        <w:rPr>
          <w:rFonts w:ascii="Times New Roman" w:hAnsi="Times New Roman" w:cs="Times New Roman"/>
          <w:sz w:val="24"/>
          <w:szCs w:val="24"/>
        </w:rPr>
      </w:pPr>
    </w:p>
    <w:p w14:paraId="52ED13D5" w14:textId="63898053" w:rsidR="00B50D29" w:rsidRDefault="00B50D29"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Navrhovaná novelizácia ďalej reflektuje na neefektívnosť vykonávania vnútorných systémov preverovania oznámení obcami, ktoré majú menej ako 1 000 obyvateľov.</w:t>
      </w:r>
      <w:r w:rsidR="00082791">
        <w:rPr>
          <w:rFonts w:ascii="Times New Roman" w:hAnsi="Times New Roman" w:cs="Times New Roman"/>
          <w:sz w:val="24"/>
          <w:szCs w:val="24"/>
        </w:rPr>
        <w:t xml:space="preserve"> Podľa údajov Štatistického úradu SR za rok 2021 je počet obcí v SR spolu 2890, z toho menej ako 1000 obyvateľov má 1868 obcí, t. j. 64,6% z celkového počtu obcí. V uvedených obciach je nevyhnutnosťou napĺňanie základných povinností hlavných kontrolórov podľa zákona č. 369/1990 Zb. o obecnom zriadení. Nie je preto účelné rozširovať povinnosti kontrolórov o ďalšie povinnosti spojené s uplatňovaním zákona č. 54/2019 Z. z.</w:t>
      </w:r>
      <w:r>
        <w:rPr>
          <w:rFonts w:ascii="Times New Roman" w:hAnsi="Times New Roman" w:cs="Times New Roman"/>
          <w:sz w:val="24"/>
          <w:szCs w:val="24"/>
        </w:rPr>
        <w:t xml:space="preserve"> Takéto obce</w:t>
      </w:r>
      <w:r w:rsidR="00FF0D36">
        <w:rPr>
          <w:rFonts w:ascii="Times New Roman" w:hAnsi="Times New Roman" w:cs="Times New Roman"/>
          <w:sz w:val="24"/>
          <w:szCs w:val="24"/>
        </w:rPr>
        <w:t xml:space="preserve"> zvyčajne zamestnávajú </w:t>
      </w:r>
      <w:r w:rsidR="00082791">
        <w:rPr>
          <w:rFonts w:ascii="Times New Roman" w:hAnsi="Times New Roman" w:cs="Times New Roman"/>
          <w:sz w:val="24"/>
          <w:szCs w:val="24"/>
        </w:rPr>
        <w:t xml:space="preserve">aj </w:t>
      </w:r>
      <w:r w:rsidR="00FF0D36">
        <w:rPr>
          <w:rFonts w:ascii="Times New Roman" w:hAnsi="Times New Roman" w:cs="Times New Roman"/>
          <w:sz w:val="24"/>
          <w:szCs w:val="24"/>
        </w:rPr>
        <w:t>menší počet zamestnancov či majú menší počet zmluvných partnerov alebo iných osôb v inom obdobnom vzťahu, a teda v nadväznosti na to aj pre takéto osoby môže byť menšia dôvera v zachovávanie dôvernosti takéhoto systému. Pre uvedené platí, že osoby majú stále možnosť obrátiť sa na orgány príslušné na prijatie oznámenia.</w:t>
      </w:r>
    </w:p>
    <w:p w14:paraId="4C07E7B2" w14:textId="77777777" w:rsidR="00D87132" w:rsidRDefault="00D87132" w:rsidP="009638E0">
      <w:pPr>
        <w:spacing w:after="0" w:line="240" w:lineRule="auto"/>
        <w:jc w:val="both"/>
        <w:rPr>
          <w:rFonts w:ascii="Times New Roman" w:hAnsi="Times New Roman" w:cs="Times New Roman"/>
          <w:sz w:val="24"/>
          <w:szCs w:val="24"/>
          <w:u w:val="single"/>
        </w:rPr>
      </w:pPr>
    </w:p>
    <w:p w14:paraId="0FECD23D" w14:textId="68FE36EC" w:rsidR="00C0264B" w:rsidRPr="007E53BE" w:rsidRDefault="00C0264B" w:rsidP="009638E0">
      <w:pPr>
        <w:spacing w:after="0" w:line="240" w:lineRule="auto"/>
        <w:jc w:val="both"/>
        <w:rPr>
          <w:rFonts w:ascii="Times New Roman" w:hAnsi="Times New Roman" w:cs="Times New Roman"/>
          <w:b/>
          <w:sz w:val="24"/>
          <w:szCs w:val="24"/>
        </w:rPr>
      </w:pPr>
      <w:r w:rsidRPr="007E53BE">
        <w:rPr>
          <w:rFonts w:ascii="Times New Roman" w:hAnsi="Times New Roman" w:cs="Times New Roman"/>
          <w:b/>
          <w:sz w:val="24"/>
          <w:szCs w:val="24"/>
        </w:rPr>
        <w:t xml:space="preserve">K bodu </w:t>
      </w:r>
      <w:r w:rsidR="00405740">
        <w:rPr>
          <w:rFonts w:ascii="Times New Roman" w:hAnsi="Times New Roman" w:cs="Times New Roman"/>
          <w:b/>
          <w:sz w:val="24"/>
          <w:szCs w:val="24"/>
        </w:rPr>
        <w:t>20</w:t>
      </w:r>
    </w:p>
    <w:p w14:paraId="0B4A1979" w14:textId="77777777" w:rsidR="00C0264B" w:rsidRPr="007E53BE" w:rsidRDefault="00C0264B" w:rsidP="009638E0">
      <w:pPr>
        <w:spacing w:after="0" w:line="240" w:lineRule="auto"/>
        <w:jc w:val="both"/>
        <w:rPr>
          <w:rFonts w:ascii="Times New Roman" w:hAnsi="Times New Roman" w:cs="Times New Roman"/>
          <w:b/>
          <w:i/>
          <w:sz w:val="24"/>
          <w:szCs w:val="24"/>
        </w:rPr>
      </w:pPr>
      <w:r w:rsidRPr="007E53BE">
        <w:rPr>
          <w:rFonts w:ascii="Times New Roman" w:hAnsi="Times New Roman" w:cs="Times New Roman"/>
          <w:b/>
          <w:i/>
          <w:sz w:val="24"/>
          <w:szCs w:val="24"/>
        </w:rPr>
        <w:t>(</w:t>
      </w:r>
      <w:r w:rsidR="000002EE" w:rsidRPr="007E53BE">
        <w:rPr>
          <w:rFonts w:ascii="Times New Roman" w:hAnsi="Times New Roman" w:cs="Times New Roman"/>
          <w:b/>
          <w:i/>
          <w:sz w:val="24"/>
          <w:szCs w:val="24"/>
        </w:rPr>
        <w:t>§ 10 ods. 4</w:t>
      </w:r>
      <w:r w:rsidRPr="007E53BE">
        <w:rPr>
          <w:rFonts w:ascii="Times New Roman" w:hAnsi="Times New Roman" w:cs="Times New Roman"/>
          <w:b/>
          <w:i/>
          <w:sz w:val="24"/>
          <w:szCs w:val="24"/>
        </w:rPr>
        <w:t>)</w:t>
      </w:r>
    </w:p>
    <w:p w14:paraId="34BFE9FC" w14:textId="77777777" w:rsidR="00F7071B" w:rsidRDefault="00F7071B" w:rsidP="009638E0">
      <w:pPr>
        <w:spacing w:after="0" w:line="240" w:lineRule="auto"/>
        <w:jc w:val="both"/>
        <w:rPr>
          <w:rFonts w:ascii="Times New Roman" w:hAnsi="Times New Roman" w:cs="Times New Roman"/>
          <w:sz w:val="24"/>
          <w:szCs w:val="24"/>
          <w:u w:val="single"/>
        </w:rPr>
      </w:pPr>
    </w:p>
    <w:p w14:paraId="418036C6" w14:textId="77777777" w:rsidR="00F905DD" w:rsidRDefault="00F905DD" w:rsidP="00F905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Predkladateľ prostredníctvom navrhovaného ustanovenia precizuje a zosúlaďuje znenie zákona s úniovým právom.</w:t>
      </w:r>
      <w:r w:rsidR="0081311C">
        <w:rPr>
          <w:rFonts w:ascii="Times New Roman" w:hAnsi="Times New Roman" w:cs="Times New Roman"/>
          <w:sz w:val="24"/>
          <w:szCs w:val="24"/>
        </w:rPr>
        <w:t xml:space="preserve"> </w:t>
      </w:r>
      <w:r w:rsidR="000642D7">
        <w:rPr>
          <w:rFonts w:ascii="Times New Roman" w:hAnsi="Times New Roman" w:cs="Times New Roman"/>
          <w:sz w:val="24"/>
          <w:szCs w:val="24"/>
        </w:rPr>
        <w:t>Oznamovateľom bolo v aplikačnej praxi častokrát umožnené urobiť oznámenie len písomnou formou, a to aj napriek tomu, že zákon explicitne nestanovuje povinnú formu oznámenia.</w:t>
      </w:r>
      <w:r w:rsidR="0081311C">
        <w:rPr>
          <w:rFonts w:ascii="Times New Roman" w:hAnsi="Times New Roman" w:cs="Times New Roman"/>
          <w:sz w:val="24"/>
          <w:szCs w:val="24"/>
        </w:rPr>
        <w:t xml:space="preserve"> </w:t>
      </w:r>
      <w:r>
        <w:rPr>
          <w:rFonts w:ascii="Times New Roman" w:hAnsi="Times New Roman" w:cs="Times New Roman"/>
          <w:sz w:val="24"/>
          <w:szCs w:val="24"/>
        </w:rPr>
        <w:t xml:space="preserve">Navrhovaná zmena oprávňuje oznamovateľa v prípadoch, ak zamestnávateľ umožňuje ústne podávanie oznámení, požiadať o osobné stretnutie a týmto spôsobom </w:t>
      </w:r>
      <w:r w:rsidR="000642D7">
        <w:rPr>
          <w:rFonts w:ascii="Times New Roman" w:hAnsi="Times New Roman" w:cs="Times New Roman"/>
          <w:sz w:val="24"/>
          <w:szCs w:val="24"/>
        </w:rPr>
        <w:t>urobiť</w:t>
      </w:r>
      <w:r>
        <w:rPr>
          <w:rFonts w:ascii="Times New Roman" w:hAnsi="Times New Roman" w:cs="Times New Roman"/>
          <w:sz w:val="24"/>
          <w:szCs w:val="24"/>
        </w:rPr>
        <w:t xml:space="preserve"> oznámenie. </w:t>
      </w:r>
    </w:p>
    <w:p w14:paraId="6EC215AE" w14:textId="77777777" w:rsidR="00F905DD" w:rsidRDefault="00F905DD" w:rsidP="00F905DD">
      <w:pPr>
        <w:spacing w:after="0" w:line="240" w:lineRule="auto"/>
        <w:ind w:firstLine="708"/>
        <w:jc w:val="both"/>
        <w:rPr>
          <w:rFonts w:ascii="Times New Roman" w:hAnsi="Times New Roman" w:cs="Times New Roman"/>
          <w:sz w:val="24"/>
          <w:szCs w:val="24"/>
        </w:rPr>
      </w:pPr>
    </w:p>
    <w:p w14:paraId="26C6A68E" w14:textId="3913BEB1" w:rsidR="0072430B" w:rsidRDefault="00F905DD" w:rsidP="00F905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Ďa</w:t>
      </w:r>
      <w:r w:rsidR="00176A81">
        <w:rPr>
          <w:rFonts w:ascii="Times New Roman" w:hAnsi="Times New Roman" w:cs="Times New Roman"/>
          <w:sz w:val="24"/>
          <w:szCs w:val="24"/>
        </w:rPr>
        <w:t>lšia zmena</w:t>
      </w:r>
      <w:r>
        <w:rPr>
          <w:rFonts w:ascii="Times New Roman" w:hAnsi="Times New Roman" w:cs="Times New Roman"/>
          <w:sz w:val="24"/>
          <w:szCs w:val="24"/>
        </w:rPr>
        <w:t xml:space="preserve"> predstavuje rozšírenie obsahu informácií, ktoré je zamestnávateľ povinný svojím zamestnancom </w:t>
      </w:r>
      <w:r w:rsidR="0072430B">
        <w:rPr>
          <w:rFonts w:ascii="Times New Roman" w:hAnsi="Times New Roman" w:cs="Times New Roman"/>
          <w:sz w:val="24"/>
          <w:szCs w:val="24"/>
        </w:rPr>
        <w:t>zverejniť</w:t>
      </w:r>
      <w:r w:rsidR="0081311C">
        <w:rPr>
          <w:rFonts w:ascii="Times New Roman" w:hAnsi="Times New Roman" w:cs="Times New Roman"/>
          <w:sz w:val="24"/>
          <w:szCs w:val="24"/>
        </w:rPr>
        <w:t xml:space="preserve"> </w:t>
      </w:r>
      <w:r w:rsidRPr="00F905DD">
        <w:rPr>
          <w:rFonts w:ascii="Times New Roman" w:hAnsi="Times New Roman" w:cs="Times New Roman"/>
          <w:sz w:val="24"/>
          <w:szCs w:val="24"/>
        </w:rPr>
        <w:t>v stručnej, zrozumiteľnej, jasne formulovanej a ľahko dostupnej forme</w:t>
      </w:r>
      <w:r w:rsidR="0072430B">
        <w:rPr>
          <w:rFonts w:ascii="Times New Roman" w:hAnsi="Times New Roman" w:cs="Times New Roman"/>
          <w:sz w:val="24"/>
          <w:szCs w:val="24"/>
        </w:rPr>
        <w:t>,</w:t>
      </w:r>
      <w:r w:rsidR="00176A81">
        <w:rPr>
          <w:rFonts w:ascii="Times New Roman" w:hAnsi="Times New Roman" w:cs="Times New Roman"/>
          <w:sz w:val="24"/>
          <w:szCs w:val="24"/>
        </w:rPr>
        <w:t xml:space="preserve"> a to o možnostiach urobenia oznámenia </w:t>
      </w:r>
      <w:r w:rsidR="00405740">
        <w:rPr>
          <w:rFonts w:ascii="Times New Roman" w:hAnsi="Times New Roman" w:cs="Times New Roman"/>
          <w:sz w:val="24"/>
          <w:szCs w:val="24"/>
        </w:rPr>
        <w:t>orgánom príslušným na prijatie oznámenia</w:t>
      </w:r>
      <w:r w:rsidR="00176A81">
        <w:rPr>
          <w:rFonts w:ascii="Times New Roman" w:hAnsi="Times New Roman" w:cs="Times New Roman"/>
          <w:sz w:val="24"/>
          <w:szCs w:val="24"/>
        </w:rPr>
        <w:t>, ktorými sú prokuratúra, správne org</w:t>
      </w:r>
      <w:r w:rsidR="0072430B">
        <w:rPr>
          <w:rFonts w:ascii="Times New Roman" w:hAnsi="Times New Roman" w:cs="Times New Roman"/>
          <w:sz w:val="24"/>
          <w:szCs w:val="24"/>
        </w:rPr>
        <w:t>ány a</w:t>
      </w:r>
      <w:r w:rsidR="00176A81">
        <w:rPr>
          <w:rFonts w:ascii="Times New Roman" w:hAnsi="Times New Roman" w:cs="Times New Roman"/>
          <w:sz w:val="24"/>
          <w:szCs w:val="24"/>
        </w:rPr>
        <w:t xml:space="preserve"> úrad. </w:t>
      </w:r>
      <w:r w:rsidR="00405740">
        <w:rPr>
          <w:rFonts w:ascii="Times New Roman" w:hAnsi="Times New Roman" w:cs="Times New Roman"/>
          <w:sz w:val="24"/>
          <w:szCs w:val="24"/>
        </w:rPr>
        <w:t xml:space="preserve">Zároveň obdobné platí aj na povinnosť informovať o možnostiach preventívnej ochrany podľa § 3 a § 5 a následnej ochrany podľa § 12. </w:t>
      </w:r>
      <w:r w:rsidR="0072430B">
        <w:rPr>
          <w:rFonts w:ascii="Times New Roman" w:hAnsi="Times New Roman" w:cs="Times New Roman"/>
          <w:sz w:val="24"/>
          <w:szCs w:val="24"/>
        </w:rPr>
        <w:t>Tieto informácie by mali byť v takom rozsahu aby oznamovate</w:t>
      </w:r>
      <w:r w:rsidR="009C3FBA">
        <w:rPr>
          <w:rFonts w:ascii="Times New Roman" w:hAnsi="Times New Roman" w:cs="Times New Roman"/>
          <w:sz w:val="24"/>
          <w:szCs w:val="24"/>
        </w:rPr>
        <w:t>ľovi boli</w:t>
      </w:r>
      <w:r w:rsidR="0072430B">
        <w:rPr>
          <w:rFonts w:ascii="Times New Roman" w:hAnsi="Times New Roman" w:cs="Times New Roman"/>
          <w:sz w:val="24"/>
          <w:szCs w:val="24"/>
        </w:rPr>
        <w:t xml:space="preserve"> zrejmé záko</w:t>
      </w:r>
      <w:r w:rsidR="009C3FBA">
        <w:rPr>
          <w:rFonts w:ascii="Times New Roman" w:hAnsi="Times New Roman" w:cs="Times New Roman"/>
          <w:sz w:val="24"/>
          <w:szCs w:val="24"/>
        </w:rPr>
        <w:t xml:space="preserve">nné možnosti urobenia oznámenia </w:t>
      </w:r>
      <w:r w:rsidR="00405740">
        <w:rPr>
          <w:rFonts w:ascii="Times New Roman" w:hAnsi="Times New Roman" w:cs="Times New Roman"/>
          <w:sz w:val="24"/>
          <w:szCs w:val="24"/>
        </w:rPr>
        <w:t>orgánom príslušným na prijatie oznámenia</w:t>
      </w:r>
      <w:r w:rsidR="009C3FBA">
        <w:rPr>
          <w:rFonts w:ascii="Times New Roman" w:hAnsi="Times New Roman" w:cs="Times New Roman"/>
          <w:sz w:val="24"/>
          <w:szCs w:val="24"/>
        </w:rPr>
        <w:t>, príp. aj poskytnutie kontaktných údajov na tieto inštitúcie podľa ich dostupnosti</w:t>
      </w:r>
      <w:r w:rsidR="00405740">
        <w:rPr>
          <w:rFonts w:ascii="Times New Roman" w:hAnsi="Times New Roman" w:cs="Times New Roman"/>
          <w:sz w:val="24"/>
          <w:szCs w:val="24"/>
        </w:rPr>
        <w:t xml:space="preserve"> a uvedení možností kam sa má oznamovateľ obrátiť so žiadosťou o poskytnutie ochrany, či možnosti pozastavenia účinnosti pracovnoprávneho úkonu</w:t>
      </w:r>
      <w:r w:rsidR="009C3FBA">
        <w:rPr>
          <w:rFonts w:ascii="Times New Roman" w:hAnsi="Times New Roman" w:cs="Times New Roman"/>
          <w:sz w:val="24"/>
          <w:szCs w:val="24"/>
        </w:rPr>
        <w:t>.</w:t>
      </w:r>
    </w:p>
    <w:p w14:paraId="2DF05042" w14:textId="77777777" w:rsidR="00C0264B" w:rsidRDefault="00C0264B" w:rsidP="009638E0">
      <w:pPr>
        <w:spacing w:after="0" w:line="240" w:lineRule="auto"/>
        <w:jc w:val="both"/>
        <w:rPr>
          <w:rFonts w:ascii="Times New Roman" w:hAnsi="Times New Roman" w:cs="Times New Roman"/>
          <w:sz w:val="24"/>
          <w:szCs w:val="24"/>
          <w:u w:val="single"/>
        </w:rPr>
      </w:pPr>
    </w:p>
    <w:p w14:paraId="7743B011" w14:textId="55C0F093" w:rsidR="00C0264B" w:rsidRPr="00ED47A3" w:rsidRDefault="00C0264B"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 xml:space="preserve">K bodu </w:t>
      </w:r>
      <w:r w:rsidR="002E22F6">
        <w:rPr>
          <w:rFonts w:ascii="Times New Roman" w:hAnsi="Times New Roman" w:cs="Times New Roman"/>
          <w:b/>
          <w:sz w:val="24"/>
          <w:szCs w:val="24"/>
        </w:rPr>
        <w:t>2</w:t>
      </w:r>
      <w:r w:rsidR="00405740">
        <w:rPr>
          <w:rFonts w:ascii="Times New Roman" w:hAnsi="Times New Roman" w:cs="Times New Roman"/>
          <w:b/>
          <w:sz w:val="24"/>
          <w:szCs w:val="24"/>
        </w:rPr>
        <w:t>1</w:t>
      </w:r>
    </w:p>
    <w:p w14:paraId="7AC66FF0" w14:textId="77777777" w:rsidR="00C0264B" w:rsidRPr="00ED47A3" w:rsidRDefault="00C0264B"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w:t>
      </w:r>
      <w:r w:rsidR="00133F32" w:rsidRPr="00ED47A3">
        <w:rPr>
          <w:rFonts w:ascii="Times New Roman" w:hAnsi="Times New Roman" w:cs="Times New Roman"/>
          <w:b/>
          <w:i/>
          <w:sz w:val="24"/>
          <w:szCs w:val="24"/>
        </w:rPr>
        <w:t>§ 10 ods. 5</w:t>
      </w:r>
      <w:r w:rsidRPr="00ED47A3">
        <w:rPr>
          <w:rFonts w:ascii="Times New Roman" w:hAnsi="Times New Roman" w:cs="Times New Roman"/>
          <w:b/>
          <w:i/>
          <w:sz w:val="24"/>
          <w:szCs w:val="24"/>
        </w:rPr>
        <w:t>)</w:t>
      </w:r>
    </w:p>
    <w:p w14:paraId="29C13C74" w14:textId="77777777" w:rsidR="00C0264B" w:rsidRPr="00ED47A3" w:rsidRDefault="00C0264B" w:rsidP="009638E0">
      <w:pPr>
        <w:spacing w:after="0" w:line="240" w:lineRule="auto"/>
        <w:jc w:val="both"/>
        <w:rPr>
          <w:rFonts w:ascii="Times New Roman" w:hAnsi="Times New Roman" w:cs="Times New Roman"/>
          <w:sz w:val="24"/>
          <w:szCs w:val="24"/>
        </w:rPr>
      </w:pPr>
    </w:p>
    <w:p w14:paraId="75390820" w14:textId="0DDD3536" w:rsidR="00133F32" w:rsidRDefault="00133F32"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Doplnenie dikcie ustanovenia § 10 ods. 5 </w:t>
      </w:r>
      <w:r w:rsidR="00C14312">
        <w:rPr>
          <w:rFonts w:ascii="Times New Roman" w:hAnsi="Times New Roman" w:cs="Times New Roman"/>
          <w:sz w:val="24"/>
          <w:szCs w:val="24"/>
        </w:rPr>
        <w:t xml:space="preserve">zákona </w:t>
      </w:r>
      <w:r w:rsidR="007E6C16" w:rsidRPr="00ED47A3">
        <w:rPr>
          <w:rFonts w:ascii="Times New Roman" w:hAnsi="Times New Roman" w:cs="Times New Roman"/>
          <w:sz w:val="24"/>
          <w:szCs w:val="24"/>
        </w:rPr>
        <w:t>o</w:t>
      </w:r>
      <w:r w:rsidR="009F410A" w:rsidRPr="00ED47A3">
        <w:rPr>
          <w:rFonts w:ascii="Times New Roman" w:hAnsi="Times New Roman" w:cs="Times New Roman"/>
          <w:sz w:val="24"/>
          <w:szCs w:val="24"/>
        </w:rPr>
        <w:t> nový záväzok</w:t>
      </w:r>
      <w:r w:rsidR="007E6C16" w:rsidRPr="00ED47A3">
        <w:rPr>
          <w:rFonts w:ascii="Times New Roman" w:hAnsi="Times New Roman" w:cs="Times New Roman"/>
          <w:sz w:val="24"/>
          <w:szCs w:val="24"/>
        </w:rPr>
        <w:t xml:space="preserve"> zamestnávateľa</w:t>
      </w:r>
      <w:r w:rsidR="00A01635">
        <w:rPr>
          <w:rFonts w:ascii="Times New Roman" w:hAnsi="Times New Roman" w:cs="Times New Roman"/>
          <w:sz w:val="24"/>
          <w:szCs w:val="24"/>
        </w:rPr>
        <w:t xml:space="preserve"> (prostredníctvom zodpovednej osoby)</w:t>
      </w:r>
      <w:r w:rsidR="007E6C16" w:rsidRPr="00ED47A3">
        <w:rPr>
          <w:rFonts w:ascii="Times New Roman" w:hAnsi="Times New Roman" w:cs="Times New Roman"/>
          <w:sz w:val="24"/>
          <w:szCs w:val="24"/>
        </w:rPr>
        <w:t xml:space="preserve"> </w:t>
      </w:r>
      <w:r w:rsidR="00405740">
        <w:rPr>
          <w:rFonts w:ascii="Times New Roman" w:hAnsi="Times New Roman" w:cs="Times New Roman"/>
          <w:sz w:val="24"/>
          <w:szCs w:val="24"/>
        </w:rPr>
        <w:t>do 7 dní od prijatia oznámenia</w:t>
      </w:r>
      <w:r w:rsidR="007E6C16" w:rsidRPr="00ED47A3">
        <w:rPr>
          <w:rFonts w:ascii="Times New Roman" w:hAnsi="Times New Roman" w:cs="Times New Roman"/>
          <w:sz w:val="24"/>
          <w:szCs w:val="24"/>
        </w:rPr>
        <w:t xml:space="preserve"> vydať </w:t>
      </w:r>
      <w:r w:rsidR="00B350D9" w:rsidRPr="00ED47A3">
        <w:rPr>
          <w:rFonts w:ascii="Times New Roman" w:hAnsi="Times New Roman" w:cs="Times New Roman"/>
          <w:sz w:val="24"/>
          <w:szCs w:val="24"/>
        </w:rPr>
        <w:t xml:space="preserve">oznamovateľovi </w:t>
      </w:r>
      <w:r w:rsidR="007E6C16" w:rsidRPr="00ED47A3">
        <w:rPr>
          <w:rFonts w:ascii="Times New Roman" w:hAnsi="Times New Roman" w:cs="Times New Roman"/>
          <w:sz w:val="24"/>
          <w:szCs w:val="24"/>
        </w:rPr>
        <w:t>potvrdenie o</w:t>
      </w:r>
      <w:r w:rsidR="00405740">
        <w:rPr>
          <w:rFonts w:ascii="Times New Roman" w:hAnsi="Times New Roman" w:cs="Times New Roman"/>
          <w:sz w:val="24"/>
          <w:szCs w:val="24"/>
        </w:rPr>
        <w:t> jeho prijatí, ktorý</w:t>
      </w:r>
      <w:r w:rsidR="0081311C">
        <w:rPr>
          <w:rFonts w:ascii="Times New Roman" w:hAnsi="Times New Roman" w:cs="Times New Roman"/>
          <w:sz w:val="24"/>
          <w:szCs w:val="24"/>
        </w:rPr>
        <w:t xml:space="preserve"> </w:t>
      </w:r>
      <w:r w:rsidR="007E6C16" w:rsidRPr="00ED47A3">
        <w:rPr>
          <w:rFonts w:ascii="Times New Roman" w:hAnsi="Times New Roman" w:cs="Times New Roman"/>
          <w:sz w:val="24"/>
          <w:szCs w:val="24"/>
        </w:rPr>
        <w:t>čiastočne nadväzuje na zmeny obsiahnuté v § 1 ods. 4 písm. a)</w:t>
      </w:r>
      <w:r w:rsidR="00B350D9" w:rsidRPr="00ED47A3">
        <w:rPr>
          <w:rFonts w:ascii="Times New Roman" w:hAnsi="Times New Roman" w:cs="Times New Roman"/>
          <w:sz w:val="24"/>
          <w:szCs w:val="24"/>
        </w:rPr>
        <w:t xml:space="preserve"> zákona. Striktná povinnosť zamestnávateľa vydávať potvrdenie o prijatom oznámení nielenže neposkytne zamestnávateľom priestor pre prípadnú svojvôľu komu a prijatie akého oznámenia potvrdia, resp. nepotvrdia ale i posilňujú pozíciu oznamovateľa.</w:t>
      </w:r>
      <w:r w:rsidR="0081311C">
        <w:rPr>
          <w:rFonts w:ascii="Times New Roman" w:hAnsi="Times New Roman" w:cs="Times New Roman"/>
          <w:sz w:val="24"/>
          <w:szCs w:val="24"/>
        </w:rPr>
        <w:t xml:space="preserve"> </w:t>
      </w:r>
      <w:r w:rsidR="007E6C16" w:rsidRPr="00ED47A3">
        <w:rPr>
          <w:rFonts w:ascii="Times New Roman" w:hAnsi="Times New Roman" w:cs="Times New Roman"/>
          <w:sz w:val="24"/>
          <w:szCs w:val="24"/>
        </w:rPr>
        <w:t xml:space="preserve">Účelom novej povinnosti je umožniť oznamovateľovi kedykoľvek </w:t>
      </w:r>
      <w:r w:rsidR="00B350D9" w:rsidRPr="00ED47A3">
        <w:rPr>
          <w:rFonts w:ascii="Times New Roman" w:hAnsi="Times New Roman" w:cs="Times New Roman"/>
          <w:sz w:val="24"/>
          <w:szCs w:val="24"/>
        </w:rPr>
        <w:t xml:space="preserve">sa </w:t>
      </w:r>
      <w:r w:rsidR="007E6C16" w:rsidRPr="00ED47A3">
        <w:rPr>
          <w:rFonts w:ascii="Times New Roman" w:hAnsi="Times New Roman" w:cs="Times New Roman"/>
          <w:sz w:val="24"/>
          <w:szCs w:val="24"/>
        </w:rPr>
        <w:t>preukázať</w:t>
      </w:r>
      <w:r w:rsidR="00B350D9" w:rsidRPr="00ED47A3">
        <w:rPr>
          <w:rFonts w:ascii="Times New Roman" w:hAnsi="Times New Roman" w:cs="Times New Roman"/>
          <w:sz w:val="24"/>
          <w:szCs w:val="24"/>
        </w:rPr>
        <w:t xml:space="preserve"> o urobenom oznámení</w:t>
      </w:r>
      <w:r w:rsidR="00442F29" w:rsidRPr="00ED47A3">
        <w:rPr>
          <w:rFonts w:ascii="Times New Roman" w:hAnsi="Times New Roman" w:cs="Times New Roman"/>
          <w:sz w:val="24"/>
          <w:szCs w:val="24"/>
        </w:rPr>
        <w:t>,</w:t>
      </w:r>
      <w:r w:rsidR="007E6C16" w:rsidRPr="00ED47A3">
        <w:rPr>
          <w:rFonts w:ascii="Times New Roman" w:hAnsi="Times New Roman" w:cs="Times New Roman"/>
          <w:sz w:val="24"/>
          <w:szCs w:val="24"/>
        </w:rPr>
        <w:t xml:space="preserve"> a to nielen vo vzťahu k § 12 zákona. </w:t>
      </w:r>
      <w:r w:rsidR="009F410A" w:rsidRPr="00ED47A3">
        <w:rPr>
          <w:rFonts w:ascii="Times New Roman" w:hAnsi="Times New Roman" w:cs="Times New Roman"/>
          <w:sz w:val="24"/>
          <w:szCs w:val="24"/>
        </w:rPr>
        <w:t xml:space="preserve">Vydávanie potvrdení o prijatí oznámenia má zamestnávateľov </w:t>
      </w:r>
      <w:r w:rsidR="00B350D9" w:rsidRPr="00ED47A3">
        <w:rPr>
          <w:rFonts w:ascii="Times New Roman" w:hAnsi="Times New Roman" w:cs="Times New Roman"/>
          <w:sz w:val="24"/>
          <w:szCs w:val="24"/>
        </w:rPr>
        <w:t xml:space="preserve">aj </w:t>
      </w:r>
      <w:r w:rsidR="009F410A" w:rsidRPr="00ED47A3">
        <w:rPr>
          <w:rFonts w:ascii="Times New Roman" w:hAnsi="Times New Roman" w:cs="Times New Roman"/>
          <w:sz w:val="24"/>
          <w:szCs w:val="24"/>
        </w:rPr>
        <w:t xml:space="preserve">motivovať k tomu, aby k oznámeniam pristupovali </w:t>
      </w:r>
      <w:r w:rsidR="00B350D9" w:rsidRPr="00ED47A3">
        <w:rPr>
          <w:rFonts w:ascii="Times New Roman" w:hAnsi="Times New Roman" w:cs="Times New Roman"/>
          <w:sz w:val="24"/>
          <w:szCs w:val="24"/>
        </w:rPr>
        <w:t>význačne a profesionálne.</w:t>
      </w:r>
    </w:p>
    <w:p w14:paraId="7C6E1E22" w14:textId="1CFF9117" w:rsidR="00CA5CC9" w:rsidRDefault="00CA5CC9" w:rsidP="00825A19">
      <w:pPr>
        <w:spacing w:after="0" w:line="240" w:lineRule="auto"/>
        <w:ind w:firstLine="708"/>
        <w:jc w:val="both"/>
        <w:rPr>
          <w:rFonts w:ascii="Times New Roman" w:hAnsi="Times New Roman" w:cs="Times New Roman"/>
          <w:sz w:val="24"/>
          <w:szCs w:val="24"/>
        </w:rPr>
      </w:pPr>
    </w:p>
    <w:p w14:paraId="136DE50B" w14:textId="1FB698CA" w:rsidR="00CA5CC9" w:rsidRDefault="00CA5CC9" w:rsidP="00825A19">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lastRenderedPageBreak/>
        <w:t>Uvedené platí aj vo vzťahu ku anonymným oznámeniam, avšak len k takým, ktorých potvrdenie je možné, t. j. napríklad odpoveďou na email. Nie je účelné vzťahovať takúto povinnosť aj napr. na anonymné listy či iné druhy anonymných podnetov bez uvedenia adresy na odpoveď.</w:t>
      </w:r>
      <w:r w:rsidR="00E167CB">
        <w:rPr>
          <w:rFonts w:ascii="Times New Roman" w:hAnsi="Times New Roman" w:cs="Times New Roman"/>
          <w:sz w:val="24"/>
          <w:szCs w:val="24"/>
        </w:rPr>
        <w:t xml:space="preserve"> Ďalej platí, že zamestnávateľ je povinný preverovať aj anonymné oznámenia, u ktorých sú naplnené </w:t>
      </w:r>
      <w:r w:rsidR="00E95E3C">
        <w:rPr>
          <w:rFonts w:ascii="Times New Roman" w:hAnsi="Times New Roman" w:cs="Times New Roman"/>
          <w:sz w:val="24"/>
          <w:szCs w:val="24"/>
        </w:rPr>
        <w:t>znaky</w:t>
      </w:r>
      <w:r w:rsidR="00E167CB">
        <w:rPr>
          <w:rFonts w:ascii="Times New Roman" w:hAnsi="Times New Roman" w:cs="Times New Roman"/>
          <w:sz w:val="24"/>
          <w:szCs w:val="24"/>
        </w:rPr>
        <w:t xml:space="preserve"> oznámenia podľa § 2 písm. b)</w:t>
      </w:r>
      <w:r w:rsidR="00E95E3C">
        <w:rPr>
          <w:rFonts w:ascii="Times New Roman" w:hAnsi="Times New Roman" w:cs="Times New Roman"/>
          <w:sz w:val="24"/>
          <w:szCs w:val="24"/>
        </w:rPr>
        <w:t xml:space="preserve">, okrem </w:t>
      </w:r>
      <w:r w:rsidR="001505EB">
        <w:rPr>
          <w:rFonts w:ascii="Times New Roman" w:hAnsi="Times New Roman" w:cs="Times New Roman"/>
          <w:sz w:val="24"/>
          <w:szCs w:val="24"/>
        </w:rPr>
        <w:t xml:space="preserve">splnenia </w:t>
      </w:r>
      <w:r w:rsidR="00E95E3C">
        <w:rPr>
          <w:rFonts w:ascii="Times New Roman" w:hAnsi="Times New Roman" w:cs="Times New Roman"/>
          <w:sz w:val="24"/>
          <w:szCs w:val="24"/>
        </w:rPr>
        <w:t>znaku samotného oznamovateľa, nakoľko pri anonymnom oznamovateľovi nie je možné jeho pracovnoprávny či iný obdobný vzťah preukázať.</w:t>
      </w:r>
      <w:r w:rsidR="001505EB">
        <w:rPr>
          <w:rFonts w:ascii="Times New Roman" w:hAnsi="Times New Roman" w:cs="Times New Roman"/>
          <w:sz w:val="24"/>
          <w:szCs w:val="24"/>
        </w:rPr>
        <w:t xml:space="preserve"> </w:t>
      </w:r>
    </w:p>
    <w:p w14:paraId="27F9B999" w14:textId="77777777" w:rsidR="00385BA8" w:rsidRPr="008617AD" w:rsidRDefault="00385BA8" w:rsidP="009638E0">
      <w:pPr>
        <w:spacing w:after="0" w:line="240" w:lineRule="auto"/>
        <w:jc w:val="both"/>
        <w:rPr>
          <w:rFonts w:ascii="Times New Roman" w:hAnsi="Times New Roman" w:cs="Times New Roman"/>
          <w:sz w:val="24"/>
          <w:szCs w:val="24"/>
          <w:u w:val="single"/>
        </w:rPr>
      </w:pPr>
    </w:p>
    <w:p w14:paraId="3251F3BB" w14:textId="646A059A" w:rsidR="00C0264B" w:rsidRDefault="009638E0" w:rsidP="009638E0">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2E22F6">
        <w:rPr>
          <w:rFonts w:ascii="Times New Roman" w:hAnsi="Times New Roman" w:cs="Times New Roman"/>
          <w:b/>
          <w:bCs/>
          <w:sz w:val="24"/>
          <w:szCs w:val="24"/>
        </w:rPr>
        <w:t>2</w:t>
      </w:r>
      <w:r w:rsidR="004B75CC">
        <w:rPr>
          <w:rFonts w:ascii="Times New Roman" w:hAnsi="Times New Roman" w:cs="Times New Roman"/>
          <w:b/>
          <w:bCs/>
          <w:sz w:val="24"/>
          <w:szCs w:val="24"/>
        </w:rPr>
        <w:t>2</w:t>
      </w:r>
      <w:r w:rsidR="00C0264B">
        <w:rPr>
          <w:rFonts w:ascii="Times New Roman" w:hAnsi="Times New Roman" w:cs="Times New Roman"/>
          <w:b/>
          <w:bCs/>
          <w:sz w:val="24"/>
          <w:szCs w:val="24"/>
        </w:rPr>
        <w:t xml:space="preserve"> </w:t>
      </w:r>
    </w:p>
    <w:p w14:paraId="0D001BE9" w14:textId="3C917BA7" w:rsidR="005505CF" w:rsidRPr="00825A19" w:rsidRDefault="00CB6FB3"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xml:space="preserve">(§ 10 ods. </w:t>
      </w:r>
      <w:r w:rsidR="00594542">
        <w:rPr>
          <w:rFonts w:ascii="Times New Roman" w:hAnsi="Times New Roman" w:cs="Times New Roman"/>
          <w:b/>
          <w:bCs/>
          <w:i/>
          <w:sz w:val="24"/>
          <w:szCs w:val="24"/>
        </w:rPr>
        <w:t>6</w:t>
      </w:r>
      <w:r w:rsidRPr="00825A19">
        <w:rPr>
          <w:rFonts w:ascii="Times New Roman" w:hAnsi="Times New Roman" w:cs="Times New Roman"/>
          <w:b/>
          <w:bCs/>
          <w:i/>
          <w:sz w:val="24"/>
          <w:szCs w:val="24"/>
        </w:rPr>
        <w:t xml:space="preserve"> až </w:t>
      </w:r>
      <w:r w:rsidR="00850137">
        <w:rPr>
          <w:rFonts w:ascii="Times New Roman" w:hAnsi="Times New Roman" w:cs="Times New Roman"/>
          <w:b/>
          <w:bCs/>
          <w:i/>
          <w:sz w:val="24"/>
          <w:szCs w:val="24"/>
        </w:rPr>
        <w:t>7</w:t>
      </w:r>
      <w:r w:rsidR="00C0264B" w:rsidRPr="00825A19">
        <w:rPr>
          <w:rFonts w:ascii="Times New Roman" w:hAnsi="Times New Roman" w:cs="Times New Roman"/>
          <w:b/>
          <w:bCs/>
          <w:i/>
          <w:sz w:val="24"/>
          <w:szCs w:val="24"/>
        </w:rPr>
        <w:t>)</w:t>
      </w:r>
    </w:p>
    <w:p w14:paraId="583B7E5A" w14:textId="77777777" w:rsidR="009638E0" w:rsidRPr="0090742D" w:rsidRDefault="009638E0" w:rsidP="009638E0">
      <w:pPr>
        <w:spacing w:after="0" w:line="240" w:lineRule="auto"/>
        <w:jc w:val="both"/>
        <w:rPr>
          <w:rFonts w:ascii="Times New Roman" w:hAnsi="Times New Roman" w:cs="Times New Roman"/>
          <w:sz w:val="24"/>
          <w:szCs w:val="24"/>
        </w:rPr>
      </w:pPr>
    </w:p>
    <w:p w14:paraId="7D6B322F" w14:textId="03CDD294" w:rsidR="008F5ECA" w:rsidRDefault="00525111" w:rsidP="00FC4EAF">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 xml:space="preserve">Navrhuje sa zaviesť povinnosť zachovávať mlčanlivosť o </w:t>
      </w:r>
      <w:r w:rsidR="004B75CC">
        <w:rPr>
          <w:rFonts w:ascii="Times New Roman" w:hAnsi="Times New Roman" w:cs="Times New Roman"/>
          <w:sz w:val="24"/>
          <w:szCs w:val="24"/>
        </w:rPr>
        <w:t>totožnosti dotknutej osoby</w:t>
      </w:r>
      <w:r w:rsidRPr="008617AD">
        <w:rPr>
          <w:rFonts w:ascii="Times New Roman" w:hAnsi="Times New Roman" w:cs="Times New Roman"/>
          <w:sz w:val="24"/>
          <w:szCs w:val="24"/>
        </w:rPr>
        <w:t>. Cieľom je predísť neoprávneným zásahom do osobnostných práv osôb</w:t>
      </w:r>
      <w:r w:rsidR="00BD4EFE">
        <w:rPr>
          <w:rFonts w:ascii="Times New Roman" w:hAnsi="Times New Roman" w:cs="Times New Roman"/>
          <w:sz w:val="24"/>
          <w:szCs w:val="24"/>
        </w:rPr>
        <w:t>,</w:t>
      </w:r>
      <w:r w:rsidRPr="008617AD">
        <w:rPr>
          <w:rFonts w:ascii="Times New Roman" w:hAnsi="Times New Roman" w:cs="Times New Roman"/>
          <w:sz w:val="24"/>
          <w:szCs w:val="24"/>
        </w:rPr>
        <w:t xml:space="preserve"> proti ktorým oznámenie smeruje</w:t>
      </w:r>
      <w:r w:rsidR="00BD4EFE">
        <w:rPr>
          <w:rFonts w:ascii="Times New Roman" w:hAnsi="Times New Roman" w:cs="Times New Roman"/>
          <w:sz w:val="24"/>
          <w:szCs w:val="24"/>
        </w:rPr>
        <w:t>,</w:t>
      </w:r>
      <w:r w:rsidRPr="008617AD">
        <w:rPr>
          <w:rFonts w:ascii="Times New Roman" w:hAnsi="Times New Roman" w:cs="Times New Roman"/>
          <w:sz w:val="24"/>
          <w:szCs w:val="24"/>
        </w:rPr>
        <w:t xml:space="preserve"> počas vykonávania preverovania oznámenia, pričom tieto práva podliehajú ochrane aj podľa iných zákonov (napr. § 11-16 </w:t>
      </w:r>
      <w:r w:rsidR="0097259C" w:rsidRPr="008617AD">
        <w:rPr>
          <w:rFonts w:ascii="Times New Roman" w:hAnsi="Times New Roman" w:cs="Times New Roman"/>
          <w:sz w:val="24"/>
          <w:szCs w:val="24"/>
        </w:rPr>
        <w:t>Občiansk</w:t>
      </w:r>
      <w:r w:rsidR="0097259C">
        <w:rPr>
          <w:rFonts w:ascii="Times New Roman" w:hAnsi="Times New Roman" w:cs="Times New Roman"/>
          <w:sz w:val="24"/>
          <w:szCs w:val="24"/>
        </w:rPr>
        <w:t xml:space="preserve">eho </w:t>
      </w:r>
      <w:r w:rsidRPr="008617AD">
        <w:rPr>
          <w:rFonts w:ascii="Times New Roman" w:hAnsi="Times New Roman" w:cs="Times New Roman"/>
          <w:sz w:val="24"/>
          <w:szCs w:val="24"/>
        </w:rPr>
        <w:t>zákonník</w:t>
      </w:r>
      <w:r w:rsidR="0097259C">
        <w:rPr>
          <w:rFonts w:ascii="Times New Roman" w:hAnsi="Times New Roman" w:cs="Times New Roman"/>
          <w:sz w:val="24"/>
          <w:szCs w:val="24"/>
        </w:rPr>
        <w:t>a</w:t>
      </w:r>
      <w:r w:rsidRPr="008617AD">
        <w:rPr>
          <w:rFonts w:ascii="Times New Roman" w:hAnsi="Times New Roman" w:cs="Times New Roman"/>
          <w:sz w:val="24"/>
          <w:szCs w:val="24"/>
        </w:rPr>
        <w:t>).</w:t>
      </w:r>
    </w:p>
    <w:p w14:paraId="14714012" w14:textId="77777777" w:rsidR="00B6460D" w:rsidRDefault="00B6460D" w:rsidP="00FC4EAF">
      <w:pPr>
        <w:spacing w:after="0" w:line="240" w:lineRule="auto"/>
        <w:ind w:firstLine="708"/>
        <w:jc w:val="both"/>
        <w:rPr>
          <w:rFonts w:ascii="Times New Roman" w:hAnsi="Times New Roman" w:cs="Times New Roman"/>
          <w:sz w:val="24"/>
          <w:szCs w:val="24"/>
        </w:rPr>
      </w:pPr>
    </w:p>
    <w:p w14:paraId="57B3A3EA" w14:textId="76F7980A" w:rsidR="00B6460D" w:rsidRDefault="00B6460D" w:rsidP="00FC4E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Navrhovaná úprava ďalej stanovuje povinnosť vopred informovať oznamovateľa o postúpení oznámenia na vybavenie podľa Trestného poriadku alebo osobitných predpisov. Ak by takýmto postupom mohlo byť zmarené ďalšie vyšetrovanie, z</w:t>
      </w:r>
      <w:r w:rsidR="00594542">
        <w:rPr>
          <w:rFonts w:ascii="Times New Roman" w:hAnsi="Times New Roman" w:cs="Times New Roman"/>
          <w:sz w:val="24"/>
          <w:szCs w:val="24"/>
        </w:rPr>
        <w:t>amestnávateľ alebo z</w:t>
      </w:r>
      <w:r>
        <w:rPr>
          <w:rFonts w:ascii="Times New Roman" w:hAnsi="Times New Roman" w:cs="Times New Roman"/>
          <w:sz w:val="24"/>
          <w:szCs w:val="24"/>
        </w:rPr>
        <w:t>odpovedná osoba</w:t>
      </w:r>
      <w:r w:rsidR="00594542">
        <w:rPr>
          <w:rFonts w:ascii="Times New Roman" w:hAnsi="Times New Roman" w:cs="Times New Roman"/>
          <w:sz w:val="24"/>
          <w:szCs w:val="24"/>
        </w:rPr>
        <w:t>, ktorá plní úlohy zamestnávateľa v zákonom vymedzení,</w:t>
      </w:r>
      <w:r>
        <w:rPr>
          <w:rFonts w:ascii="Times New Roman" w:hAnsi="Times New Roman" w:cs="Times New Roman"/>
          <w:sz w:val="24"/>
          <w:szCs w:val="24"/>
        </w:rPr>
        <w:t xml:space="preserve"> nie je povinná vopred informovať oznamovateľa.</w:t>
      </w:r>
      <w:r w:rsidR="00A14F75">
        <w:rPr>
          <w:rFonts w:ascii="Times New Roman" w:hAnsi="Times New Roman" w:cs="Times New Roman"/>
          <w:sz w:val="24"/>
          <w:szCs w:val="24"/>
        </w:rPr>
        <w:t xml:space="preserve"> Vyhodnotenie</w:t>
      </w:r>
      <w:r w:rsidR="00250723">
        <w:rPr>
          <w:rFonts w:ascii="Times New Roman" w:hAnsi="Times New Roman" w:cs="Times New Roman"/>
          <w:sz w:val="24"/>
          <w:szCs w:val="24"/>
        </w:rPr>
        <w:t xml:space="preserve"> </w:t>
      </w:r>
      <w:r w:rsidR="00A14F75">
        <w:rPr>
          <w:rFonts w:ascii="Times New Roman" w:hAnsi="Times New Roman" w:cs="Times New Roman"/>
          <w:sz w:val="24"/>
          <w:szCs w:val="24"/>
        </w:rPr>
        <w:t>takejto situácie a jej odôvodnenie je v kompetenci</w:t>
      </w:r>
      <w:r w:rsidR="002E22F6">
        <w:rPr>
          <w:rFonts w:ascii="Times New Roman" w:hAnsi="Times New Roman" w:cs="Times New Roman"/>
          <w:sz w:val="24"/>
          <w:szCs w:val="24"/>
        </w:rPr>
        <w:t>i</w:t>
      </w:r>
      <w:r w:rsidR="00A14F75">
        <w:rPr>
          <w:rFonts w:ascii="Times New Roman" w:hAnsi="Times New Roman" w:cs="Times New Roman"/>
          <w:sz w:val="24"/>
          <w:szCs w:val="24"/>
        </w:rPr>
        <w:t xml:space="preserve"> z</w:t>
      </w:r>
      <w:r w:rsidR="00594542">
        <w:rPr>
          <w:rFonts w:ascii="Times New Roman" w:hAnsi="Times New Roman" w:cs="Times New Roman"/>
          <w:sz w:val="24"/>
          <w:szCs w:val="24"/>
        </w:rPr>
        <w:t>amestnávateľa alebo z</w:t>
      </w:r>
      <w:r w:rsidR="00A14F75">
        <w:rPr>
          <w:rFonts w:ascii="Times New Roman" w:hAnsi="Times New Roman" w:cs="Times New Roman"/>
          <w:sz w:val="24"/>
          <w:szCs w:val="24"/>
        </w:rPr>
        <w:t>odpovednej osoby.</w:t>
      </w:r>
    </w:p>
    <w:p w14:paraId="695833A2" w14:textId="1366819E" w:rsidR="00594542" w:rsidRDefault="00594542" w:rsidP="00FC4EAF">
      <w:pPr>
        <w:spacing w:after="0" w:line="240" w:lineRule="auto"/>
        <w:ind w:firstLine="708"/>
        <w:jc w:val="both"/>
        <w:rPr>
          <w:rFonts w:ascii="Times New Roman" w:hAnsi="Times New Roman" w:cs="Times New Roman"/>
          <w:sz w:val="24"/>
          <w:szCs w:val="24"/>
        </w:rPr>
      </w:pPr>
    </w:p>
    <w:p w14:paraId="5E8741B2" w14:textId="12CB7BA8" w:rsidR="00594542" w:rsidRDefault="00594542" w:rsidP="00FC4E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Zavedenie povinnosti zamestnávateľa vyžiadať si výsledok vybavenia postúpeného oznámenia v zákonnom rozsahu a oboznámiť s ňou oznamovateľa vychádza z bodu 57 recitálu a zároveň predstavuje transpozíciu čl. 11 ods. 2 písm. e) smernice (EÚ) 2019/1937 v platnom znení. </w:t>
      </w:r>
    </w:p>
    <w:p w14:paraId="37C7A09B" w14:textId="65B92C76" w:rsidR="008827A6" w:rsidRDefault="008827A6" w:rsidP="00A3392F">
      <w:pPr>
        <w:spacing w:after="0" w:line="240" w:lineRule="auto"/>
        <w:jc w:val="both"/>
        <w:rPr>
          <w:rFonts w:ascii="Times New Roman" w:hAnsi="Times New Roman" w:cs="Times New Roman"/>
          <w:sz w:val="24"/>
          <w:szCs w:val="24"/>
        </w:rPr>
      </w:pPr>
    </w:p>
    <w:p w14:paraId="0BEB93D8" w14:textId="07551819" w:rsidR="007C20CD" w:rsidRPr="00531615" w:rsidRDefault="007C20CD" w:rsidP="00A3392F">
      <w:pPr>
        <w:spacing w:after="0" w:line="240" w:lineRule="auto"/>
        <w:jc w:val="both"/>
        <w:rPr>
          <w:rFonts w:ascii="Times New Roman" w:hAnsi="Times New Roman" w:cs="Times New Roman"/>
          <w:b/>
          <w:sz w:val="24"/>
          <w:szCs w:val="24"/>
        </w:rPr>
      </w:pPr>
      <w:r w:rsidRPr="00531615">
        <w:rPr>
          <w:rFonts w:ascii="Times New Roman" w:hAnsi="Times New Roman" w:cs="Times New Roman"/>
          <w:b/>
          <w:sz w:val="24"/>
          <w:szCs w:val="24"/>
        </w:rPr>
        <w:t>K bodu 23</w:t>
      </w:r>
    </w:p>
    <w:p w14:paraId="668A3A84" w14:textId="5A42782C" w:rsidR="007C20CD" w:rsidRPr="00531615" w:rsidRDefault="007C20CD" w:rsidP="00A3392F">
      <w:pPr>
        <w:spacing w:after="0" w:line="240" w:lineRule="auto"/>
        <w:jc w:val="both"/>
        <w:rPr>
          <w:rFonts w:ascii="Times New Roman" w:hAnsi="Times New Roman" w:cs="Times New Roman"/>
          <w:b/>
          <w:i/>
          <w:sz w:val="24"/>
          <w:szCs w:val="24"/>
        </w:rPr>
      </w:pPr>
      <w:r w:rsidRPr="00531615">
        <w:rPr>
          <w:rFonts w:ascii="Times New Roman" w:hAnsi="Times New Roman" w:cs="Times New Roman"/>
          <w:b/>
          <w:i/>
          <w:sz w:val="24"/>
          <w:szCs w:val="24"/>
        </w:rPr>
        <w:t>(§ 10 ods. 8 písm. c))</w:t>
      </w:r>
    </w:p>
    <w:p w14:paraId="43092180" w14:textId="0C3E2CAE" w:rsidR="007C20CD" w:rsidRDefault="007C20CD" w:rsidP="00A3392F">
      <w:pPr>
        <w:spacing w:after="0" w:line="240" w:lineRule="auto"/>
        <w:jc w:val="both"/>
        <w:rPr>
          <w:rFonts w:ascii="Times New Roman" w:hAnsi="Times New Roman" w:cs="Times New Roman"/>
          <w:sz w:val="24"/>
          <w:szCs w:val="24"/>
        </w:rPr>
      </w:pPr>
    </w:p>
    <w:p w14:paraId="4844C409" w14:textId="52A4E985" w:rsidR="007C20CD" w:rsidRDefault="007C20CD" w:rsidP="00A33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Uvedené doplnenie povinných informácií, ktoré má obsahovať vnútorný predpis zamestnávateľa reflektuje na zavedenie povinnosti zachovávať mlčanlivosť o totožnosti dotknutej osoby.</w:t>
      </w:r>
    </w:p>
    <w:p w14:paraId="6DE8C0D0" w14:textId="77777777" w:rsidR="007C20CD" w:rsidRDefault="007C20CD" w:rsidP="00A3392F">
      <w:pPr>
        <w:spacing w:after="0" w:line="240" w:lineRule="auto"/>
        <w:jc w:val="both"/>
        <w:rPr>
          <w:rFonts w:ascii="Times New Roman" w:hAnsi="Times New Roman" w:cs="Times New Roman"/>
          <w:sz w:val="24"/>
          <w:szCs w:val="24"/>
        </w:rPr>
      </w:pPr>
    </w:p>
    <w:p w14:paraId="6A7243AE" w14:textId="3DC127C2" w:rsidR="00594542" w:rsidRPr="00594542" w:rsidRDefault="00594542" w:rsidP="00594542">
      <w:pPr>
        <w:spacing w:after="0" w:line="240" w:lineRule="auto"/>
        <w:jc w:val="both"/>
        <w:rPr>
          <w:rFonts w:ascii="Times New Roman" w:hAnsi="Times New Roman" w:cs="Times New Roman"/>
          <w:b/>
          <w:sz w:val="24"/>
          <w:szCs w:val="24"/>
        </w:rPr>
      </w:pPr>
      <w:r w:rsidRPr="00594542">
        <w:rPr>
          <w:rFonts w:ascii="Times New Roman" w:hAnsi="Times New Roman" w:cs="Times New Roman"/>
          <w:b/>
          <w:sz w:val="24"/>
          <w:szCs w:val="24"/>
        </w:rPr>
        <w:t>K bodu 2</w:t>
      </w:r>
      <w:r w:rsidR="007C20CD">
        <w:rPr>
          <w:rFonts w:ascii="Times New Roman" w:hAnsi="Times New Roman" w:cs="Times New Roman"/>
          <w:b/>
          <w:sz w:val="24"/>
          <w:szCs w:val="24"/>
        </w:rPr>
        <w:t>4</w:t>
      </w:r>
      <w:r w:rsidR="00715E3E">
        <w:rPr>
          <w:rFonts w:ascii="Times New Roman" w:hAnsi="Times New Roman" w:cs="Times New Roman"/>
          <w:b/>
          <w:sz w:val="24"/>
          <w:szCs w:val="24"/>
        </w:rPr>
        <w:t xml:space="preserve"> a 2</w:t>
      </w:r>
      <w:r w:rsidR="007C20CD">
        <w:rPr>
          <w:rFonts w:ascii="Times New Roman" w:hAnsi="Times New Roman" w:cs="Times New Roman"/>
          <w:b/>
          <w:sz w:val="24"/>
          <w:szCs w:val="24"/>
        </w:rPr>
        <w:t>5</w:t>
      </w:r>
    </w:p>
    <w:p w14:paraId="1113612E" w14:textId="59797DFE" w:rsidR="00594542" w:rsidRPr="00594542" w:rsidRDefault="00594542" w:rsidP="00594542">
      <w:pPr>
        <w:spacing w:after="0" w:line="240" w:lineRule="auto"/>
        <w:jc w:val="both"/>
        <w:rPr>
          <w:rFonts w:ascii="Times New Roman" w:hAnsi="Times New Roman" w:cs="Times New Roman"/>
          <w:b/>
          <w:i/>
          <w:sz w:val="24"/>
          <w:szCs w:val="24"/>
        </w:rPr>
      </w:pPr>
      <w:r w:rsidRPr="00594542">
        <w:rPr>
          <w:rFonts w:ascii="Times New Roman" w:hAnsi="Times New Roman" w:cs="Times New Roman"/>
          <w:b/>
          <w:i/>
          <w:sz w:val="24"/>
          <w:szCs w:val="24"/>
        </w:rPr>
        <w:t>(</w:t>
      </w:r>
      <w:r>
        <w:rPr>
          <w:rFonts w:ascii="Times New Roman" w:hAnsi="Times New Roman" w:cs="Times New Roman"/>
          <w:b/>
          <w:i/>
          <w:sz w:val="24"/>
          <w:szCs w:val="24"/>
        </w:rPr>
        <w:t>§ 10 ods. 8 písm. g) až h</w:t>
      </w:r>
      <w:r w:rsidR="00715E3E">
        <w:rPr>
          <w:rFonts w:ascii="Times New Roman" w:hAnsi="Times New Roman" w:cs="Times New Roman"/>
          <w:b/>
          <w:i/>
          <w:sz w:val="24"/>
          <w:szCs w:val="24"/>
        </w:rPr>
        <w:t>), § 10 ods. 9</w:t>
      </w:r>
      <w:r w:rsidRPr="00594542">
        <w:rPr>
          <w:rFonts w:ascii="Times New Roman" w:hAnsi="Times New Roman" w:cs="Times New Roman"/>
          <w:b/>
          <w:i/>
          <w:sz w:val="24"/>
          <w:szCs w:val="24"/>
        </w:rPr>
        <w:t>)</w:t>
      </w:r>
    </w:p>
    <w:p w14:paraId="53DD25B4" w14:textId="220DA9D0" w:rsidR="00594542" w:rsidRDefault="00594542" w:rsidP="008617AD">
      <w:pPr>
        <w:spacing w:after="0" w:line="240" w:lineRule="auto"/>
        <w:ind w:firstLine="708"/>
        <w:jc w:val="both"/>
        <w:rPr>
          <w:rFonts w:ascii="Times New Roman" w:hAnsi="Times New Roman" w:cs="Times New Roman"/>
          <w:sz w:val="24"/>
          <w:szCs w:val="24"/>
        </w:rPr>
      </w:pPr>
    </w:p>
    <w:p w14:paraId="01384CA9" w14:textId="4579A660" w:rsidR="00594542" w:rsidRDefault="00896F60" w:rsidP="008617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Navrhovaná právna úprava </w:t>
      </w:r>
      <w:r w:rsidR="00715E3E">
        <w:rPr>
          <w:rFonts w:ascii="Times New Roman" w:hAnsi="Times New Roman" w:cs="Times New Roman"/>
          <w:sz w:val="24"/>
          <w:szCs w:val="24"/>
        </w:rPr>
        <w:t xml:space="preserve">§ 10 ods. 8 písm. g) a h) </w:t>
      </w:r>
      <w:r>
        <w:rPr>
          <w:rFonts w:ascii="Times New Roman" w:hAnsi="Times New Roman" w:cs="Times New Roman"/>
          <w:sz w:val="24"/>
          <w:szCs w:val="24"/>
        </w:rPr>
        <w:t>predstavuje transpozíciu čl. 9 smernice (EÚ) 2019/1937 v platnom znení</w:t>
      </w:r>
      <w:r w:rsidR="00715E3E">
        <w:rPr>
          <w:rFonts w:ascii="Times New Roman" w:hAnsi="Times New Roman" w:cs="Times New Roman"/>
          <w:sz w:val="24"/>
          <w:szCs w:val="24"/>
        </w:rPr>
        <w:t xml:space="preserve"> a nadväzuje na doplnenie ustanovenia § 10 ods. 9</w:t>
      </w:r>
      <w:r w:rsidR="00D80DB7">
        <w:rPr>
          <w:rFonts w:ascii="Times New Roman" w:hAnsi="Times New Roman" w:cs="Times New Roman"/>
          <w:sz w:val="24"/>
          <w:szCs w:val="24"/>
        </w:rPr>
        <w:t>.</w:t>
      </w:r>
      <w:r w:rsidR="00E167CB">
        <w:rPr>
          <w:rFonts w:ascii="Times New Roman" w:hAnsi="Times New Roman" w:cs="Times New Roman"/>
          <w:sz w:val="24"/>
          <w:szCs w:val="24"/>
        </w:rPr>
        <w:t xml:space="preserve"> Formu, štruktúru, ako aj detailný obsah informácií určuje úrad, v ktorého kompetencii je vydávanie metodických usmernení a takýmto spôsobom napomáha ku správnemu aplikovaniu zákona.</w:t>
      </w:r>
    </w:p>
    <w:p w14:paraId="68FB278D" w14:textId="77777777" w:rsidR="00594542" w:rsidRDefault="00594542" w:rsidP="008617AD">
      <w:pPr>
        <w:spacing w:after="0" w:line="240" w:lineRule="auto"/>
        <w:ind w:firstLine="708"/>
        <w:jc w:val="both"/>
        <w:rPr>
          <w:rFonts w:ascii="Times New Roman" w:hAnsi="Times New Roman" w:cs="Times New Roman"/>
          <w:sz w:val="24"/>
          <w:szCs w:val="24"/>
        </w:rPr>
      </w:pPr>
    </w:p>
    <w:p w14:paraId="3C8264FF" w14:textId="74FC8AAC" w:rsidR="00D80DB7" w:rsidRDefault="004901D9" w:rsidP="009638E0">
      <w:pPr>
        <w:spacing w:after="0" w:line="240" w:lineRule="auto"/>
        <w:jc w:val="both"/>
        <w:rPr>
          <w:rFonts w:ascii="Times New Roman" w:hAnsi="Times New Roman" w:cs="Times New Roman"/>
          <w:b/>
          <w:bCs/>
          <w:sz w:val="24"/>
          <w:szCs w:val="24"/>
        </w:rPr>
      </w:pPr>
      <w:r w:rsidRPr="008617AD">
        <w:rPr>
          <w:rFonts w:ascii="Times New Roman" w:hAnsi="Times New Roman" w:cs="Times New Roman"/>
          <w:sz w:val="24"/>
          <w:szCs w:val="24"/>
        </w:rPr>
        <w:tab/>
      </w:r>
      <w:r w:rsidR="00440FE5" w:rsidRPr="008617AD">
        <w:rPr>
          <w:rFonts w:ascii="Times New Roman" w:hAnsi="Times New Roman" w:cs="Times New Roman"/>
          <w:sz w:val="24"/>
          <w:szCs w:val="24"/>
        </w:rPr>
        <w:t xml:space="preserve">Zamestnávateľovi sa </w:t>
      </w:r>
      <w:r w:rsidR="0097259C">
        <w:rPr>
          <w:rFonts w:ascii="Times New Roman" w:hAnsi="Times New Roman" w:cs="Times New Roman"/>
          <w:sz w:val="24"/>
          <w:szCs w:val="24"/>
        </w:rPr>
        <w:t>navrhuje</w:t>
      </w:r>
      <w:r w:rsidR="00440FE5" w:rsidRPr="008617AD">
        <w:rPr>
          <w:rFonts w:ascii="Times New Roman" w:hAnsi="Times New Roman" w:cs="Times New Roman"/>
          <w:sz w:val="24"/>
          <w:szCs w:val="24"/>
        </w:rPr>
        <w:t xml:space="preserve"> povinnosť zabezpečiť prijatie opatrenia voči zamestnancovi, ktorý bráni podaniu oznámenia v rámci vnútorného systému preverovania oznámení</w:t>
      </w:r>
      <w:r w:rsidR="00440FE5" w:rsidRPr="008617AD">
        <w:rPr>
          <w:rFonts w:ascii="Times New Roman" w:hAnsi="Times New Roman" w:cs="Times New Roman"/>
          <w:b/>
          <w:bCs/>
          <w:sz w:val="24"/>
          <w:szCs w:val="24"/>
        </w:rPr>
        <w:t xml:space="preserve">. </w:t>
      </w:r>
      <w:r w:rsidR="00BE1846" w:rsidRPr="004C446C">
        <w:rPr>
          <w:rFonts w:ascii="Times New Roman" w:hAnsi="Times New Roman" w:cs="Times New Roman"/>
          <w:bCs/>
          <w:sz w:val="24"/>
          <w:szCs w:val="24"/>
        </w:rPr>
        <w:t>U</w:t>
      </w:r>
      <w:r w:rsidR="00BE1846">
        <w:rPr>
          <w:rFonts w:ascii="Times New Roman" w:hAnsi="Times New Roman" w:cs="Times New Roman"/>
          <w:b/>
          <w:bCs/>
          <w:sz w:val="24"/>
          <w:szCs w:val="24"/>
        </w:rPr>
        <w:t>s</w:t>
      </w:r>
      <w:r w:rsidR="00BE1846" w:rsidRPr="008617AD">
        <w:rPr>
          <w:rFonts w:ascii="Times New Roman" w:hAnsi="Times New Roman" w:cs="Times New Roman"/>
          <w:sz w:val="24"/>
          <w:szCs w:val="24"/>
        </w:rPr>
        <w:t xml:space="preserve">tanovenie </w:t>
      </w:r>
      <w:r w:rsidR="00440FE5" w:rsidRPr="008617AD">
        <w:rPr>
          <w:rFonts w:ascii="Times New Roman" w:hAnsi="Times New Roman" w:cs="Times New Roman"/>
          <w:sz w:val="24"/>
          <w:szCs w:val="24"/>
        </w:rPr>
        <w:t xml:space="preserve">uloženej povinnosti má za cieľ napomôcť zabezpečeniu lepšieho využívania vnútorného systému preverovania oznámení a minimalizovania obáv oznamovateľa týkajúcich sa nevyvodenia dôsledkov voči osobe, ktorá bude brániť podaniu oznámenia, čím sa sleduje zámer frekventovanejšieho využívania zákona zo strany oznamovateľov. Bránením </w:t>
      </w:r>
      <w:r w:rsidR="00440FE5" w:rsidRPr="008617AD">
        <w:rPr>
          <w:rFonts w:ascii="Times New Roman" w:hAnsi="Times New Roman" w:cs="Times New Roman"/>
          <w:sz w:val="24"/>
          <w:szCs w:val="24"/>
        </w:rPr>
        <w:lastRenderedPageBreak/>
        <w:t xml:space="preserve">podaniu oznámenia sa rozumie napr. odmietnutie prijatia oznámenia alebo akékoľvek konanie, ktorého cieľom je zmariť, sťažiť alebo spomaliť podanie oznámenia.  </w:t>
      </w:r>
    </w:p>
    <w:p w14:paraId="26ADFFE8" w14:textId="77777777" w:rsidR="00D80DB7" w:rsidRDefault="00D80DB7" w:rsidP="009638E0">
      <w:pPr>
        <w:spacing w:after="0" w:line="240" w:lineRule="auto"/>
        <w:jc w:val="both"/>
        <w:rPr>
          <w:rFonts w:ascii="Times New Roman" w:hAnsi="Times New Roman" w:cs="Times New Roman"/>
          <w:b/>
          <w:bCs/>
          <w:sz w:val="24"/>
          <w:szCs w:val="24"/>
        </w:rPr>
      </w:pPr>
    </w:p>
    <w:p w14:paraId="09273296" w14:textId="4CFCDAF0" w:rsidR="00821D07" w:rsidRDefault="00821D07" w:rsidP="009638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2</w:t>
      </w:r>
      <w:r w:rsidR="009414C1">
        <w:rPr>
          <w:rFonts w:ascii="Times New Roman" w:hAnsi="Times New Roman" w:cs="Times New Roman"/>
          <w:b/>
          <w:bCs/>
          <w:sz w:val="24"/>
          <w:szCs w:val="24"/>
        </w:rPr>
        <w:t>6</w:t>
      </w:r>
    </w:p>
    <w:p w14:paraId="3FCC5738" w14:textId="77777777" w:rsidR="00821D07" w:rsidRPr="00825A19" w:rsidRDefault="00821D07"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11 ods. 1)</w:t>
      </w:r>
    </w:p>
    <w:p w14:paraId="1D3AD810" w14:textId="77777777" w:rsidR="00821D07" w:rsidRDefault="00821D07" w:rsidP="009638E0">
      <w:pPr>
        <w:spacing w:after="0" w:line="240" w:lineRule="auto"/>
        <w:jc w:val="both"/>
        <w:rPr>
          <w:rFonts w:ascii="Times New Roman" w:hAnsi="Times New Roman" w:cs="Times New Roman"/>
          <w:b/>
          <w:bCs/>
          <w:sz w:val="24"/>
          <w:szCs w:val="24"/>
        </w:rPr>
      </w:pPr>
    </w:p>
    <w:p w14:paraId="459B09A0" w14:textId="666FB42A" w:rsidR="00D80DB7" w:rsidRDefault="00821D07"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Navrhovaná </w:t>
      </w:r>
      <w:r w:rsidR="00091A43">
        <w:rPr>
          <w:rFonts w:ascii="Times New Roman" w:hAnsi="Times New Roman" w:cs="Times New Roman"/>
          <w:bCs/>
          <w:sz w:val="24"/>
          <w:szCs w:val="24"/>
        </w:rPr>
        <w:t xml:space="preserve">úprava </w:t>
      </w:r>
      <w:r w:rsidR="00D80DB7">
        <w:rPr>
          <w:rFonts w:ascii="Times New Roman" w:hAnsi="Times New Roman" w:cs="Times New Roman"/>
          <w:bCs/>
          <w:sz w:val="24"/>
          <w:szCs w:val="24"/>
        </w:rPr>
        <w:t>reflektuje na nedostatok súčasnej právnej úpravy, a to na neurčitosť maximálnej doby</w:t>
      </w:r>
      <w:r w:rsidR="002346FC">
        <w:rPr>
          <w:rFonts w:ascii="Times New Roman" w:hAnsi="Times New Roman" w:cs="Times New Roman"/>
          <w:bCs/>
          <w:sz w:val="24"/>
          <w:szCs w:val="24"/>
        </w:rPr>
        <w:t>,</w:t>
      </w:r>
      <w:r w:rsidR="00D80DB7">
        <w:rPr>
          <w:rFonts w:ascii="Times New Roman" w:hAnsi="Times New Roman" w:cs="Times New Roman"/>
          <w:bCs/>
          <w:sz w:val="24"/>
          <w:szCs w:val="24"/>
        </w:rPr>
        <w:t xml:space="preserve"> počas ktorej je zamestnávateľ povinný uchovávať evidenciu oznámení. V zmysle zásady minimalizácie uchovávania osobných údajov podľa zákona č. 18/2018 Z. z. o ochrane osobných údajov</w:t>
      </w:r>
      <w:r w:rsidR="001E2395">
        <w:rPr>
          <w:rFonts w:ascii="Times New Roman" w:hAnsi="Times New Roman" w:cs="Times New Roman"/>
          <w:bCs/>
          <w:sz w:val="24"/>
          <w:szCs w:val="24"/>
        </w:rPr>
        <w:t xml:space="preserve"> je nevyhnutné stanoviť </w:t>
      </w:r>
      <w:r w:rsidR="002346FC">
        <w:rPr>
          <w:rFonts w:ascii="Times New Roman" w:hAnsi="Times New Roman" w:cs="Times New Roman"/>
          <w:bCs/>
          <w:sz w:val="24"/>
          <w:szCs w:val="24"/>
        </w:rPr>
        <w:t xml:space="preserve">takúto </w:t>
      </w:r>
      <w:r w:rsidR="001E2395">
        <w:rPr>
          <w:rFonts w:ascii="Times New Roman" w:hAnsi="Times New Roman" w:cs="Times New Roman"/>
          <w:bCs/>
          <w:sz w:val="24"/>
          <w:szCs w:val="24"/>
        </w:rPr>
        <w:t>určit</w:t>
      </w:r>
      <w:r w:rsidR="002346FC">
        <w:rPr>
          <w:rFonts w:ascii="Times New Roman" w:hAnsi="Times New Roman" w:cs="Times New Roman"/>
          <w:bCs/>
          <w:sz w:val="24"/>
          <w:szCs w:val="24"/>
        </w:rPr>
        <w:t>ú dobu, a to viedla predkladateľa ku vypusteniu slova najmenej a tým stanovenia doby uchovávania na 3 roky.</w:t>
      </w:r>
    </w:p>
    <w:p w14:paraId="4406FA45" w14:textId="77777777" w:rsidR="00D80DB7" w:rsidRDefault="00D80DB7" w:rsidP="00531615">
      <w:pPr>
        <w:spacing w:after="0" w:line="240" w:lineRule="auto"/>
        <w:jc w:val="both"/>
        <w:rPr>
          <w:rFonts w:ascii="Times New Roman" w:hAnsi="Times New Roman" w:cs="Times New Roman"/>
          <w:bCs/>
          <w:sz w:val="24"/>
          <w:szCs w:val="24"/>
        </w:rPr>
      </w:pPr>
    </w:p>
    <w:p w14:paraId="757F93AF" w14:textId="7BA2639C" w:rsidR="00821D07" w:rsidRDefault="005C506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Zároveň sa </w:t>
      </w:r>
      <w:r w:rsidR="00821D07">
        <w:rPr>
          <w:rFonts w:ascii="Times New Roman" w:hAnsi="Times New Roman" w:cs="Times New Roman"/>
          <w:bCs/>
          <w:sz w:val="24"/>
          <w:szCs w:val="24"/>
        </w:rPr>
        <w:t xml:space="preserve">spresňuje povinnosť zamestnávateľa evidovať oznámenia </w:t>
      </w:r>
      <w:r>
        <w:rPr>
          <w:rFonts w:ascii="Times New Roman" w:hAnsi="Times New Roman" w:cs="Times New Roman"/>
          <w:bCs/>
          <w:sz w:val="24"/>
          <w:szCs w:val="24"/>
        </w:rPr>
        <w:t xml:space="preserve"> </w:t>
      </w:r>
      <w:r w:rsidR="00821D07">
        <w:rPr>
          <w:rFonts w:ascii="Times New Roman" w:hAnsi="Times New Roman" w:cs="Times New Roman"/>
          <w:bCs/>
          <w:sz w:val="24"/>
          <w:szCs w:val="24"/>
        </w:rPr>
        <w:t xml:space="preserve">tak, aby bolo nespochybniteľné, že </w:t>
      </w:r>
      <w:r w:rsidR="00250723">
        <w:rPr>
          <w:rFonts w:ascii="Times New Roman" w:hAnsi="Times New Roman" w:cs="Times New Roman"/>
          <w:bCs/>
          <w:sz w:val="24"/>
          <w:szCs w:val="24"/>
        </w:rPr>
        <w:t xml:space="preserve">sa </w:t>
      </w:r>
      <w:r w:rsidR="00821D07">
        <w:rPr>
          <w:rFonts w:ascii="Times New Roman" w:hAnsi="Times New Roman" w:cs="Times New Roman"/>
          <w:bCs/>
          <w:sz w:val="24"/>
          <w:szCs w:val="24"/>
        </w:rPr>
        <w:t xml:space="preserve">uvedená povinnosť týka všetkých prijatých oznámení bez výnimky. </w:t>
      </w:r>
    </w:p>
    <w:p w14:paraId="3A51916B" w14:textId="77777777" w:rsidR="00821D07" w:rsidRDefault="00821D07" w:rsidP="009638E0">
      <w:pPr>
        <w:spacing w:after="0" w:line="240" w:lineRule="auto"/>
        <w:jc w:val="both"/>
        <w:rPr>
          <w:rFonts w:ascii="Times New Roman" w:hAnsi="Times New Roman" w:cs="Times New Roman"/>
          <w:bCs/>
          <w:sz w:val="24"/>
          <w:szCs w:val="24"/>
        </w:rPr>
      </w:pPr>
    </w:p>
    <w:p w14:paraId="66447EA0" w14:textId="762516BA" w:rsidR="00821D07" w:rsidRPr="00825A19" w:rsidRDefault="00821D07"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K bodu 2</w:t>
      </w:r>
      <w:r w:rsidR="009414C1">
        <w:rPr>
          <w:rFonts w:ascii="Times New Roman" w:hAnsi="Times New Roman" w:cs="Times New Roman"/>
          <w:b/>
          <w:bCs/>
          <w:sz w:val="24"/>
          <w:szCs w:val="24"/>
        </w:rPr>
        <w:t>7</w:t>
      </w:r>
    </w:p>
    <w:p w14:paraId="6CBAA846" w14:textId="77777777" w:rsidR="00821D07" w:rsidRPr="00531615" w:rsidRDefault="00821D07" w:rsidP="009638E0">
      <w:pPr>
        <w:spacing w:after="0" w:line="240" w:lineRule="auto"/>
        <w:jc w:val="both"/>
        <w:rPr>
          <w:rFonts w:ascii="Times New Roman" w:hAnsi="Times New Roman" w:cs="Times New Roman"/>
          <w:b/>
          <w:bCs/>
          <w:i/>
          <w:sz w:val="24"/>
          <w:szCs w:val="24"/>
        </w:rPr>
      </w:pPr>
      <w:r w:rsidRPr="00531615">
        <w:rPr>
          <w:rFonts w:ascii="Times New Roman" w:hAnsi="Times New Roman" w:cs="Times New Roman"/>
          <w:b/>
          <w:bCs/>
          <w:i/>
          <w:sz w:val="24"/>
          <w:szCs w:val="24"/>
        </w:rPr>
        <w:t>(§ 11 ods. 1 písm. b))</w:t>
      </w:r>
    </w:p>
    <w:p w14:paraId="4FD671B3" w14:textId="77777777" w:rsidR="00821D07" w:rsidRDefault="00821D07" w:rsidP="009638E0">
      <w:pPr>
        <w:spacing w:after="0" w:line="240" w:lineRule="auto"/>
        <w:jc w:val="both"/>
        <w:rPr>
          <w:rFonts w:ascii="Times New Roman" w:hAnsi="Times New Roman" w:cs="Times New Roman"/>
          <w:bCs/>
          <w:sz w:val="24"/>
          <w:szCs w:val="24"/>
        </w:rPr>
      </w:pPr>
    </w:p>
    <w:p w14:paraId="70D4CBFF" w14:textId="77777777" w:rsidR="00821D07" w:rsidRDefault="00821D07"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V danom prípade sa jedná o logickú úpravu rozsahu povinnosti zamestnávate</w:t>
      </w:r>
      <w:r w:rsidR="00250723">
        <w:rPr>
          <w:rFonts w:ascii="Times New Roman" w:hAnsi="Times New Roman" w:cs="Times New Roman"/>
          <w:bCs/>
          <w:sz w:val="24"/>
          <w:szCs w:val="24"/>
        </w:rPr>
        <w:t>ľa</w:t>
      </w:r>
      <w:r>
        <w:rPr>
          <w:rFonts w:ascii="Times New Roman" w:hAnsi="Times New Roman" w:cs="Times New Roman"/>
          <w:bCs/>
          <w:sz w:val="24"/>
          <w:szCs w:val="24"/>
        </w:rPr>
        <w:t xml:space="preserve"> pri evidencii prijatých oznámení, nakoľko evidencia mena, priezviska a pobytu oznamovateľa pri konkrétnom oznámení je možná iba za predpokladu, že zamestnávate</w:t>
      </w:r>
      <w:r w:rsidR="00091A43">
        <w:rPr>
          <w:rFonts w:ascii="Times New Roman" w:hAnsi="Times New Roman" w:cs="Times New Roman"/>
          <w:bCs/>
          <w:sz w:val="24"/>
          <w:szCs w:val="24"/>
        </w:rPr>
        <w:t>ľ</w:t>
      </w:r>
      <w:r>
        <w:rPr>
          <w:rFonts w:ascii="Times New Roman" w:hAnsi="Times New Roman" w:cs="Times New Roman"/>
          <w:bCs/>
          <w:sz w:val="24"/>
          <w:szCs w:val="24"/>
        </w:rPr>
        <w:t xml:space="preserve"> tým</w:t>
      </w:r>
      <w:r w:rsidR="00AB09AD">
        <w:rPr>
          <w:rFonts w:ascii="Times New Roman" w:hAnsi="Times New Roman" w:cs="Times New Roman"/>
          <w:bCs/>
          <w:sz w:val="24"/>
          <w:szCs w:val="24"/>
        </w:rPr>
        <w:t>ito</w:t>
      </w:r>
      <w:r w:rsidR="00250723">
        <w:rPr>
          <w:rFonts w:ascii="Times New Roman" w:hAnsi="Times New Roman" w:cs="Times New Roman"/>
          <w:bCs/>
          <w:sz w:val="24"/>
          <w:szCs w:val="24"/>
        </w:rPr>
        <w:t xml:space="preserve"> </w:t>
      </w:r>
      <w:r>
        <w:rPr>
          <w:rFonts w:ascii="Times New Roman" w:hAnsi="Times New Roman" w:cs="Times New Roman"/>
          <w:bCs/>
          <w:sz w:val="24"/>
          <w:szCs w:val="24"/>
        </w:rPr>
        <w:t xml:space="preserve">vybranými informáciami disponuje, čo </w:t>
      </w:r>
      <w:r w:rsidR="00AB09AD">
        <w:rPr>
          <w:rFonts w:ascii="Times New Roman" w:hAnsi="Times New Roman" w:cs="Times New Roman"/>
          <w:bCs/>
          <w:sz w:val="24"/>
          <w:szCs w:val="24"/>
        </w:rPr>
        <w:t xml:space="preserve">priamo vylučuje charakter anonymného oznámenia. </w:t>
      </w:r>
    </w:p>
    <w:p w14:paraId="2EA2EC06" w14:textId="77777777" w:rsidR="00AB09AD" w:rsidRDefault="00AB09AD" w:rsidP="009638E0">
      <w:pPr>
        <w:spacing w:after="0" w:line="240" w:lineRule="auto"/>
        <w:jc w:val="both"/>
        <w:rPr>
          <w:rFonts w:ascii="Times New Roman" w:hAnsi="Times New Roman" w:cs="Times New Roman"/>
          <w:bCs/>
          <w:sz w:val="24"/>
          <w:szCs w:val="24"/>
        </w:rPr>
      </w:pPr>
    </w:p>
    <w:p w14:paraId="3B457BB8" w14:textId="59115163" w:rsidR="00AB09AD" w:rsidRPr="00825A19" w:rsidRDefault="00AB09AD"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K bodu 2</w:t>
      </w:r>
      <w:r w:rsidR="00F62A89">
        <w:rPr>
          <w:rFonts w:ascii="Times New Roman" w:hAnsi="Times New Roman" w:cs="Times New Roman"/>
          <w:b/>
          <w:bCs/>
          <w:sz w:val="24"/>
          <w:szCs w:val="24"/>
        </w:rPr>
        <w:t>8</w:t>
      </w:r>
      <w:r w:rsidRPr="00825A19">
        <w:rPr>
          <w:rFonts w:ascii="Times New Roman" w:hAnsi="Times New Roman" w:cs="Times New Roman"/>
          <w:b/>
          <w:bCs/>
          <w:sz w:val="24"/>
          <w:szCs w:val="24"/>
        </w:rPr>
        <w:t xml:space="preserve"> </w:t>
      </w:r>
      <w:r w:rsidR="008827A6">
        <w:rPr>
          <w:rFonts w:ascii="Times New Roman" w:hAnsi="Times New Roman" w:cs="Times New Roman"/>
          <w:b/>
          <w:bCs/>
          <w:sz w:val="24"/>
          <w:szCs w:val="24"/>
        </w:rPr>
        <w:t xml:space="preserve">až </w:t>
      </w:r>
      <w:r w:rsidR="00F62A89">
        <w:rPr>
          <w:rFonts w:ascii="Times New Roman" w:hAnsi="Times New Roman" w:cs="Times New Roman"/>
          <w:b/>
          <w:bCs/>
          <w:sz w:val="24"/>
          <w:szCs w:val="24"/>
        </w:rPr>
        <w:t>30</w:t>
      </w:r>
    </w:p>
    <w:p w14:paraId="73A81E01" w14:textId="072A999F" w:rsidR="00AB09AD" w:rsidRPr="00825A19" w:rsidRDefault="00AB09AD"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12</w:t>
      </w:r>
      <w:r w:rsidR="00A9183D">
        <w:rPr>
          <w:rFonts w:ascii="Times New Roman" w:hAnsi="Times New Roman" w:cs="Times New Roman"/>
          <w:b/>
          <w:bCs/>
          <w:i/>
          <w:sz w:val="24"/>
          <w:szCs w:val="24"/>
        </w:rPr>
        <w:t xml:space="preserve"> ods. 2, 3, 4</w:t>
      </w:r>
      <w:r w:rsidR="00F62A89">
        <w:rPr>
          <w:rFonts w:ascii="Times New Roman" w:hAnsi="Times New Roman" w:cs="Times New Roman"/>
          <w:b/>
          <w:bCs/>
          <w:i/>
          <w:sz w:val="24"/>
          <w:szCs w:val="24"/>
        </w:rPr>
        <w:t xml:space="preserve"> a 6</w:t>
      </w:r>
      <w:r w:rsidRPr="00825A19">
        <w:rPr>
          <w:rFonts w:ascii="Times New Roman" w:hAnsi="Times New Roman" w:cs="Times New Roman"/>
          <w:b/>
          <w:bCs/>
          <w:i/>
          <w:sz w:val="24"/>
          <w:szCs w:val="24"/>
        </w:rPr>
        <w:t>)</w:t>
      </w:r>
    </w:p>
    <w:p w14:paraId="1393F63D" w14:textId="77777777" w:rsidR="00AB09AD" w:rsidRDefault="00AB09AD" w:rsidP="009638E0">
      <w:pPr>
        <w:spacing w:after="0" w:line="240" w:lineRule="auto"/>
        <w:jc w:val="both"/>
        <w:rPr>
          <w:rFonts w:ascii="Times New Roman" w:hAnsi="Times New Roman" w:cs="Times New Roman"/>
          <w:bCs/>
          <w:sz w:val="24"/>
          <w:szCs w:val="24"/>
        </w:rPr>
      </w:pPr>
    </w:p>
    <w:p w14:paraId="2AC2413C" w14:textId="6721B986" w:rsidR="008827A6" w:rsidRDefault="00AB09AD" w:rsidP="00D87132">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I keď zákon poznal termín „potvrdenie“, nebol v danom prípade termínom správnym </w:t>
      </w:r>
      <w:r w:rsidR="00091A43">
        <w:rPr>
          <w:rFonts w:ascii="Times New Roman" w:hAnsi="Times New Roman" w:cs="Times New Roman"/>
          <w:bCs/>
          <w:sz w:val="24"/>
          <w:szCs w:val="24"/>
        </w:rPr>
        <w:t>pre označenie vynesenia</w:t>
      </w:r>
      <w:r>
        <w:rPr>
          <w:rFonts w:ascii="Times New Roman" w:hAnsi="Times New Roman" w:cs="Times New Roman"/>
          <w:bCs/>
          <w:sz w:val="24"/>
          <w:szCs w:val="24"/>
        </w:rPr>
        <w:t xml:space="preserve"> úsudku úradu a to z dôvodu, že pozastavenie pracovného úkonu úradom je de </w:t>
      </w:r>
      <w:proofErr w:type="spellStart"/>
      <w:r>
        <w:rPr>
          <w:rFonts w:ascii="Times New Roman" w:hAnsi="Times New Roman" w:cs="Times New Roman"/>
          <w:bCs/>
          <w:sz w:val="24"/>
          <w:szCs w:val="24"/>
        </w:rPr>
        <w:t>facto</w:t>
      </w:r>
      <w:proofErr w:type="spellEnd"/>
      <w:r>
        <w:rPr>
          <w:rFonts w:ascii="Times New Roman" w:hAnsi="Times New Roman" w:cs="Times New Roman"/>
          <w:bCs/>
          <w:sz w:val="24"/>
          <w:szCs w:val="24"/>
        </w:rPr>
        <w:t xml:space="preserve"> rozhodnutím. Z uvedeného dôvodu sa navrhuje zmena dotknutého pojmu, pričom táto zmena má výlučne legislatívno-technický charakter.</w:t>
      </w:r>
    </w:p>
    <w:p w14:paraId="313EFF61" w14:textId="77777777" w:rsidR="008827A6" w:rsidRDefault="008827A6" w:rsidP="009638E0">
      <w:pPr>
        <w:spacing w:after="0" w:line="240" w:lineRule="auto"/>
        <w:jc w:val="both"/>
        <w:rPr>
          <w:rFonts w:ascii="Times New Roman" w:hAnsi="Times New Roman" w:cs="Times New Roman"/>
          <w:bCs/>
          <w:sz w:val="24"/>
          <w:szCs w:val="24"/>
        </w:rPr>
      </w:pPr>
    </w:p>
    <w:p w14:paraId="20D6CFE7" w14:textId="0934C64B" w:rsidR="00AB09AD" w:rsidRPr="00825A19" w:rsidRDefault="00AB09AD"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 xml:space="preserve">K bodu </w:t>
      </w:r>
      <w:r w:rsidR="003421E2">
        <w:rPr>
          <w:rFonts w:ascii="Times New Roman" w:hAnsi="Times New Roman" w:cs="Times New Roman"/>
          <w:b/>
          <w:bCs/>
          <w:sz w:val="24"/>
          <w:szCs w:val="24"/>
        </w:rPr>
        <w:t>3</w:t>
      </w:r>
      <w:r w:rsidR="00F62A89">
        <w:rPr>
          <w:rFonts w:ascii="Times New Roman" w:hAnsi="Times New Roman" w:cs="Times New Roman"/>
          <w:b/>
          <w:bCs/>
          <w:sz w:val="24"/>
          <w:szCs w:val="24"/>
        </w:rPr>
        <w:t>1</w:t>
      </w:r>
      <w:r w:rsidR="003421E2">
        <w:rPr>
          <w:rFonts w:ascii="Times New Roman" w:hAnsi="Times New Roman" w:cs="Times New Roman"/>
          <w:b/>
          <w:bCs/>
          <w:sz w:val="24"/>
          <w:szCs w:val="24"/>
        </w:rPr>
        <w:t xml:space="preserve"> </w:t>
      </w:r>
      <w:r w:rsidR="00AC7C20">
        <w:rPr>
          <w:rFonts w:ascii="Times New Roman" w:hAnsi="Times New Roman" w:cs="Times New Roman"/>
          <w:b/>
          <w:bCs/>
          <w:sz w:val="24"/>
          <w:szCs w:val="24"/>
        </w:rPr>
        <w:t>a</w:t>
      </w:r>
      <w:r w:rsidR="00876068">
        <w:rPr>
          <w:rFonts w:ascii="Times New Roman" w:hAnsi="Times New Roman" w:cs="Times New Roman"/>
          <w:b/>
          <w:bCs/>
          <w:sz w:val="24"/>
          <w:szCs w:val="24"/>
        </w:rPr>
        <w:t> </w:t>
      </w:r>
      <w:r w:rsidR="003421E2">
        <w:rPr>
          <w:rFonts w:ascii="Times New Roman" w:hAnsi="Times New Roman" w:cs="Times New Roman"/>
          <w:b/>
          <w:bCs/>
          <w:sz w:val="24"/>
          <w:szCs w:val="24"/>
        </w:rPr>
        <w:t>3</w:t>
      </w:r>
      <w:r w:rsidR="00F62A89">
        <w:rPr>
          <w:rFonts w:ascii="Times New Roman" w:hAnsi="Times New Roman" w:cs="Times New Roman"/>
          <w:b/>
          <w:bCs/>
          <w:sz w:val="24"/>
          <w:szCs w:val="24"/>
        </w:rPr>
        <w:t>2</w:t>
      </w:r>
    </w:p>
    <w:p w14:paraId="6BF28451" w14:textId="0C877C5C" w:rsidR="00AB09AD" w:rsidRPr="00825A19" w:rsidRDefault="00AB09AD"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12 ods.</w:t>
      </w:r>
      <w:r w:rsidR="003421E2">
        <w:rPr>
          <w:rFonts w:ascii="Times New Roman" w:hAnsi="Times New Roman" w:cs="Times New Roman"/>
          <w:b/>
          <w:bCs/>
          <w:i/>
          <w:sz w:val="24"/>
          <w:szCs w:val="24"/>
        </w:rPr>
        <w:t xml:space="preserve"> </w:t>
      </w:r>
      <w:r w:rsidR="00AC7C20">
        <w:rPr>
          <w:rFonts w:ascii="Times New Roman" w:hAnsi="Times New Roman" w:cs="Times New Roman"/>
          <w:b/>
          <w:bCs/>
          <w:i/>
          <w:sz w:val="24"/>
          <w:szCs w:val="24"/>
        </w:rPr>
        <w:t>7 a</w:t>
      </w:r>
      <w:r w:rsidRPr="00825A19">
        <w:rPr>
          <w:rFonts w:ascii="Times New Roman" w:hAnsi="Times New Roman" w:cs="Times New Roman"/>
          <w:b/>
          <w:bCs/>
          <w:i/>
          <w:sz w:val="24"/>
          <w:szCs w:val="24"/>
        </w:rPr>
        <w:t xml:space="preserve"> 8)</w:t>
      </w:r>
    </w:p>
    <w:p w14:paraId="51CB087E" w14:textId="67C68732" w:rsidR="00AB09AD" w:rsidRDefault="00EF2240" w:rsidP="009638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463D7297" w14:textId="5C7D1827" w:rsidR="00EF2240" w:rsidRDefault="00EF2240" w:rsidP="009638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Navrhovaná zmena ustanovenia § 12 ods. 7 reflektuje na novú úpravu v § 1 ods. 4, ktorá stanovuje podmienky na zverejnenie informácií o protispoločenskej činnosti. V prípade naplnenia podmienok v § 1 ods. 4 sa aj takejto osobe poskytuje ochrana a môže využiť inštitút pozastavenia účinnosti pracovnoprávneho úkonu.</w:t>
      </w:r>
    </w:p>
    <w:p w14:paraId="414E493E" w14:textId="77777777" w:rsidR="00CB5404" w:rsidRDefault="00CB5404" w:rsidP="009638E0">
      <w:pPr>
        <w:spacing w:after="0" w:line="240" w:lineRule="auto"/>
        <w:jc w:val="both"/>
        <w:rPr>
          <w:rFonts w:ascii="Times New Roman" w:hAnsi="Times New Roman" w:cs="Times New Roman"/>
          <w:bCs/>
          <w:sz w:val="24"/>
          <w:szCs w:val="24"/>
        </w:rPr>
      </w:pPr>
    </w:p>
    <w:p w14:paraId="581BC119" w14:textId="23F78941" w:rsidR="00EF2240" w:rsidRDefault="00CB5404"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Navrhovaná zmena ustanovenia § 12 ods. 8 </w:t>
      </w:r>
      <w:r w:rsidR="00EF2240">
        <w:rPr>
          <w:rFonts w:ascii="Times New Roman" w:hAnsi="Times New Roman" w:cs="Times New Roman"/>
          <w:bCs/>
          <w:sz w:val="24"/>
          <w:szCs w:val="24"/>
        </w:rPr>
        <w:t xml:space="preserve">reflektuje na novú úpravu okruhu osôb, ktorým sa poskytuje ochrana podľa tohto zákona a ktoré sú uvedené v § 1 ods. 5 navrhovaného znenia zákona. Ak </w:t>
      </w:r>
      <w:r w:rsidR="00A8318A">
        <w:rPr>
          <w:rFonts w:ascii="Times New Roman" w:hAnsi="Times New Roman" w:cs="Times New Roman"/>
          <w:bCs/>
          <w:sz w:val="24"/>
          <w:szCs w:val="24"/>
        </w:rPr>
        <w:t>osoba spĺňa podmienky</w:t>
      </w:r>
      <w:r w:rsidR="00EF2240">
        <w:rPr>
          <w:rFonts w:ascii="Times New Roman" w:hAnsi="Times New Roman" w:cs="Times New Roman"/>
          <w:bCs/>
          <w:sz w:val="24"/>
          <w:szCs w:val="24"/>
        </w:rPr>
        <w:t xml:space="preserve"> podľa § 1 ods. 5 tak môže využiť inštitút pozastavenia účinnosti pracovnoprávneho úkonu.</w:t>
      </w:r>
    </w:p>
    <w:p w14:paraId="42A6BFCE" w14:textId="77777777" w:rsidR="00FA2C8B" w:rsidRDefault="00FA2C8B" w:rsidP="009638E0">
      <w:pPr>
        <w:spacing w:after="0" w:line="240" w:lineRule="auto"/>
        <w:jc w:val="both"/>
        <w:rPr>
          <w:rFonts w:ascii="Times New Roman" w:hAnsi="Times New Roman" w:cs="Times New Roman"/>
          <w:bCs/>
          <w:sz w:val="24"/>
          <w:szCs w:val="24"/>
        </w:rPr>
      </w:pPr>
    </w:p>
    <w:p w14:paraId="12191D7A" w14:textId="62A59C6E" w:rsidR="00FA2C8B" w:rsidRPr="00825A19" w:rsidRDefault="00FA2C8B"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 xml:space="preserve">K bodu </w:t>
      </w:r>
      <w:r w:rsidR="003421E2">
        <w:rPr>
          <w:rFonts w:ascii="Times New Roman" w:hAnsi="Times New Roman" w:cs="Times New Roman"/>
          <w:b/>
          <w:bCs/>
          <w:sz w:val="24"/>
          <w:szCs w:val="24"/>
        </w:rPr>
        <w:t>3</w:t>
      </w:r>
      <w:r w:rsidR="003F0404">
        <w:rPr>
          <w:rFonts w:ascii="Times New Roman" w:hAnsi="Times New Roman" w:cs="Times New Roman"/>
          <w:b/>
          <w:bCs/>
          <w:sz w:val="24"/>
          <w:szCs w:val="24"/>
        </w:rPr>
        <w:t>3</w:t>
      </w:r>
    </w:p>
    <w:p w14:paraId="688C8A6A" w14:textId="77777777" w:rsidR="00CB5404" w:rsidRPr="00825A19" w:rsidRDefault="00FA2C8B"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6 písm. c))</w:t>
      </w:r>
    </w:p>
    <w:p w14:paraId="72A6EE14" w14:textId="77777777" w:rsidR="00FA2C8B" w:rsidRDefault="00FA2C8B" w:rsidP="009638E0">
      <w:pPr>
        <w:spacing w:after="0" w:line="240" w:lineRule="auto"/>
        <w:jc w:val="both"/>
        <w:rPr>
          <w:rFonts w:ascii="Times New Roman" w:hAnsi="Times New Roman" w:cs="Times New Roman"/>
          <w:bCs/>
          <w:sz w:val="24"/>
          <w:szCs w:val="24"/>
        </w:rPr>
      </w:pPr>
    </w:p>
    <w:p w14:paraId="090872D9" w14:textId="77777777" w:rsidR="00FA2C8B" w:rsidRDefault="00343124" w:rsidP="009638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551FED">
        <w:rPr>
          <w:rFonts w:ascii="Times New Roman" w:hAnsi="Times New Roman" w:cs="Times New Roman"/>
          <w:bCs/>
          <w:sz w:val="24"/>
          <w:szCs w:val="24"/>
        </w:rPr>
        <w:t>Uvedená zmena reflektuje na rozšírenie osobnej pôsobnosti zákona, na základe ktorej môže byť oznamovateľom aj iná osoba ako osoba v pracovnoprávnom vzťahu</w:t>
      </w:r>
      <w:r w:rsidR="002F2C0A">
        <w:rPr>
          <w:rFonts w:ascii="Times New Roman" w:hAnsi="Times New Roman" w:cs="Times New Roman"/>
          <w:bCs/>
          <w:sz w:val="24"/>
          <w:szCs w:val="24"/>
        </w:rPr>
        <w:t>. Z toh</w:t>
      </w:r>
      <w:r w:rsidR="00551FED">
        <w:rPr>
          <w:rFonts w:ascii="Times New Roman" w:hAnsi="Times New Roman" w:cs="Times New Roman"/>
          <w:bCs/>
          <w:sz w:val="24"/>
          <w:szCs w:val="24"/>
        </w:rPr>
        <w:t>t</w:t>
      </w:r>
      <w:r w:rsidR="002F2C0A">
        <w:rPr>
          <w:rFonts w:ascii="Times New Roman" w:hAnsi="Times New Roman" w:cs="Times New Roman"/>
          <w:bCs/>
          <w:sz w:val="24"/>
          <w:szCs w:val="24"/>
        </w:rPr>
        <w:t xml:space="preserve">o dôvodu </w:t>
      </w:r>
      <w:r w:rsidR="00551FED">
        <w:rPr>
          <w:rFonts w:ascii="Times New Roman" w:hAnsi="Times New Roman" w:cs="Times New Roman"/>
          <w:bCs/>
          <w:sz w:val="24"/>
          <w:szCs w:val="24"/>
        </w:rPr>
        <w:t xml:space="preserve">takáto osoba nebude mať svojho zamestnávateľa ale napr. zmluvného partnera voči ktorému </w:t>
      </w:r>
      <w:r w:rsidR="00551FED">
        <w:rPr>
          <w:rFonts w:ascii="Times New Roman" w:hAnsi="Times New Roman" w:cs="Times New Roman"/>
          <w:bCs/>
          <w:sz w:val="24"/>
          <w:szCs w:val="24"/>
        </w:rPr>
        <w:lastRenderedPageBreak/>
        <w:t>môže smerovať oznámenie a táto osoba by mohla postihnúť oznamovateľa v súvislosti s jeho oznámením.</w:t>
      </w:r>
    </w:p>
    <w:p w14:paraId="242AB2CB" w14:textId="77777777" w:rsidR="00FA2C8B" w:rsidRDefault="00FA2C8B" w:rsidP="009638E0">
      <w:pPr>
        <w:spacing w:after="0" w:line="240" w:lineRule="auto"/>
        <w:jc w:val="both"/>
        <w:rPr>
          <w:rFonts w:ascii="Times New Roman" w:hAnsi="Times New Roman" w:cs="Times New Roman"/>
          <w:bCs/>
          <w:sz w:val="24"/>
          <w:szCs w:val="24"/>
        </w:rPr>
      </w:pPr>
    </w:p>
    <w:p w14:paraId="1519E5EC" w14:textId="60DA72BD" w:rsidR="00FA2C8B" w:rsidRPr="00825A19" w:rsidRDefault="00FA2C8B"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 xml:space="preserve">K bodu </w:t>
      </w:r>
      <w:r w:rsidR="00876068">
        <w:rPr>
          <w:rFonts w:ascii="Times New Roman" w:hAnsi="Times New Roman" w:cs="Times New Roman"/>
          <w:b/>
          <w:bCs/>
          <w:sz w:val="24"/>
          <w:szCs w:val="24"/>
        </w:rPr>
        <w:t>3</w:t>
      </w:r>
      <w:r w:rsidR="003F0404">
        <w:rPr>
          <w:rFonts w:ascii="Times New Roman" w:hAnsi="Times New Roman" w:cs="Times New Roman"/>
          <w:b/>
          <w:bCs/>
          <w:sz w:val="24"/>
          <w:szCs w:val="24"/>
        </w:rPr>
        <w:t>4</w:t>
      </w:r>
    </w:p>
    <w:p w14:paraId="1D964FD9" w14:textId="77777777" w:rsidR="00FA2C8B" w:rsidRPr="00825A19" w:rsidRDefault="00FA2C8B"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6 písm. d))</w:t>
      </w:r>
    </w:p>
    <w:p w14:paraId="2A820BC1" w14:textId="77777777" w:rsidR="00FA2C8B" w:rsidRDefault="00FA2C8B" w:rsidP="009638E0">
      <w:pPr>
        <w:spacing w:after="0" w:line="240" w:lineRule="auto"/>
        <w:jc w:val="both"/>
        <w:rPr>
          <w:rFonts w:ascii="Times New Roman" w:hAnsi="Times New Roman" w:cs="Times New Roman"/>
          <w:bCs/>
          <w:sz w:val="24"/>
          <w:szCs w:val="24"/>
        </w:rPr>
      </w:pPr>
    </w:p>
    <w:p w14:paraId="5A09AF5F" w14:textId="77777777" w:rsidR="00FA2C8B" w:rsidRDefault="00FA2C8B"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Uvedenou </w:t>
      </w:r>
      <w:r w:rsidRPr="00FA2C8B">
        <w:rPr>
          <w:rFonts w:ascii="Times New Roman" w:hAnsi="Times New Roman" w:cs="Times New Roman"/>
          <w:bCs/>
          <w:sz w:val="24"/>
          <w:szCs w:val="24"/>
        </w:rPr>
        <w:t xml:space="preserve">zmenou je terminologické zosúladenie pojmov </w:t>
      </w:r>
      <w:r>
        <w:rPr>
          <w:rFonts w:ascii="Times New Roman" w:hAnsi="Times New Roman" w:cs="Times New Roman"/>
          <w:bCs/>
          <w:sz w:val="24"/>
          <w:szCs w:val="24"/>
        </w:rPr>
        <w:t>zákona, nakoľko daný</w:t>
      </w:r>
      <w:r w:rsidRPr="00FA2C8B">
        <w:rPr>
          <w:rFonts w:ascii="Times New Roman" w:hAnsi="Times New Roman" w:cs="Times New Roman"/>
          <w:bCs/>
          <w:sz w:val="24"/>
          <w:szCs w:val="24"/>
        </w:rPr>
        <w:t xml:space="preserve"> zákona používa označenie „</w:t>
      </w:r>
      <w:r>
        <w:rPr>
          <w:rFonts w:ascii="Times New Roman" w:hAnsi="Times New Roman" w:cs="Times New Roman"/>
          <w:bCs/>
          <w:sz w:val="24"/>
          <w:szCs w:val="24"/>
        </w:rPr>
        <w:t>oznamovateľ</w:t>
      </w:r>
      <w:r w:rsidRPr="00FA2C8B">
        <w:rPr>
          <w:rFonts w:ascii="Times New Roman" w:hAnsi="Times New Roman" w:cs="Times New Roman"/>
          <w:bCs/>
          <w:sz w:val="24"/>
          <w:szCs w:val="24"/>
        </w:rPr>
        <w:t>“</w:t>
      </w:r>
      <w:r>
        <w:rPr>
          <w:rFonts w:ascii="Times New Roman" w:hAnsi="Times New Roman" w:cs="Times New Roman"/>
          <w:bCs/>
          <w:sz w:val="24"/>
          <w:szCs w:val="24"/>
        </w:rPr>
        <w:t xml:space="preserve"> a nie pojem „zamestnanec“</w:t>
      </w:r>
      <w:r w:rsidRPr="00FA2C8B">
        <w:rPr>
          <w:rFonts w:ascii="Times New Roman" w:hAnsi="Times New Roman" w:cs="Times New Roman"/>
          <w:bCs/>
          <w:sz w:val="24"/>
          <w:szCs w:val="24"/>
        </w:rPr>
        <w:t>. Táto úprava má výlučný legislatívno-technický charakter.</w:t>
      </w:r>
    </w:p>
    <w:p w14:paraId="4099BB8F" w14:textId="77777777" w:rsidR="00FA2C8B" w:rsidRPr="008617AD" w:rsidRDefault="00FA2C8B" w:rsidP="009638E0">
      <w:pPr>
        <w:spacing w:after="0" w:line="240" w:lineRule="auto"/>
        <w:jc w:val="both"/>
        <w:rPr>
          <w:rFonts w:ascii="Times New Roman" w:hAnsi="Times New Roman" w:cs="Times New Roman"/>
          <w:b/>
          <w:bCs/>
          <w:sz w:val="24"/>
          <w:szCs w:val="24"/>
        </w:rPr>
      </w:pPr>
    </w:p>
    <w:p w14:paraId="64BD33F0" w14:textId="69BA7912" w:rsidR="006B6F3B" w:rsidRDefault="006B6F3B" w:rsidP="009638E0">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876068">
        <w:rPr>
          <w:rFonts w:ascii="Times New Roman" w:hAnsi="Times New Roman" w:cs="Times New Roman"/>
          <w:b/>
          <w:bCs/>
          <w:sz w:val="24"/>
          <w:szCs w:val="24"/>
        </w:rPr>
        <w:t>3</w:t>
      </w:r>
      <w:r w:rsidR="003F0404">
        <w:rPr>
          <w:rFonts w:ascii="Times New Roman" w:hAnsi="Times New Roman" w:cs="Times New Roman"/>
          <w:b/>
          <w:bCs/>
          <w:sz w:val="24"/>
          <w:szCs w:val="24"/>
        </w:rPr>
        <w:t>5</w:t>
      </w:r>
    </w:p>
    <w:p w14:paraId="497E79F8" w14:textId="77777777" w:rsidR="00385BA8" w:rsidRPr="00825A19" w:rsidRDefault="00385BA8"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14)</w:t>
      </w:r>
    </w:p>
    <w:p w14:paraId="1419FBA2" w14:textId="77777777" w:rsidR="006B6F3B" w:rsidRPr="004C446C" w:rsidRDefault="006B6F3B" w:rsidP="009638E0">
      <w:pPr>
        <w:spacing w:after="0" w:line="240" w:lineRule="auto"/>
        <w:jc w:val="both"/>
        <w:rPr>
          <w:rFonts w:ascii="Times New Roman" w:hAnsi="Times New Roman" w:cs="Times New Roman"/>
          <w:sz w:val="24"/>
          <w:szCs w:val="24"/>
        </w:rPr>
      </w:pPr>
    </w:p>
    <w:p w14:paraId="43D735D7" w14:textId="199A3F89" w:rsidR="00440FE5" w:rsidRDefault="006B6F3B" w:rsidP="004A2890">
      <w:pPr>
        <w:spacing w:after="0" w:line="240" w:lineRule="auto"/>
        <w:jc w:val="both"/>
        <w:rPr>
          <w:rFonts w:ascii="Times New Roman" w:hAnsi="Times New Roman"/>
          <w:sz w:val="24"/>
          <w:szCs w:val="24"/>
        </w:rPr>
      </w:pPr>
      <w:r w:rsidRPr="008617AD">
        <w:rPr>
          <w:rFonts w:ascii="Times New Roman" w:hAnsi="Times New Roman" w:cs="Times New Roman"/>
          <w:b/>
          <w:bCs/>
          <w:sz w:val="24"/>
          <w:szCs w:val="24"/>
        </w:rPr>
        <w:tab/>
      </w:r>
      <w:r w:rsidR="00440FE5" w:rsidRPr="008617AD">
        <w:rPr>
          <w:rFonts w:ascii="Times New Roman" w:hAnsi="Times New Roman" w:cs="Times New Roman"/>
          <w:sz w:val="24"/>
          <w:szCs w:val="24"/>
        </w:rPr>
        <w:t xml:space="preserve">Ide o transpozíciu ustanovenia článku 27 ods. 2 </w:t>
      </w:r>
      <w:r w:rsidR="004A2890" w:rsidRPr="006D0DC3">
        <w:rPr>
          <w:rFonts w:ascii="Times New Roman" w:hAnsi="Times New Roman" w:cs="Times New Roman"/>
          <w:sz w:val="24"/>
          <w:szCs w:val="24"/>
        </w:rPr>
        <w:t>smernic</w:t>
      </w:r>
      <w:r w:rsidR="004A2890">
        <w:rPr>
          <w:rFonts w:ascii="Times New Roman" w:hAnsi="Times New Roman" w:cs="Times New Roman"/>
          <w:sz w:val="24"/>
          <w:szCs w:val="24"/>
        </w:rPr>
        <w:t>e</w:t>
      </w:r>
      <w:r w:rsidR="004A2890" w:rsidRPr="006D0DC3">
        <w:rPr>
          <w:rFonts w:ascii="Times New Roman" w:hAnsi="Times New Roman" w:cs="Times New Roman"/>
          <w:sz w:val="24"/>
          <w:szCs w:val="24"/>
        </w:rPr>
        <w:t xml:space="preserve"> (EÚ) 2019/1937</w:t>
      </w:r>
      <w:r w:rsidR="008827A6">
        <w:rPr>
          <w:rFonts w:ascii="Times New Roman" w:hAnsi="Times New Roman" w:cs="Times New Roman"/>
          <w:sz w:val="24"/>
          <w:szCs w:val="24"/>
        </w:rPr>
        <w:t xml:space="preserve"> v platnom znení</w:t>
      </w:r>
      <w:r w:rsidR="00440FE5" w:rsidRPr="008617AD">
        <w:rPr>
          <w:rFonts w:ascii="Times New Roman" w:hAnsi="Times New Roman" w:cs="Times New Roman"/>
          <w:sz w:val="24"/>
          <w:szCs w:val="24"/>
        </w:rPr>
        <w:t>, ktor</w:t>
      </w:r>
      <w:r w:rsidR="004A2890">
        <w:rPr>
          <w:rFonts w:ascii="Times New Roman" w:hAnsi="Times New Roman" w:cs="Times New Roman"/>
          <w:sz w:val="24"/>
          <w:szCs w:val="24"/>
        </w:rPr>
        <w:t xml:space="preserve">ý </w:t>
      </w:r>
      <w:r w:rsidR="00147671">
        <w:rPr>
          <w:rFonts w:ascii="Times New Roman" w:hAnsi="Times New Roman" w:cs="Times New Roman"/>
          <w:sz w:val="24"/>
          <w:szCs w:val="24"/>
        </w:rPr>
        <w:t>u</w:t>
      </w:r>
      <w:r w:rsidR="00440FE5" w:rsidRPr="008617AD">
        <w:rPr>
          <w:rFonts w:ascii="Times New Roman" w:hAnsi="Times New Roman" w:cs="Times New Roman"/>
          <w:sz w:val="24"/>
          <w:szCs w:val="24"/>
        </w:rPr>
        <w:t>stanovuje povinnosť členských štátov poskytovať Európskej komisii relevantné informácie.</w:t>
      </w:r>
      <w:r w:rsidR="004A2890">
        <w:rPr>
          <w:rFonts w:ascii="Times New Roman" w:hAnsi="Times New Roman" w:cs="Times New Roman"/>
          <w:sz w:val="24"/>
          <w:szCs w:val="24"/>
        </w:rPr>
        <w:t xml:space="preserve"> Tieto informácie poskytuje úrad za každý </w:t>
      </w:r>
      <w:r w:rsidR="0097259C">
        <w:rPr>
          <w:rFonts w:ascii="Times New Roman" w:hAnsi="Times New Roman" w:cs="Times New Roman"/>
          <w:sz w:val="24"/>
          <w:szCs w:val="24"/>
        </w:rPr>
        <w:t xml:space="preserve">predchádzajúci </w:t>
      </w:r>
      <w:r w:rsidR="004A2890">
        <w:rPr>
          <w:rFonts w:ascii="Times New Roman" w:hAnsi="Times New Roman" w:cs="Times New Roman"/>
          <w:sz w:val="24"/>
          <w:szCs w:val="24"/>
        </w:rPr>
        <w:t xml:space="preserve">rok. Za tieto informácie sa považuje </w:t>
      </w:r>
      <w:r w:rsidR="004A2890" w:rsidRPr="004A2890">
        <w:rPr>
          <w:rFonts w:ascii="Times New Roman" w:hAnsi="Times New Roman"/>
          <w:sz w:val="24"/>
          <w:szCs w:val="24"/>
        </w:rPr>
        <w:t>počet oznámení, ktoré prijal úrad, počet preverovaní, trestných konan</w:t>
      </w:r>
      <w:r w:rsidR="004A2890">
        <w:rPr>
          <w:rFonts w:ascii="Times New Roman" w:hAnsi="Times New Roman"/>
          <w:sz w:val="24"/>
          <w:szCs w:val="24"/>
        </w:rPr>
        <w:t>í</w:t>
      </w:r>
      <w:r w:rsidR="004A2890" w:rsidRPr="004A2890">
        <w:rPr>
          <w:rFonts w:ascii="Times New Roman" w:hAnsi="Times New Roman"/>
          <w:sz w:val="24"/>
          <w:szCs w:val="24"/>
        </w:rPr>
        <w:t xml:space="preserve"> alebo správnych konaní, kt</w:t>
      </w:r>
      <w:r w:rsidR="004A2890">
        <w:rPr>
          <w:rFonts w:ascii="Times New Roman" w:hAnsi="Times New Roman"/>
          <w:sz w:val="24"/>
          <w:szCs w:val="24"/>
        </w:rPr>
        <w:t xml:space="preserve">oré sa začali na základe </w:t>
      </w:r>
      <w:r w:rsidR="004A2890" w:rsidRPr="004A2890">
        <w:rPr>
          <w:rFonts w:ascii="Times New Roman" w:hAnsi="Times New Roman"/>
          <w:sz w:val="24"/>
          <w:szCs w:val="24"/>
        </w:rPr>
        <w:t>oznámení a ich dosiahnutý výsledok,</w:t>
      </w:r>
      <w:r w:rsidR="002F2C0A">
        <w:rPr>
          <w:rFonts w:ascii="Times New Roman" w:hAnsi="Times New Roman"/>
          <w:sz w:val="24"/>
          <w:szCs w:val="24"/>
        </w:rPr>
        <w:t xml:space="preserve"> </w:t>
      </w:r>
      <w:r w:rsidR="004A2890" w:rsidRPr="00CD220A">
        <w:rPr>
          <w:rFonts w:ascii="Times New Roman" w:hAnsi="Times New Roman"/>
          <w:sz w:val="24"/>
          <w:szCs w:val="24"/>
        </w:rPr>
        <w:t>ak sa zistila, aj odhadovanú škodu a sumy navrátené na základe preverovaní, trestných konaní alebo správnych konaní súvisiacich s urobenými oznámeniam</w:t>
      </w:r>
      <w:r w:rsidR="004A2890">
        <w:rPr>
          <w:rFonts w:ascii="Times New Roman" w:hAnsi="Times New Roman"/>
          <w:sz w:val="24"/>
          <w:szCs w:val="24"/>
        </w:rPr>
        <w:t>i.</w:t>
      </w:r>
      <w:r w:rsidR="00727AE8">
        <w:rPr>
          <w:rFonts w:ascii="Times New Roman" w:hAnsi="Times New Roman"/>
          <w:sz w:val="24"/>
          <w:szCs w:val="24"/>
        </w:rPr>
        <w:t xml:space="preserve"> Tieto informácie úrad poskytuje iba ak ich má k dispozícií, či už z verejne dostupných zdrojov alebo na základe dopytu od uvedených orgánov.</w:t>
      </w:r>
    </w:p>
    <w:p w14:paraId="1C2A6B5B" w14:textId="3767A026" w:rsidR="00876068" w:rsidRDefault="00876068" w:rsidP="004A2890">
      <w:pPr>
        <w:spacing w:after="0" w:line="240" w:lineRule="auto"/>
        <w:jc w:val="both"/>
        <w:rPr>
          <w:rFonts w:ascii="Times New Roman" w:hAnsi="Times New Roman"/>
          <w:sz w:val="24"/>
          <w:szCs w:val="24"/>
        </w:rPr>
      </w:pPr>
    </w:p>
    <w:p w14:paraId="1D779DA2" w14:textId="364E9A4D" w:rsidR="00876068" w:rsidRPr="00876068" w:rsidRDefault="00876068" w:rsidP="00A3392F">
      <w:pPr>
        <w:spacing w:after="0" w:line="240" w:lineRule="auto"/>
        <w:ind w:firstLine="708"/>
        <w:jc w:val="both"/>
        <w:rPr>
          <w:rFonts w:ascii="Times New Roman" w:hAnsi="Times New Roman"/>
          <w:sz w:val="24"/>
          <w:szCs w:val="24"/>
        </w:rPr>
      </w:pPr>
      <w:r>
        <w:rPr>
          <w:rFonts w:ascii="Times New Roman" w:hAnsi="Times New Roman"/>
          <w:sz w:val="24"/>
          <w:szCs w:val="24"/>
        </w:rPr>
        <w:t>Správa úradu pre Európsku komisiu je charakterom ako i obsahom odlišná od správy, ktorú má úrad povinnosť predložiť Národnej rade Slovenskej republiky podľa § 13 ods. 13 zákona. Správa adresovaná Európskej komisii má a priori štatistickú funkciu, pričom úrad má za úlohu len koncentrovať relevantné dáta, ktoré mu iné orgány poskytnú a ktoré bude mať k dispozícií za účelom vytvorenia prehľadných štatistík. Samotný úrad pritom nebude vytvárať obsah správy inak, ako doložení</w:t>
      </w:r>
      <w:r w:rsidR="007A74C1">
        <w:rPr>
          <w:rFonts w:ascii="Times New Roman" w:hAnsi="Times New Roman"/>
          <w:sz w:val="24"/>
          <w:szCs w:val="24"/>
        </w:rPr>
        <w:t>m</w:t>
      </w:r>
      <w:r>
        <w:rPr>
          <w:rFonts w:ascii="Times New Roman" w:hAnsi="Times New Roman"/>
          <w:sz w:val="24"/>
          <w:szCs w:val="24"/>
        </w:rPr>
        <w:t xml:space="preserve"> počtu oznámení, ktoré sám pridal a vytvorením uceleného sumáru správy. </w:t>
      </w:r>
    </w:p>
    <w:p w14:paraId="32395797" w14:textId="77777777" w:rsidR="00FA2C8B" w:rsidRDefault="00FA2C8B" w:rsidP="004A2890">
      <w:pPr>
        <w:spacing w:after="0" w:line="240" w:lineRule="auto"/>
        <w:jc w:val="both"/>
        <w:rPr>
          <w:rFonts w:ascii="Times New Roman" w:hAnsi="Times New Roman" w:cs="Times New Roman"/>
          <w:sz w:val="24"/>
          <w:szCs w:val="24"/>
        </w:rPr>
      </w:pPr>
    </w:p>
    <w:p w14:paraId="5CE21791" w14:textId="1E1D31BA" w:rsidR="00FA2C8B" w:rsidRPr="00825A19" w:rsidRDefault="00A24865" w:rsidP="004A2890">
      <w:pPr>
        <w:spacing w:after="0" w:line="240" w:lineRule="auto"/>
        <w:jc w:val="both"/>
        <w:rPr>
          <w:rFonts w:ascii="Times New Roman" w:hAnsi="Times New Roman" w:cs="Times New Roman"/>
          <w:b/>
          <w:sz w:val="24"/>
          <w:szCs w:val="24"/>
        </w:rPr>
      </w:pPr>
      <w:r w:rsidRPr="00825A19">
        <w:rPr>
          <w:rFonts w:ascii="Times New Roman" w:hAnsi="Times New Roman" w:cs="Times New Roman"/>
          <w:b/>
          <w:sz w:val="24"/>
          <w:szCs w:val="24"/>
        </w:rPr>
        <w:t xml:space="preserve">K bodu </w:t>
      </w:r>
      <w:r w:rsidR="007A74C1">
        <w:rPr>
          <w:rFonts w:ascii="Times New Roman" w:hAnsi="Times New Roman" w:cs="Times New Roman"/>
          <w:b/>
          <w:sz w:val="24"/>
          <w:szCs w:val="24"/>
        </w:rPr>
        <w:t>3</w:t>
      </w:r>
      <w:r w:rsidR="00F10F88">
        <w:rPr>
          <w:rFonts w:ascii="Times New Roman" w:hAnsi="Times New Roman" w:cs="Times New Roman"/>
          <w:b/>
          <w:sz w:val="24"/>
          <w:szCs w:val="24"/>
        </w:rPr>
        <w:t>6</w:t>
      </w:r>
    </w:p>
    <w:p w14:paraId="68AEFC1A" w14:textId="3E0B6D3E" w:rsidR="00A24865" w:rsidRPr="00825A19" w:rsidRDefault="00DD11C2" w:rsidP="004A2890">
      <w:pPr>
        <w:spacing w:after="0" w:line="240" w:lineRule="auto"/>
        <w:jc w:val="both"/>
        <w:rPr>
          <w:rFonts w:ascii="Times New Roman" w:hAnsi="Times New Roman" w:cs="Times New Roman"/>
          <w:b/>
          <w:i/>
          <w:sz w:val="24"/>
          <w:szCs w:val="24"/>
        </w:rPr>
      </w:pPr>
      <w:r w:rsidRPr="00825A19">
        <w:rPr>
          <w:rFonts w:ascii="Times New Roman" w:hAnsi="Times New Roman" w:cs="Times New Roman"/>
          <w:b/>
          <w:i/>
          <w:sz w:val="24"/>
          <w:szCs w:val="24"/>
        </w:rPr>
        <w:t>(§ 13 ods. 1</w:t>
      </w:r>
      <w:r w:rsidR="00C436B0">
        <w:rPr>
          <w:rFonts w:ascii="Times New Roman" w:hAnsi="Times New Roman" w:cs="Times New Roman"/>
          <w:b/>
          <w:i/>
          <w:sz w:val="24"/>
          <w:szCs w:val="24"/>
        </w:rPr>
        <w:t>7</w:t>
      </w:r>
      <w:r w:rsidR="00A24865" w:rsidRPr="00825A19">
        <w:rPr>
          <w:rFonts w:ascii="Times New Roman" w:hAnsi="Times New Roman" w:cs="Times New Roman"/>
          <w:b/>
          <w:i/>
          <w:sz w:val="24"/>
          <w:szCs w:val="24"/>
        </w:rPr>
        <w:t>)</w:t>
      </w:r>
    </w:p>
    <w:p w14:paraId="1C0A56E7" w14:textId="77777777" w:rsidR="008617AD" w:rsidRPr="008617AD" w:rsidRDefault="008617AD" w:rsidP="00440FE5">
      <w:pPr>
        <w:spacing w:after="0" w:line="240" w:lineRule="auto"/>
        <w:jc w:val="both"/>
        <w:rPr>
          <w:rFonts w:ascii="Times New Roman" w:hAnsi="Times New Roman" w:cs="Times New Roman"/>
          <w:b/>
          <w:sz w:val="24"/>
          <w:szCs w:val="24"/>
        </w:rPr>
      </w:pPr>
    </w:p>
    <w:p w14:paraId="53B48D25" w14:textId="17807AB9" w:rsidR="008617AD" w:rsidRPr="008617AD" w:rsidRDefault="008617AD" w:rsidP="00440FE5">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t>Legislatívn</w:t>
      </w:r>
      <w:r w:rsidR="00343124">
        <w:rPr>
          <w:rFonts w:ascii="Times New Roman" w:hAnsi="Times New Roman" w:cs="Times New Roman"/>
          <w:sz w:val="24"/>
          <w:szCs w:val="24"/>
        </w:rPr>
        <w:t>o</w:t>
      </w:r>
      <w:r w:rsidR="00DD11C2">
        <w:rPr>
          <w:rFonts w:ascii="Times New Roman" w:hAnsi="Times New Roman" w:cs="Times New Roman"/>
          <w:sz w:val="24"/>
          <w:szCs w:val="24"/>
        </w:rPr>
        <w:t>-technická</w:t>
      </w:r>
      <w:r w:rsidR="00343124">
        <w:rPr>
          <w:rFonts w:ascii="Times New Roman" w:hAnsi="Times New Roman" w:cs="Times New Roman"/>
          <w:sz w:val="24"/>
          <w:szCs w:val="24"/>
        </w:rPr>
        <w:t xml:space="preserve"> </w:t>
      </w:r>
      <w:r w:rsidRPr="008617AD">
        <w:rPr>
          <w:rFonts w:ascii="Times New Roman" w:hAnsi="Times New Roman" w:cs="Times New Roman"/>
          <w:sz w:val="24"/>
          <w:szCs w:val="24"/>
        </w:rPr>
        <w:t>úprava</w:t>
      </w:r>
      <w:r w:rsidR="00176767">
        <w:rPr>
          <w:rFonts w:ascii="Times New Roman" w:hAnsi="Times New Roman" w:cs="Times New Roman"/>
          <w:sz w:val="24"/>
          <w:szCs w:val="24"/>
        </w:rPr>
        <w:t xml:space="preserve"> nadväzujúca na bod </w:t>
      </w:r>
      <w:r w:rsidR="00F10F88">
        <w:rPr>
          <w:rFonts w:ascii="Times New Roman" w:hAnsi="Times New Roman" w:cs="Times New Roman"/>
          <w:sz w:val="24"/>
          <w:szCs w:val="24"/>
        </w:rPr>
        <w:t>35</w:t>
      </w:r>
      <w:r w:rsidRPr="008617AD">
        <w:rPr>
          <w:rFonts w:ascii="Times New Roman" w:hAnsi="Times New Roman" w:cs="Times New Roman"/>
          <w:sz w:val="24"/>
          <w:szCs w:val="24"/>
        </w:rPr>
        <w:t>.</w:t>
      </w:r>
    </w:p>
    <w:p w14:paraId="5097AB3E" w14:textId="77777777" w:rsidR="006B6F3B" w:rsidRPr="008617AD" w:rsidRDefault="006B6F3B" w:rsidP="009638E0">
      <w:pPr>
        <w:spacing w:after="0" w:line="240" w:lineRule="auto"/>
        <w:jc w:val="both"/>
        <w:rPr>
          <w:rFonts w:ascii="Times New Roman" w:hAnsi="Times New Roman" w:cs="Times New Roman"/>
          <w:b/>
          <w:bCs/>
          <w:sz w:val="24"/>
          <w:szCs w:val="24"/>
        </w:rPr>
      </w:pPr>
    </w:p>
    <w:p w14:paraId="65914B74" w14:textId="108D8BDD" w:rsidR="00294A72" w:rsidRDefault="008D06C7" w:rsidP="00356FA0">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K</w:t>
      </w:r>
      <w:r w:rsidR="00257D46" w:rsidRPr="008617AD">
        <w:rPr>
          <w:rFonts w:ascii="Times New Roman" w:hAnsi="Times New Roman" w:cs="Times New Roman"/>
          <w:b/>
          <w:bCs/>
          <w:sz w:val="24"/>
          <w:szCs w:val="24"/>
        </w:rPr>
        <w:t> </w:t>
      </w:r>
      <w:r w:rsidRPr="008617AD">
        <w:rPr>
          <w:rFonts w:ascii="Times New Roman" w:hAnsi="Times New Roman" w:cs="Times New Roman"/>
          <w:b/>
          <w:bCs/>
          <w:sz w:val="24"/>
          <w:szCs w:val="24"/>
        </w:rPr>
        <w:t>bod</w:t>
      </w:r>
      <w:r w:rsidR="00257D46" w:rsidRPr="008617AD">
        <w:rPr>
          <w:rFonts w:ascii="Times New Roman" w:hAnsi="Times New Roman" w:cs="Times New Roman"/>
          <w:b/>
          <w:bCs/>
          <w:sz w:val="24"/>
          <w:szCs w:val="24"/>
        </w:rPr>
        <w:t xml:space="preserve">u </w:t>
      </w:r>
      <w:r w:rsidR="007A74C1">
        <w:rPr>
          <w:rFonts w:ascii="Times New Roman" w:hAnsi="Times New Roman" w:cs="Times New Roman"/>
          <w:b/>
          <w:bCs/>
          <w:sz w:val="24"/>
          <w:szCs w:val="24"/>
        </w:rPr>
        <w:t>3</w:t>
      </w:r>
      <w:r w:rsidR="00C47A87">
        <w:rPr>
          <w:rFonts w:ascii="Times New Roman" w:hAnsi="Times New Roman" w:cs="Times New Roman"/>
          <w:b/>
          <w:bCs/>
          <w:sz w:val="24"/>
          <w:szCs w:val="24"/>
        </w:rPr>
        <w:t>7</w:t>
      </w:r>
    </w:p>
    <w:p w14:paraId="12088A7E" w14:textId="77777777" w:rsidR="00DD11C2" w:rsidRPr="00825A19" w:rsidRDefault="00DD11C2" w:rsidP="00356FA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18)</w:t>
      </w:r>
    </w:p>
    <w:p w14:paraId="6CB5C615" w14:textId="77777777" w:rsidR="008D06C7" w:rsidRPr="008617AD" w:rsidRDefault="008D06C7" w:rsidP="008D06C7">
      <w:pPr>
        <w:spacing w:after="0" w:line="240" w:lineRule="auto"/>
        <w:jc w:val="both"/>
        <w:rPr>
          <w:rFonts w:ascii="Times New Roman" w:hAnsi="Times New Roman" w:cs="Times New Roman"/>
          <w:sz w:val="24"/>
          <w:szCs w:val="24"/>
        </w:rPr>
      </w:pPr>
    </w:p>
    <w:p w14:paraId="147D0A51" w14:textId="2B27D7E9" w:rsidR="00582926" w:rsidRPr="008617AD" w:rsidRDefault="00505381" w:rsidP="009638E0">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14081B">
        <w:rPr>
          <w:rFonts w:ascii="Times New Roman" w:hAnsi="Times New Roman" w:cs="Times New Roman"/>
          <w:sz w:val="24"/>
          <w:szCs w:val="24"/>
        </w:rPr>
        <w:t>Uvedená zmena je transpozíciou smernice (EÚ) 2019/1937</w:t>
      </w:r>
      <w:r w:rsidR="007A74C1">
        <w:rPr>
          <w:rFonts w:ascii="Times New Roman" w:hAnsi="Times New Roman" w:cs="Times New Roman"/>
          <w:sz w:val="24"/>
          <w:szCs w:val="24"/>
        </w:rPr>
        <w:t xml:space="preserve"> v platnom znení</w:t>
      </w:r>
      <w:r w:rsidR="0014081B">
        <w:rPr>
          <w:rFonts w:ascii="Times New Roman" w:hAnsi="Times New Roman" w:cs="Times New Roman"/>
          <w:sz w:val="24"/>
          <w:szCs w:val="24"/>
        </w:rPr>
        <w:t>, konkrétne čl. 16 a čl. 22</w:t>
      </w:r>
      <w:r w:rsidR="00582926">
        <w:rPr>
          <w:rFonts w:ascii="Times New Roman" w:hAnsi="Times New Roman" w:cs="Times New Roman"/>
          <w:sz w:val="24"/>
          <w:szCs w:val="24"/>
        </w:rPr>
        <w:t>.</w:t>
      </w:r>
      <w:r w:rsidR="00C47A87">
        <w:rPr>
          <w:rFonts w:ascii="Times New Roman" w:hAnsi="Times New Roman" w:cs="Times New Roman"/>
          <w:sz w:val="24"/>
          <w:szCs w:val="24"/>
        </w:rPr>
        <w:t xml:space="preserve"> Poslednou vetou sa zároveň stanovuje oprávnenie úradu obdobným spôsobom akým informujú orgány činné v trestnom konaní</w:t>
      </w:r>
      <w:r w:rsidR="00405B16">
        <w:rPr>
          <w:rFonts w:ascii="Times New Roman" w:hAnsi="Times New Roman" w:cs="Times New Roman"/>
          <w:sz w:val="24"/>
          <w:szCs w:val="24"/>
        </w:rPr>
        <w:t xml:space="preserve"> podľa § 6 </w:t>
      </w:r>
      <w:r w:rsidR="00000381">
        <w:rPr>
          <w:rFonts w:ascii="Times New Roman" w:hAnsi="Times New Roman" w:cs="Times New Roman"/>
          <w:sz w:val="24"/>
          <w:szCs w:val="24"/>
        </w:rPr>
        <w:t>zákona č. 301/2005 Z. z. Trestného poriad</w:t>
      </w:r>
      <w:r w:rsidR="00405B16">
        <w:rPr>
          <w:rFonts w:ascii="Times New Roman" w:hAnsi="Times New Roman" w:cs="Times New Roman"/>
          <w:sz w:val="24"/>
          <w:szCs w:val="24"/>
        </w:rPr>
        <w:t>k</w:t>
      </w:r>
      <w:r w:rsidR="00000381">
        <w:rPr>
          <w:rFonts w:ascii="Times New Roman" w:hAnsi="Times New Roman" w:cs="Times New Roman"/>
          <w:sz w:val="24"/>
          <w:szCs w:val="24"/>
        </w:rPr>
        <w:t>u</w:t>
      </w:r>
      <w:r w:rsidR="00C47A87">
        <w:rPr>
          <w:rFonts w:ascii="Times New Roman" w:hAnsi="Times New Roman" w:cs="Times New Roman"/>
          <w:sz w:val="24"/>
          <w:szCs w:val="24"/>
        </w:rPr>
        <w:t xml:space="preserve"> o prebiehajúcich trestných stíhaniach informovať o vedených konaniach</w:t>
      </w:r>
      <w:bookmarkStart w:id="0" w:name="_GoBack"/>
      <w:bookmarkEnd w:id="0"/>
      <w:r w:rsidR="00C47A87">
        <w:rPr>
          <w:rFonts w:ascii="Times New Roman" w:hAnsi="Times New Roman" w:cs="Times New Roman"/>
          <w:sz w:val="24"/>
          <w:szCs w:val="24"/>
        </w:rPr>
        <w:t>, ktoré sa týkajú oznamovateľov protispoločenskej činnosti. Uvedené oprávnenie reflektuje pozíciu úradu ako orgánu, ktorý rozširuje povedomie o oznamovaní protispoločenskej činnosti, a to aj prostredníctvom poukázania na konkrétne aktuálne prípady v spoločnosti.</w:t>
      </w:r>
    </w:p>
    <w:p w14:paraId="1C01947A" w14:textId="77777777" w:rsidR="008617AD" w:rsidRPr="008617AD" w:rsidRDefault="008617AD" w:rsidP="009638E0">
      <w:pPr>
        <w:spacing w:after="0" w:line="240" w:lineRule="auto"/>
        <w:jc w:val="both"/>
        <w:rPr>
          <w:rFonts w:ascii="Times New Roman" w:hAnsi="Times New Roman" w:cs="Times New Roman"/>
          <w:sz w:val="24"/>
          <w:szCs w:val="24"/>
        </w:rPr>
      </w:pPr>
    </w:p>
    <w:p w14:paraId="03A9D800" w14:textId="6340C16D" w:rsidR="008617AD" w:rsidRPr="008617AD" w:rsidRDefault="008617AD" w:rsidP="009638E0">
      <w:pPr>
        <w:spacing w:after="0" w:line="240" w:lineRule="auto"/>
        <w:jc w:val="both"/>
        <w:rPr>
          <w:rFonts w:ascii="Times New Roman" w:hAnsi="Times New Roman" w:cs="Times New Roman"/>
          <w:b/>
          <w:sz w:val="24"/>
          <w:szCs w:val="24"/>
        </w:rPr>
      </w:pPr>
      <w:r w:rsidRPr="008617AD">
        <w:rPr>
          <w:rFonts w:ascii="Times New Roman" w:hAnsi="Times New Roman" w:cs="Times New Roman"/>
          <w:b/>
          <w:sz w:val="24"/>
          <w:szCs w:val="24"/>
        </w:rPr>
        <w:t xml:space="preserve">K bodu </w:t>
      </w:r>
      <w:r w:rsidR="007A74C1">
        <w:rPr>
          <w:rFonts w:ascii="Times New Roman" w:hAnsi="Times New Roman" w:cs="Times New Roman"/>
          <w:b/>
          <w:sz w:val="24"/>
          <w:szCs w:val="24"/>
        </w:rPr>
        <w:t>3</w:t>
      </w:r>
      <w:r w:rsidR="00D20D2C">
        <w:rPr>
          <w:rFonts w:ascii="Times New Roman" w:hAnsi="Times New Roman" w:cs="Times New Roman"/>
          <w:b/>
          <w:sz w:val="24"/>
          <w:szCs w:val="24"/>
        </w:rPr>
        <w:t>8</w:t>
      </w:r>
    </w:p>
    <w:p w14:paraId="25D03D03" w14:textId="77777777" w:rsidR="00DD11C2" w:rsidRPr="001103D0" w:rsidRDefault="00DD11C2" w:rsidP="009638E0">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14 ods. 9)</w:t>
      </w:r>
    </w:p>
    <w:p w14:paraId="40C15ABB" w14:textId="77777777" w:rsidR="00DD11C2" w:rsidRPr="008617AD" w:rsidRDefault="00DD11C2" w:rsidP="009638E0">
      <w:pPr>
        <w:spacing w:after="0" w:line="240" w:lineRule="auto"/>
        <w:jc w:val="both"/>
        <w:rPr>
          <w:rFonts w:ascii="Times New Roman" w:hAnsi="Times New Roman" w:cs="Times New Roman"/>
          <w:sz w:val="24"/>
          <w:szCs w:val="24"/>
        </w:rPr>
      </w:pPr>
    </w:p>
    <w:p w14:paraId="54C28C14" w14:textId="77777777" w:rsidR="00176767" w:rsidRPr="008617AD" w:rsidRDefault="008617AD" w:rsidP="004C446C">
      <w:pPr>
        <w:spacing w:after="0" w:line="240" w:lineRule="auto"/>
        <w:ind w:firstLine="708"/>
        <w:jc w:val="both"/>
        <w:rPr>
          <w:rFonts w:ascii="Times New Roman" w:hAnsi="Times New Roman" w:cs="Times New Roman"/>
          <w:sz w:val="24"/>
          <w:szCs w:val="24"/>
        </w:rPr>
      </w:pPr>
      <w:r w:rsidRPr="00176767">
        <w:rPr>
          <w:rFonts w:ascii="Times New Roman" w:hAnsi="Times New Roman" w:cs="Times New Roman"/>
          <w:sz w:val="24"/>
          <w:szCs w:val="24"/>
        </w:rPr>
        <w:lastRenderedPageBreak/>
        <w:t>Legislatívno-technická úprava</w:t>
      </w:r>
      <w:r w:rsidR="004C446C">
        <w:rPr>
          <w:rFonts w:ascii="Times New Roman" w:hAnsi="Times New Roman" w:cs="Times New Roman"/>
          <w:sz w:val="24"/>
          <w:szCs w:val="24"/>
        </w:rPr>
        <w:t>.</w:t>
      </w:r>
    </w:p>
    <w:p w14:paraId="4684B46E" w14:textId="77777777" w:rsidR="00505381" w:rsidRPr="008617AD" w:rsidRDefault="008617AD" w:rsidP="00176767">
      <w:pPr>
        <w:spacing w:after="0" w:line="240" w:lineRule="auto"/>
        <w:ind w:firstLine="708"/>
        <w:jc w:val="both"/>
        <w:rPr>
          <w:rFonts w:ascii="Times New Roman" w:hAnsi="Times New Roman" w:cs="Times New Roman"/>
          <w:sz w:val="24"/>
          <w:szCs w:val="24"/>
        </w:rPr>
      </w:pPr>
      <w:r w:rsidRPr="00176767">
        <w:rPr>
          <w:rFonts w:ascii="Times New Roman" w:hAnsi="Times New Roman" w:cs="Times New Roman"/>
          <w:sz w:val="24"/>
          <w:szCs w:val="24"/>
        </w:rPr>
        <w:t>.</w:t>
      </w:r>
    </w:p>
    <w:p w14:paraId="6C0ABFA4" w14:textId="12FCE015" w:rsidR="00747F96" w:rsidRDefault="00DD11C2" w:rsidP="009638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3</w:t>
      </w:r>
      <w:r w:rsidR="00D20D2C">
        <w:rPr>
          <w:rFonts w:ascii="Times New Roman" w:hAnsi="Times New Roman" w:cs="Times New Roman"/>
          <w:b/>
          <w:bCs/>
          <w:sz w:val="24"/>
          <w:szCs w:val="24"/>
        </w:rPr>
        <w:t>9</w:t>
      </w:r>
    </w:p>
    <w:p w14:paraId="7366F50E" w14:textId="3716909B" w:rsidR="00DD11C2" w:rsidRPr="001103D0" w:rsidRDefault="00DD11C2" w:rsidP="009638E0">
      <w:pPr>
        <w:spacing w:after="0" w:line="240" w:lineRule="auto"/>
        <w:jc w:val="both"/>
        <w:rPr>
          <w:rFonts w:ascii="Times New Roman" w:hAnsi="Times New Roman" w:cs="Times New Roman"/>
          <w:b/>
          <w:bCs/>
          <w:i/>
          <w:sz w:val="24"/>
          <w:szCs w:val="24"/>
        </w:rPr>
      </w:pPr>
      <w:r w:rsidRPr="001103D0">
        <w:rPr>
          <w:rFonts w:ascii="Times New Roman" w:hAnsi="Times New Roman" w:cs="Times New Roman"/>
          <w:b/>
          <w:bCs/>
          <w:i/>
          <w:sz w:val="24"/>
          <w:szCs w:val="24"/>
        </w:rPr>
        <w:t>(§ 18 ods. 1</w:t>
      </w:r>
      <w:r w:rsidR="00A9183D">
        <w:rPr>
          <w:rFonts w:ascii="Times New Roman" w:hAnsi="Times New Roman" w:cs="Times New Roman"/>
          <w:b/>
          <w:bCs/>
          <w:i/>
          <w:sz w:val="24"/>
          <w:szCs w:val="24"/>
        </w:rPr>
        <w:t>)</w:t>
      </w:r>
    </w:p>
    <w:p w14:paraId="4FD40B4D" w14:textId="77777777" w:rsidR="00F4230A" w:rsidRPr="00000381" w:rsidRDefault="00F4230A" w:rsidP="009638E0">
      <w:pPr>
        <w:spacing w:after="0" w:line="240" w:lineRule="auto"/>
        <w:jc w:val="both"/>
        <w:rPr>
          <w:rFonts w:ascii="Times New Roman" w:hAnsi="Times New Roman" w:cs="Times New Roman"/>
          <w:sz w:val="24"/>
          <w:szCs w:val="24"/>
        </w:rPr>
      </w:pPr>
    </w:p>
    <w:p w14:paraId="14C2747F" w14:textId="77777777" w:rsidR="00DD3317" w:rsidRDefault="00DD3317" w:rsidP="00DD3317">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 xml:space="preserve">Cieľom navrhovanej právnej úpravy je posilniť ochranu oznamovateľov pred akýmkoľvek postihom, ktorý súvisí s pracovnoprávnym vzťahom a oznamovateľovi alebo </w:t>
      </w:r>
      <w:r w:rsidR="0084566C" w:rsidRPr="008617AD">
        <w:rPr>
          <w:rFonts w:ascii="Times New Roman" w:hAnsi="Times New Roman" w:cs="Times New Roman"/>
          <w:sz w:val="24"/>
          <w:szCs w:val="24"/>
        </w:rPr>
        <w:t>inej osobe o ktorej možno predpokladať, že je postihnutá v súvislosti s oznámením</w:t>
      </w:r>
      <w:r w:rsidRPr="008617AD">
        <w:rPr>
          <w:rFonts w:ascii="Times New Roman" w:hAnsi="Times New Roman" w:cs="Times New Roman"/>
          <w:sz w:val="24"/>
          <w:szCs w:val="24"/>
        </w:rPr>
        <w:t xml:space="preserve"> spôsobia alebo môžu spôsobiť neopodstatnenú ujmu. </w:t>
      </w:r>
    </w:p>
    <w:p w14:paraId="02FBF8B8" w14:textId="77777777" w:rsidR="00825A19" w:rsidRPr="008617AD" w:rsidRDefault="00825A19" w:rsidP="00DD3317">
      <w:pPr>
        <w:spacing w:after="0" w:line="240" w:lineRule="auto"/>
        <w:ind w:firstLine="708"/>
        <w:jc w:val="both"/>
        <w:rPr>
          <w:rFonts w:ascii="Times New Roman" w:hAnsi="Times New Roman" w:cs="Times New Roman"/>
          <w:sz w:val="24"/>
          <w:szCs w:val="24"/>
        </w:rPr>
      </w:pPr>
    </w:p>
    <w:p w14:paraId="17815063" w14:textId="77777777" w:rsidR="0084566C" w:rsidRPr="008617AD" w:rsidRDefault="0084566C" w:rsidP="0084566C">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Medzi postihy</w:t>
      </w:r>
      <w:r w:rsidR="00DF44D2" w:rsidRPr="008617AD">
        <w:rPr>
          <w:rFonts w:ascii="Times New Roman" w:hAnsi="Times New Roman" w:cs="Times New Roman"/>
          <w:sz w:val="24"/>
          <w:szCs w:val="24"/>
        </w:rPr>
        <w:t xml:space="preserve"> a pracovnoprávne úkony</w:t>
      </w:r>
      <w:r w:rsidR="00DD3317" w:rsidRPr="008617AD">
        <w:rPr>
          <w:rFonts w:ascii="Times New Roman" w:hAnsi="Times New Roman" w:cs="Times New Roman"/>
          <w:sz w:val="24"/>
          <w:szCs w:val="24"/>
        </w:rPr>
        <w:t>,</w:t>
      </w:r>
      <w:r w:rsidRPr="008617AD">
        <w:rPr>
          <w:rFonts w:ascii="Times New Roman" w:hAnsi="Times New Roman" w:cs="Times New Roman"/>
          <w:sz w:val="24"/>
          <w:szCs w:val="24"/>
        </w:rPr>
        <w:t xml:space="preserve"> ktoré môžu</w:t>
      </w:r>
      <w:r w:rsidR="00DD3317" w:rsidRPr="008617AD">
        <w:rPr>
          <w:rFonts w:ascii="Times New Roman" w:hAnsi="Times New Roman" w:cs="Times New Roman"/>
          <w:sz w:val="24"/>
          <w:szCs w:val="24"/>
        </w:rPr>
        <w:t xml:space="preserve"> spôsobiť ozna</w:t>
      </w:r>
      <w:r w:rsidRPr="008617AD">
        <w:rPr>
          <w:rFonts w:ascii="Times New Roman" w:hAnsi="Times New Roman" w:cs="Times New Roman"/>
          <w:sz w:val="24"/>
          <w:szCs w:val="24"/>
        </w:rPr>
        <w:t>movateľovi alebo inej osobe</w:t>
      </w:r>
      <w:r w:rsidR="001333EF">
        <w:rPr>
          <w:rFonts w:ascii="Times New Roman" w:hAnsi="Times New Roman" w:cs="Times New Roman"/>
          <w:sz w:val="24"/>
          <w:szCs w:val="24"/>
        </w:rPr>
        <w:t>,</w:t>
      </w:r>
      <w:r w:rsidRPr="008617AD">
        <w:rPr>
          <w:rFonts w:ascii="Times New Roman" w:hAnsi="Times New Roman" w:cs="Times New Roman"/>
          <w:sz w:val="24"/>
          <w:szCs w:val="24"/>
        </w:rPr>
        <w:t xml:space="preserve"> o ktorej možno predpokladať, že je postihnutá v súvislosti s</w:t>
      </w:r>
      <w:r w:rsidR="001333EF">
        <w:rPr>
          <w:rFonts w:ascii="Times New Roman" w:hAnsi="Times New Roman" w:cs="Times New Roman"/>
          <w:sz w:val="24"/>
          <w:szCs w:val="24"/>
        </w:rPr>
        <w:t> </w:t>
      </w:r>
      <w:r w:rsidRPr="008617AD">
        <w:rPr>
          <w:rFonts w:ascii="Times New Roman" w:hAnsi="Times New Roman" w:cs="Times New Roman"/>
          <w:sz w:val="24"/>
          <w:szCs w:val="24"/>
        </w:rPr>
        <w:t>oznámením</w:t>
      </w:r>
      <w:r w:rsidR="001333EF">
        <w:rPr>
          <w:rFonts w:ascii="Times New Roman" w:hAnsi="Times New Roman" w:cs="Times New Roman"/>
          <w:sz w:val="24"/>
          <w:szCs w:val="24"/>
        </w:rPr>
        <w:t>,</w:t>
      </w:r>
      <w:r w:rsidRPr="008617AD">
        <w:rPr>
          <w:rFonts w:ascii="Times New Roman" w:hAnsi="Times New Roman" w:cs="Times New Roman"/>
          <w:sz w:val="24"/>
          <w:szCs w:val="24"/>
        </w:rPr>
        <w:t xml:space="preserve"> neopodstatnenú ujmu</w:t>
      </w:r>
      <w:r w:rsidR="00D02146">
        <w:rPr>
          <w:rFonts w:ascii="Times New Roman" w:hAnsi="Times New Roman" w:cs="Times New Roman"/>
          <w:sz w:val="24"/>
          <w:szCs w:val="24"/>
        </w:rPr>
        <w:t xml:space="preserve"> (odvetné opatrenie)</w:t>
      </w:r>
      <w:r w:rsidR="00DF44D2" w:rsidRPr="008617AD">
        <w:rPr>
          <w:rFonts w:ascii="Times New Roman" w:hAnsi="Times New Roman" w:cs="Times New Roman"/>
          <w:sz w:val="24"/>
          <w:szCs w:val="24"/>
        </w:rPr>
        <w:t>,</w:t>
      </w:r>
      <w:r w:rsidRPr="008617AD">
        <w:rPr>
          <w:rFonts w:ascii="Times New Roman" w:hAnsi="Times New Roman" w:cs="Times New Roman"/>
          <w:sz w:val="24"/>
          <w:szCs w:val="24"/>
        </w:rPr>
        <w:t xml:space="preserve"> patria najmä</w:t>
      </w:r>
    </w:p>
    <w:p w14:paraId="56F59984" w14:textId="77777777" w:rsidR="0084566C" w:rsidRPr="008617AD" w:rsidRDefault="0084566C" w:rsidP="0084566C">
      <w:pPr>
        <w:pStyle w:val="Odsekzoznamu"/>
        <w:numPr>
          <w:ilvl w:val="1"/>
          <w:numId w:val="5"/>
        </w:numPr>
        <w:spacing w:after="0" w:line="240" w:lineRule="auto"/>
        <w:ind w:left="426" w:hanging="426"/>
        <w:jc w:val="both"/>
        <w:rPr>
          <w:rFonts w:ascii="Times New Roman" w:hAnsi="Times New Roman" w:cs="Times New Roman"/>
          <w:sz w:val="24"/>
          <w:szCs w:val="24"/>
        </w:rPr>
      </w:pPr>
      <w:r w:rsidRPr="00FC7D7A">
        <w:rPr>
          <w:rFonts w:ascii="Times New Roman" w:hAnsi="Times New Roman" w:cs="Times New Roman"/>
          <w:sz w:val="24"/>
          <w:szCs w:val="24"/>
        </w:rPr>
        <w:t>pozastavenie výkonu činnosti</w:t>
      </w:r>
      <w:r w:rsidRPr="008617AD">
        <w:rPr>
          <w:rFonts w:ascii="Times New Roman" w:hAnsi="Times New Roman" w:cs="Times New Roman"/>
          <w:sz w:val="24"/>
          <w:szCs w:val="24"/>
        </w:rPr>
        <w:t>, výpoveď, odvolanie</w:t>
      </w:r>
      <w:r w:rsidR="00DF44D2" w:rsidRPr="008617AD">
        <w:rPr>
          <w:rFonts w:ascii="Times New Roman" w:hAnsi="Times New Roman" w:cs="Times New Roman"/>
          <w:sz w:val="24"/>
          <w:szCs w:val="24"/>
        </w:rPr>
        <w:t xml:space="preserve"> alebo rovnocenný</w:t>
      </w:r>
      <w:r w:rsidR="00C37CE4">
        <w:rPr>
          <w:rFonts w:ascii="Times New Roman" w:hAnsi="Times New Roman" w:cs="Times New Roman"/>
          <w:sz w:val="24"/>
          <w:szCs w:val="24"/>
        </w:rPr>
        <w:t xml:space="preserve"> </w:t>
      </w:r>
      <w:r w:rsidR="00DF44D2" w:rsidRPr="008617AD">
        <w:rPr>
          <w:rFonts w:ascii="Times New Roman" w:hAnsi="Times New Roman" w:cs="Times New Roman"/>
          <w:sz w:val="24"/>
          <w:szCs w:val="24"/>
        </w:rPr>
        <w:t>právny úkon</w:t>
      </w:r>
      <w:r w:rsidRPr="008617AD">
        <w:rPr>
          <w:rFonts w:ascii="Times New Roman" w:hAnsi="Times New Roman" w:cs="Times New Roman"/>
          <w:sz w:val="24"/>
          <w:szCs w:val="24"/>
        </w:rPr>
        <w:t xml:space="preserve">, </w:t>
      </w:r>
    </w:p>
    <w:p w14:paraId="270F4C99"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preradenie na nižšiu pozíciu alebo odmietnutie povýšenia, </w:t>
      </w:r>
    </w:p>
    <w:p w14:paraId="10FA55CA"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presun povinností, zmena miesta výkonu práce, zníženie mzdy, zmena pracovného času, </w:t>
      </w:r>
    </w:p>
    <w:p w14:paraId="6EB9CF71" w14:textId="5DD9F726" w:rsidR="0084566C"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neposkytnutie </w:t>
      </w:r>
      <w:r w:rsidR="00011160" w:rsidRPr="008617AD">
        <w:rPr>
          <w:rFonts w:ascii="Times New Roman" w:hAnsi="Times New Roman" w:cs="Times New Roman"/>
          <w:sz w:val="24"/>
          <w:szCs w:val="24"/>
        </w:rPr>
        <w:t>zaškolenia, zaučenia, rekvalifikácie alebo prehlbovania kvalifikácie zamestnanca</w:t>
      </w:r>
      <w:r w:rsidRPr="008617AD">
        <w:rPr>
          <w:rFonts w:ascii="Times New Roman" w:hAnsi="Times New Roman" w:cs="Times New Roman"/>
          <w:sz w:val="24"/>
          <w:szCs w:val="24"/>
        </w:rPr>
        <w:t xml:space="preserve">, </w:t>
      </w:r>
    </w:p>
    <w:p w14:paraId="0DEB6751" w14:textId="6FAFDD87" w:rsidR="00624F31" w:rsidRPr="008617AD" w:rsidRDefault="00624F31"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neposkytnutie odmeny, na ktorú má oznamovateľ nárok</w:t>
      </w:r>
    </w:p>
    <w:p w14:paraId="69581091" w14:textId="77777777" w:rsidR="0084566C" w:rsidRPr="008617AD" w:rsidRDefault="00011160"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negatívny pracovný alebo služobný posudok</w:t>
      </w:r>
      <w:r w:rsidR="0084566C" w:rsidRPr="008617AD">
        <w:rPr>
          <w:rFonts w:ascii="Times New Roman" w:hAnsi="Times New Roman" w:cs="Times New Roman"/>
          <w:sz w:val="24"/>
          <w:szCs w:val="24"/>
        </w:rPr>
        <w:t xml:space="preserve">, </w:t>
      </w:r>
    </w:p>
    <w:p w14:paraId="728087E1"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uloženie alebo vykonanie akéhokoľvek disciplinárneho opatrenia</w:t>
      </w:r>
      <w:r w:rsidR="00011160" w:rsidRPr="008617AD">
        <w:rPr>
          <w:rFonts w:ascii="Times New Roman" w:hAnsi="Times New Roman" w:cs="Times New Roman"/>
          <w:sz w:val="24"/>
          <w:szCs w:val="24"/>
        </w:rPr>
        <w:t>, upozornenia na porušenie pracovnej disciplíny alebo inej sankcie,</w:t>
      </w:r>
    </w:p>
    <w:p w14:paraId="47E9B095"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nát</w:t>
      </w:r>
      <w:r w:rsidR="00DF44D2" w:rsidRPr="008617AD">
        <w:rPr>
          <w:rFonts w:ascii="Times New Roman" w:hAnsi="Times New Roman" w:cs="Times New Roman"/>
          <w:sz w:val="24"/>
          <w:szCs w:val="24"/>
        </w:rPr>
        <w:t>lak, zastrašovanie alebo obťažovanie,</w:t>
      </w:r>
    </w:p>
    <w:p w14:paraId="6B28290E" w14:textId="77777777" w:rsidR="0084566C" w:rsidRDefault="00011160"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porušenie zásady rovnakého zaobchádzania,</w:t>
      </w:r>
    </w:p>
    <w:p w14:paraId="7EBBF19F" w14:textId="77777777" w:rsidR="00D22F51" w:rsidRPr="004C446C" w:rsidRDefault="00D22F51"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4C446C">
        <w:rPr>
          <w:rFonts w:ascii="Times New Roman" w:hAnsi="Times New Roman" w:cs="Times New Roman"/>
          <w:sz w:val="24"/>
          <w:szCs w:val="24"/>
        </w:rPr>
        <w:t>predčasné ukončenie pracovnej zmluvy na dobu určitú,</w:t>
      </w:r>
    </w:p>
    <w:p w14:paraId="0B316490" w14:textId="77777777" w:rsidR="0084566C"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spôsobenie ujmy vrátane poškodenia </w:t>
      </w:r>
      <w:r w:rsidR="00A20071" w:rsidRPr="008617AD">
        <w:rPr>
          <w:rFonts w:ascii="Times New Roman" w:hAnsi="Times New Roman" w:cs="Times New Roman"/>
          <w:sz w:val="24"/>
          <w:szCs w:val="24"/>
        </w:rPr>
        <w:t>dobrého mena</w:t>
      </w:r>
      <w:r w:rsidRPr="008617AD">
        <w:rPr>
          <w:rFonts w:ascii="Times New Roman" w:hAnsi="Times New Roman" w:cs="Times New Roman"/>
          <w:sz w:val="24"/>
          <w:szCs w:val="24"/>
        </w:rPr>
        <w:t xml:space="preserve"> osoby, najmä v sociálnych médiách, alebo </w:t>
      </w:r>
      <w:r w:rsidR="00A20071" w:rsidRPr="008617AD">
        <w:rPr>
          <w:rFonts w:ascii="Times New Roman" w:hAnsi="Times New Roman" w:cs="Times New Roman"/>
          <w:sz w:val="24"/>
          <w:szCs w:val="24"/>
        </w:rPr>
        <w:t>ušlého zisku,</w:t>
      </w:r>
    </w:p>
    <w:p w14:paraId="00EBAF46" w14:textId="77777777" w:rsidR="00D22F51" w:rsidRPr="004C446C" w:rsidRDefault="00D22F51" w:rsidP="00D22F51">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4C446C">
        <w:rPr>
          <w:rFonts w:ascii="Times New Roman" w:hAnsi="Times New Roman" w:cs="Times New Roman"/>
          <w:sz w:val="24"/>
          <w:szCs w:val="24"/>
        </w:rPr>
        <w:t>zaradenie na čiernu listinu na základe neformálnej alebo formálnej dohody v rámci odvetvia či priemyslu, čo môže znamenať, že táto osoba si už budúcnosti v tomto odvetví alebo priemysle nenájde zamestnanie</w:t>
      </w:r>
      <w:r w:rsidR="00090CC6" w:rsidRPr="004C446C">
        <w:rPr>
          <w:rFonts w:ascii="Times New Roman" w:hAnsi="Times New Roman" w:cs="Times New Roman"/>
          <w:sz w:val="24"/>
          <w:szCs w:val="24"/>
        </w:rPr>
        <w:t>,</w:t>
      </w:r>
    </w:p>
    <w:p w14:paraId="6CAFC46D"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pr</w:t>
      </w:r>
      <w:r w:rsidR="00A20071" w:rsidRPr="008617AD">
        <w:rPr>
          <w:rFonts w:ascii="Times New Roman" w:hAnsi="Times New Roman" w:cs="Times New Roman"/>
          <w:sz w:val="24"/>
          <w:szCs w:val="24"/>
        </w:rPr>
        <w:t>edčasné ukončenie alebo zrušenie</w:t>
      </w:r>
      <w:r w:rsidRPr="008617AD">
        <w:rPr>
          <w:rFonts w:ascii="Times New Roman" w:hAnsi="Times New Roman" w:cs="Times New Roman"/>
          <w:sz w:val="24"/>
          <w:szCs w:val="24"/>
        </w:rPr>
        <w:t xml:space="preserve"> zmluvy o dodávke tovarov alebo poskytovaní služieb, </w:t>
      </w:r>
    </w:p>
    <w:p w14:paraId="2E0F8C0D"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zrušenie</w:t>
      </w:r>
      <w:r w:rsidR="00985F7A" w:rsidRPr="008617AD">
        <w:rPr>
          <w:rFonts w:ascii="Times New Roman" w:hAnsi="Times New Roman" w:cs="Times New Roman"/>
          <w:sz w:val="24"/>
          <w:szCs w:val="24"/>
        </w:rPr>
        <w:t xml:space="preserve"> licencie alebo</w:t>
      </w:r>
      <w:r w:rsidRPr="008617AD">
        <w:rPr>
          <w:rFonts w:ascii="Times New Roman" w:hAnsi="Times New Roman" w:cs="Times New Roman"/>
          <w:sz w:val="24"/>
          <w:szCs w:val="24"/>
        </w:rPr>
        <w:t xml:space="preserve"> povolenia, </w:t>
      </w:r>
    </w:p>
    <w:p w14:paraId="257C96E1"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vyžadovanie lekárskeho vyšetrenia, </w:t>
      </w:r>
      <w:r w:rsidR="007574B2">
        <w:rPr>
          <w:rFonts w:ascii="Times New Roman" w:hAnsi="Times New Roman" w:cs="Times New Roman"/>
          <w:sz w:val="24"/>
          <w:szCs w:val="24"/>
        </w:rPr>
        <w:t xml:space="preserve">napr. psychiatrického vyšetrenia, </w:t>
      </w:r>
    </w:p>
    <w:p w14:paraId="37B50C82" w14:textId="77777777" w:rsidR="0084566C" w:rsidRPr="008617AD" w:rsidRDefault="0084566C" w:rsidP="00DF44D2">
      <w:pPr>
        <w:pStyle w:val="Odsekzoznamu"/>
        <w:numPr>
          <w:ilvl w:val="1"/>
          <w:numId w:val="5"/>
        </w:numPr>
        <w:spacing w:after="0" w:line="240" w:lineRule="auto"/>
        <w:ind w:left="426" w:hanging="426"/>
        <w:jc w:val="both"/>
        <w:rPr>
          <w:rFonts w:ascii="Times New Roman" w:hAnsi="Times New Roman" w:cs="Times New Roman"/>
          <w:sz w:val="24"/>
          <w:szCs w:val="24"/>
        </w:rPr>
      </w:pPr>
      <w:r w:rsidRPr="008617AD">
        <w:rPr>
          <w:rFonts w:ascii="Times New Roman" w:hAnsi="Times New Roman" w:cs="Times New Roman"/>
          <w:sz w:val="24"/>
          <w:szCs w:val="24"/>
        </w:rPr>
        <w:t>podanie žaloby alebo sťažnosti, ktoré je zneužitím práva na podanie takejto žaloby alebo sťažnosti</w:t>
      </w:r>
      <w:r w:rsidR="00147671">
        <w:rPr>
          <w:rFonts w:ascii="Times New Roman" w:hAnsi="Times New Roman" w:cs="Times New Roman"/>
          <w:sz w:val="24"/>
          <w:szCs w:val="24"/>
        </w:rPr>
        <w:t>.</w:t>
      </w:r>
    </w:p>
    <w:p w14:paraId="37AD97BE" w14:textId="77777777" w:rsidR="0084566C" w:rsidRPr="008617AD" w:rsidRDefault="0084566C" w:rsidP="00DD3317">
      <w:pPr>
        <w:spacing w:after="0" w:line="240" w:lineRule="auto"/>
        <w:ind w:firstLine="708"/>
        <w:jc w:val="both"/>
        <w:rPr>
          <w:rFonts w:ascii="Times New Roman" w:hAnsi="Times New Roman" w:cs="Times New Roman"/>
          <w:sz w:val="24"/>
          <w:szCs w:val="24"/>
        </w:rPr>
      </w:pPr>
    </w:p>
    <w:p w14:paraId="19A31690" w14:textId="2752DD50" w:rsidR="00DD3317" w:rsidRDefault="00DD3317" w:rsidP="00DD3317">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 xml:space="preserve">Je však potrebné zdôrazniť, že cieľom navrhovanej právnej úpravy nie je brániť zamestnávateľom, aby prijímali rozhodnutia súvisiace so zamestnaním, ktoré nesúvisia s oznamovaním podľa tohto zákona. </w:t>
      </w:r>
    </w:p>
    <w:p w14:paraId="310102CB" w14:textId="269555DE" w:rsidR="00B02CC8" w:rsidRDefault="00B02CC8" w:rsidP="00DD3317">
      <w:pPr>
        <w:spacing w:after="0" w:line="240" w:lineRule="auto"/>
        <w:ind w:firstLine="708"/>
        <w:jc w:val="both"/>
        <w:rPr>
          <w:rFonts w:ascii="Times New Roman" w:hAnsi="Times New Roman" w:cs="Times New Roman"/>
          <w:sz w:val="24"/>
          <w:szCs w:val="24"/>
        </w:rPr>
      </w:pPr>
    </w:p>
    <w:p w14:paraId="4A0BDF58" w14:textId="5CCBDCDF" w:rsidR="00B02CC8" w:rsidRDefault="00B02CC8" w:rsidP="00DD3317">
      <w:pPr>
        <w:spacing w:after="0" w:line="240" w:lineRule="auto"/>
        <w:ind w:firstLine="708"/>
        <w:jc w:val="both"/>
        <w:rPr>
          <w:rFonts w:ascii="Times New Roman" w:hAnsi="Times New Roman" w:cs="Times New Roman"/>
          <w:sz w:val="24"/>
          <w:szCs w:val="24"/>
        </w:rPr>
      </w:pPr>
      <w:r w:rsidRPr="005748DA">
        <w:rPr>
          <w:rFonts w:ascii="Times New Roman" w:hAnsi="Times New Roman" w:cs="Times New Roman"/>
          <w:sz w:val="24"/>
          <w:szCs w:val="24"/>
        </w:rPr>
        <w:t>Zároveň sa uvedenou úpravou zavádza pojem pokus o postih. Takáto skutková podstata</w:t>
      </w:r>
      <w:r w:rsidR="00EB0C0D" w:rsidRPr="005748DA">
        <w:rPr>
          <w:rFonts w:ascii="Times New Roman" w:hAnsi="Times New Roman" w:cs="Times New Roman"/>
          <w:sz w:val="24"/>
          <w:szCs w:val="24"/>
        </w:rPr>
        <w:t xml:space="preserve"> slúži na to aby zahrnula aj prípady kedy síce nepríde k naplneniu samotného postihu, napr. zrušením licencie, ktorej právoplatnosť nepotvrdí nadriadený orgán či uložením disciplinárneho opatrenia, ktoré bude následne nadriadeným orgánom zrušené. Takéto, či iné postihy, ktoré sú vykonané avšak nenadobudnú právoplatnosť a sú následne zrušené možno považovať ako pokusy o postih.</w:t>
      </w:r>
    </w:p>
    <w:p w14:paraId="0ABB075F" w14:textId="26814A42" w:rsidR="00031C9B" w:rsidRPr="008617AD" w:rsidRDefault="00031C9B" w:rsidP="00747F96">
      <w:pPr>
        <w:spacing w:after="0" w:line="240" w:lineRule="auto"/>
        <w:jc w:val="both"/>
        <w:rPr>
          <w:rFonts w:ascii="Times New Roman" w:hAnsi="Times New Roman" w:cs="Times New Roman"/>
          <w:sz w:val="24"/>
          <w:szCs w:val="24"/>
        </w:rPr>
      </w:pPr>
    </w:p>
    <w:p w14:paraId="494AC39D" w14:textId="3F795312" w:rsidR="00C37CE4" w:rsidRPr="008617AD" w:rsidRDefault="00F4230A"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985F7A" w:rsidRPr="008617AD">
        <w:rPr>
          <w:rFonts w:ascii="Times New Roman" w:hAnsi="Times New Roman" w:cs="Times New Roman"/>
          <w:sz w:val="24"/>
          <w:szCs w:val="24"/>
        </w:rPr>
        <w:t xml:space="preserve">Navrhuje sa </w:t>
      </w:r>
      <w:r w:rsidR="00111019">
        <w:rPr>
          <w:rFonts w:ascii="Times New Roman" w:hAnsi="Times New Roman" w:cs="Times New Roman"/>
          <w:sz w:val="24"/>
          <w:szCs w:val="24"/>
        </w:rPr>
        <w:t>u</w:t>
      </w:r>
      <w:r w:rsidR="00985F7A" w:rsidRPr="008617AD">
        <w:rPr>
          <w:rFonts w:ascii="Times New Roman" w:hAnsi="Times New Roman" w:cs="Times New Roman"/>
          <w:sz w:val="24"/>
          <w:szCs w:val="24"/>
        </w:rPr>
        <w:t xml:space="preserve">stanoviť </w:t>
      </w:r>
      <w:r w:rsidR="00C37CE4">
        <w:rPr>
          <w:rFonts w:ascii="Times New Roman" w:hAnsi="Times New Roman" w:cs="Times New Roman"/>
          <w:sz w:val="24"/>
          <w:szCs w:val="24"/>
        </w:rPr>
        <w:t>sankcia</w:t>
      </w:r>
      <w:r w:rsidR="004C446C">
        <w:rPr>
          <w:rFonts w:ascii="Times New Roman" w:hAnsi="Times New Roman" w:cs="Times New Roman"/>
          <w:sz w:val="24"/>
          <w:szCs w:val="24"/>
        </w:rPr>
        <w:t xml:space="preserve"> za</w:t>
      </w:r>
      <w:r w:rsidR="00985F7A" w:rsidRPr="008617AD">
        <w:rPr>
          <w:rFonts w:ascii="Times New Roman" w:hAnsi="Times New Roman" w:cs="Times New Roman"/>
          <w:sz w:val="24"/>
          <w:szCs w:val="24"/>
        </w:rPr>
        <w:t xml:space="preserve"> porušenie povinnosti zachovávať mlčanlivosť o totožnosti </w:t>
      </w:r>
      <w:r w:rsidR="009C2309">
        <w:rPr>
          <w:rFonts w:ascii="Times New Roman" w:hAnsi="Times New Roman" w:cs="Times New Roman"/>
          <w:sz w:val="24"/>
          <w:szCs w:val="24"/>
        </w:rPr>
        <w:t>dotknutej osoby</w:t>
      </w:r>
      <w:r w:rsidR="00985F7A" w:rsidRPr="008617AD">
        <w:rPr>
          <w:rFonts w:ascii="Times New Roman" w:hAnsi="Times New Roman" w:cs="Times New Roman"/>
          <w:sz w:val="24"/>
          <w:szCs w:val="24"/>
        </w:rPr>
        <w:t xml:space="preserve">. Právna úprava nadväzuje na § 10 ods. 6 a ods. 8 </w:t>
      </w:r>
      <w:r w:rsidR="00D10CB4" w:rsidRPr="008617AD">
        <w:rPr>
          <w:rFonts w:ascii="Times New Roman" w:hAnsi="Times New Roman" w:cs="Times New Roman"/>
          <w:sz w:val="24"/>
          <w:szCs w:val="24"/>
        </w:rPr>
        <w:t>písm. c</w:t>
      </w:r>
      <w:r w:rsidR="00985F7A" w:rsidRPr="008617AD">
        <w:rPr>
          <w:rFonts w:ascii="Times New Roman" w:hAnsi="Times New Roman" w:cs="Times New Roman"/>
          <w:sz w:val="24"/>
          <w:szCs w:val="24"/>
        </w:rPr>
        <w:t>)</w:t>
      </w:r>
      <w:r w:rsidR="005C7D9B">
        <w:rPr>
          <w:rFonts w:ascii="Times New Roman" w:hAnsi="Times New Roman" w:cs="Times New Roman"/>
          <w:sz w:val="24"/>
          <w:szCs w:val="24"/>
        </w:rPr>
        <w:t xml:space="preserve"> návrhu </w:t>
      </w:r>
      <w:r w:rsidR="005C7D9B">
        <w:rPr>
          <w:rFonts w:ascii="Times New Roman" w:hAnsi="Times New Roman" w:cs="Times New Roman"/>
          <w:sz w:val="24"/>
          <w:szCs w:val="24"/>
        </w:rPr>
        <w:lastRenderedPageBreak/>
        <w:t>zákona</w:t>
      </w:r>
      <w:r w:rsidR="00217152">
        <w:rPr>
          <w:rFonts w:ascii="Times New Roman" w:hAnsi="Times New Roman" w:cs="Times New Roman"/>
          <w:sz w:val="24"/>
          <w:szCs w:val="24"/>
        </w:rPr>
        <w:t>, ktoré tvoria</w:t>
      </w:r>
      <w:r w:rsidR="00985F7A" w:rsidRPr="008617AD">
        <w:rPr>
          <w:rFonts w:ascii="Times New Roman" w:hAnsi="Times New Roman" w:cs="Times New Roman"/>
          <w:sz w:val="24"/>
          <w:szCs w:val="24"/>
        </w:rPr>
        <w:t xml:space="preserve"> právny základ upravuj</w:t>
      </w:r>
      <w:r w:rsidR="00217152">
        <w:rPr>
          <w:rFonts w:ascii="Times New Roman" w:hAnsi="Times New Roman" w:cs="Times New Roman"/>
          <w:sz w:val="24"/>
          <w:szCs w:val="24"/>
        </w:rPr>
        <w:t>úci</w:t>
      </w:r>
      <w:r w:rsidR="00985F7A" w:rsidRPr="008617AD">
        <w:rPr>
          <w:rFonts w:ascii="Times New Roman" w:hAnsi="Times New Roman" w:cs="Times New Roman"/>
          <w:sz w:val="24"/>
          <w:szCs w:val="24"/>
        </w:rPr>
        <w:t xml:space="preserve"> povinnosť zachovávať mlčanlivosť o totožnosti </w:t>
      </w:r>
      <w:r w:rsidR="009C2309">
        <w:rPr>
          <w:rFonts w:ascii="Times New Roman" w:hAnsi="Times New Roman" w:cs="Times New Roman"/>
          <w:sz w:val="24"/>
          <w:szCs w:val="24"/>
        </w:rPr>
        <w:t>dotknutej osoby.</w:t>
      </w:r>
      <w:r w:rsidR="00985F7A" w:rsidRPr="008617AD">
        <w:rPr>
          <w:rFonts w:ascii="Times New Roman" w:hAnsi="Times New Roman" w:cs="Times New Roman"/>
          <w:sz w:val="24"/>
          <w:szCs w:val="24"/>
        </w:rPr>
        <w:t xml:space="preserve"> Podľa § 18 ods. 1 písm. b) </w:t>
      </w:r>
      <w:r w:rsidR="005C7D9B">
        <w:rPr>
          <w:rFonts w:ascii="Times New Roman" w:hAnsi="Times New Roman" w:cs="Times New Roman"/>
          <w:sz w:val="24"/>
          <w:szCs w:val="24"/>
        </w:rPr>
        <w:t xml:space="preserve">návrhu zákona </w:t>
      </w:r>
      <w:r w:rsidR="00985F7A" w:rsidRPr="008617AD">
        <w:rPr>
          <w:rFonts w:ascii="Times New Roman" w:hAnsi="Times New Roman" w:cs="Times New Roman"/>
          <w:sz w:val="24"/>
          <w:szCs w:val="24"/>
        </w:rPr>
        <w:t>bude teda možné postihnúť osobu, ktorá poruší po</w:t>
      </w:r>
      <w:r w:rsidR="00D10CB4" w:rsidRPr="008617AD">
        <w:rPr>
          <w:rFonts w:ascii="Times New Roman" w:hAnsi="Times New Roman" w:cs="Times New Roman"/>
          <w:sz w:val="24"/>
          <w:szCs w:val="24"/>
        </w:rPr>
        <w:t>vinnosť zachovávať mlčanlivosť o totožnosti</w:t>
      </w:r>
      <w:r w:rsidR="00985F7A" w:rsidRPr="008617AD">
        <w:rPr>
          <w:rFonts w:ascii="Times New Roman" w:hAnsi="Times New Roman" w:cs="Times New Roman"/>
          <w:sz w:val="24"/>
          <w:szCs w:val="24"/>
        </w:rPr>
        <w:t> </w:t>
      </w:r>
      <w:r w:rsidR="009C2309">
        <w:rPr>
          <w:rFonts w:ascii="Times New Roman" w:hAnsi="Times New Roman" w:cs="Times New Roman"/>
          <w:sz w:val="24"/>
          <w:szCs w:val="24"/>
        </w:rPr>
        <w:t>dotknutej osoby</w:t>
      </w:r>
      <w:r w:rsidR="00985F7A" w:rsidRPr="008617AD">
        <w:rPr>
          <w:rFonts w:ascii="Times New Roman" w:hAnsi="Times New Roman" w:cs="Times New Roman"/>
          <w:sz w:val="24"/>
          <w:szCs w:val="24"/>
        </w:rPr>
        <w:t xml:space="preserve">.  </w:t>
      </w:r>
      <w:r w:rsidR="00C37CE4">
        <w:rPr>
          <w:rFonts w:ascii="Times New Roman" w:hAnsi="Times New Roman" w:cs="Times New Roman"/>
          <w:sz w:val="24"/>
          <w:szCs w:val="24"/>
        </w:rPr>
        <w:t xml:space="preserve"> </w:t>
      </w:r>
    </w:p>
    <w:p w14:paraId="48941968" w14:textId="2E0E5A33" w:rsidR="00426CE6" w:rsidRPr="00000381" w:rsidRDefault="00426CE6" w:rsidP="00747F96">
      <w:pPr>
        <w:spacing w:after="0" w:line="240" w:lineRule="auto"/>
        <w:jc w:val="both"/>
        <w:rPr>
          <w:rFonts w:ascii="Times New Roman" w:hAnsi="Times New Roman" w:cs="Times New Roman"/>
          <w:sz w:val="24"/>
          <w:szCs w:val="24"/>
        </w:rPr>
      </w:pPr>
    </w:p>
    <w:p w14:paraId="749F95ED" w14:textId="77777777" w:rsidR="00747F96" w:rsidRPr="008617AD" w:rsidRDefault="00426CE6" w:rsidP="00747F96">
      <w:pPr>
        <w:spacing w:after="0" w:line="240" w:lineRule="auto"/>
        <w:jc w:val="both"/>
        <w:rPr>
          <w:rFonts w:ascii="Times New Roman" w:hAnsi="Times New Roman" w:cs="Times New Roman"/>
          <w:sz w:val="24"/>
          <w:szCs w:val="24"/>
        </w:rPr>
      </w:pPr>
      <w:r w:rsidRPr="00000381">
        <w:rPr>
          <w:rFonts w:ascii="Times New Roman" w:hAnsi="Times New Roman" w:cs="Times New Roman"/>
          <w:sz w:val="24"/>
          <w:szCs w:val="24"/>
        </w:rPr>
        <w:tab/>
      </w:r>
      <w:r w:rsidR="00AD1A47" w:rsidRPr="008617AD">
        <w:rPr>
          <w:rFonts w:ascii="Times New Roman" w:hAnsi="Times New Roman" w:cs="Times New Roman"/>
          <w:sz w:val="24"/>
          <w:szCs w:val="24"/>
        </w:rPr>
        <w:t>Ustanovenie sa dopĺňa v nadväznosti na rozšírenie povinností zamestnávateľa prijatie opatrení voči osobe, ktorá bráni oznámeniu v rámci vnútorného systému preverovania oznámení. Za porušenie tejto povinnosti je možné osobe vykonávajúcej u zamestnávateľa pracovnú činnosť uložiť sankciu.</w:t>
      </w:r>
    </w:p>
    <w:p w14:paraId="29479B90" w14:textId="77777777" w:rsidR="00D81369" w:rsidRPr="008617AD" w:rsidRDefault="00D81369" w:rsidP="00747F96">
      <w:pPr>
        <w:spacing w:after="0" w:line="240" w:lineRule="auto"/>
        <w:jc w:val="both"/>
        <w:rPr>
          <w:rFonts w:ascii="Times New Roman" w:hAnsi="Times New Roman" w:cs="Times New Roman"/>
          <w:b/>
          <w:bCs/>
          <w:sz w:val="24"/>
          <w:szCs w:val="24"/>
        </w:rPr>
      </w:pPr>
    </w:p>
    <w:p w14:paraId="3B279D88" w14:textId="7120F464"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7D0D69">
        <w:rPr>
          <w:rFonts w:ascii="Times New Roman" w:hAnsi="Times New Roman" w:cs="Times New Roman"/>
          <w:b/>
          <w:bCs/>
          <w:sz w:val="24"/>
          <w:szCs w:val="24"/>
        </w:rPr>
        <w:t>4</w:t>
      </w:r>
      <w:r w:rsidR="00A9183D">
        <w:rPr>
          <w:rFonts w:ascii="Times New Roman" w:hAnsi="Times New Roman" w:cs="Times New Roman"/>
          <w:b/>
          <w:bCs/>
          <w:sz w:val="24"/>
          <w:szCs w:val="24"/>
        </w:rPr>
        <w:t>0</w:t>
      </w:r>
    </w:p>
    <w:p w14:paraId="79D3496A" w14:textId="117056BE" w:rsidR="004C4523" w:rsidRPr="001103D0" w:rsidRDefault="004C4523" w:rsidP="00747F96">
      <w:pPr>
        <w:spacing w:after="0" w:line="240" w:lineRule="auto"/>
        <w:jc w:val="both"/>
        <w:rPr>
          <w:rFonts w:ascii="Times New Roman" w:hAnsi="Times New Roman" w:cs="Times New Roman"/>
          <w:b/>
          <w:bCs/>
          <w:i/>
          <w:sz w:val="24"/>
          <w:szCs w:val="24"/>
        </w:rPr>
      </w:pPr>
      <w:r w:rsidRPr="001103D0">
        <w:rPr>
          <w:rFonts w:ascii="Times New Roman" w:hAnsi="Times New Roman" w:cs="Times New Roman"/>
          <w:b/>
          <w:bCs/>
          <w:i/>
          <w:sz w:val="24"/>
          <w:szCs w:val="24"/>
        </w:rPr>
        <w:t>(</w:t>
      </w:r>
      <w:r w:rsidRPr="004C4523">
        <w:rPr>
          <w:rFonts w:ascii="Times New Roman" w:hAnsi="Times New Roman" w:cs="Times New Roman"/>
          <w:b/>
          <w:bCs/>
          <w:i/>
          <w:sz w:val="24"/>
          <w:szCs w:val="24"/>
        </w:rPr>
        <w:t xml:space="preserve">§ </w:t>
      </w:r>
      <w:r w:rsidRPr="001103D0">
        <w:rPr>
          <w:rFonts w:ascii="Times New Roman" w:hAnsi="Times New Roman" w:cs="Times New Roman"/>
          <w:b/>
          <w:bCs/>
          <w:i/>
          <w:sz w:val="24"/>
          <w:szCs w:val="24"/>
        </w:rPr>
        <w:t xml:space="preserve">18 </w:t>
      </w:r>
      <w:r w:rsidR="004B4BDA">
        <w:rPr>
          <w:rFonts w:ascii="Times New Roman" w:hAnsi="Times New Roman" w:cs="Times New Roman"/>
          <w:b/>
          <w:bCs/>
          <w:i/>
          <w:sz w:val="24"/>
          <w:szCs w:val="24"/>
        </w:rPr>
        <w:t>ods. 2</w:t>
      </w:r>
      <w:r w:rsidRPr="001103D0">
        <w:rPr>
          <w:rFonts w:ascii="Times New Roman" w:hAnsi="Times New Roman" w:cs="Times New Roman"/>
          <w:b/>
          <w:bCs/>
          <w:i/>
          <w:sz w:val="24"/>
          <w:szCs w:val="24"/>
        </w:rPr>
        <w:t>)</w:t>
      </w:r>
    </w:p>
    <w:p w14:paraId="39B44DA3" w14:textId="77777777" w:rsidR="00747F96" w:rsidRPr="0090742D" w:rsidRDefault="00747F96" w:rsidP="00747F96">
      <w:pPr>
        <w:spacing w:after="0" w:line="240" w:lineRule="auto"/>
        <w:jc w:val="both"/>
        <w:rPr>
          <w:rFonts w:ascii="Times New Roman" w:hAnsi="Times New Roman" w:cs="Times New Roman"/>
          <w:sz w:val="24"/>
          <w:szCs w:val="24"/>
        </w:rPr>
      </w:pPr>
    </w:p>
    <w:p w14:paraId="55132FDE" w14:textId="34095D65" w:rsidR="00F161D5" w:rsidRDefault="009E4835"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4C4523">
        <w:rPr>
          <w:rFonts w:ascii="Times New Roman" w:hAnsi="Times New Roman" w:cs="Times New Roman"/>
          <w:sz w:val="24"/>
          <w:szCs w:val="24"/>
        </w:rPr>
        <w:t>Navrhované sprísnenie sankcií je potrebné vnímať v kontexte požiadavky čl. 23 ods. 1 smernice (EÚ) 2019/1937</w:t>
      </w:r>
      <w:r w:rsidR="005C7D9B">
        <w:rPr>
          <w:rFonts w:ascii="Times New Roman" w:hAnsi="Times New Roman" w:cs="Times New Roman"/>
          <w:sz w:val="24"/>
          <w:szCs w:val="24"/>
        </w:rPr>
        <w:t xml:space="preserve"> v platnom znení</w:t>
      </w:r>
      <w:r w:rsidR="001103D0">
        <w:rPr>
          <w:rFonts w:ascii="Times New Roman" w:hAnsi="Times New Roman" w:cs="Times New Roman"/>
          <w:sz w:val="24"/>
          <w:szCs w:val="24"/>
        </w:rPr>
        <w:t>, ktorý</w:t>
      </w:r>
      <w:r w:rsidR="004C4523">
        <w:rPr>
          <w:rFonts w:ascii="Times New Roman" w:hAnsi="Times New Roman" w:cs="Times New Roman"/>
          <w:sz w:val="24"/>
          <w:szCs w:val="24"/>
        </w:rPr>
        <w:t xml:space="preserve"> stanuje povinnosť pre členské</w:t>
      </w:r>
      <w:r w:rsidR="004C4523" w:rsidRPr="004C4523">
        <w:rPr>
          <w:rFonts w:ascii="Times New Roman" w:hAnsi="Times New Roman" w:cs="Times New Roman"/>
          <w:sz w:val="24"/>
          <w:szCs w:val="24"/>
        </w:rPr>
        <w:t xml:space="preserve"> štáty </w:t>
      </w:r>
      <w:r w:rsidR="001103D0">
        <w:rPr>
          <w:rFonts w:ascii="Times New Roman" w:hAnsi="Times New Roman" w:cs="Times New Roman"/>
          <w:sz w:val="24"/>
          <w:szCs w:val="24"/>
        </w:rPr>
        <w:t xml:space="preserve">prijímať </w:t>
      </w:r>
      <w:r w:rsidR="004C4523" w:rsidRPr="004C4523">
        <w:rPr>
          <w:rFonts w:ascii="Times New Roman" w:hAnsi="Times New Roman" w:cs="Times New Roman"/>
          <w:sz w:val="24"/>
          <w:szCs w:val="24"/>
        </w:rPr>
        <w:t>účinné, primerané a odrádzajúce sankcie uplatniteľné na fyzické alebo právnické osoby</w:t>
      </w:r>
      <w:r w:rsidR="001103D0">
        <w:rPr>
          <w:rFonts w:ascii="Times New Roman" w:hAnsi="Times New Roman" w:cs="Times New Roman"/>
          <w:sz w:val="24"/>
          <w:szCs w:val="24"/>
        </w:rPr>
        <w:t>. Pla</w:t>
      </w:r>
      <w:r w:rsidR="00E07F52">
        <w:rPr>
          <w:rFonts w:ascii="Times New Roman" w:hAnsi="Times New Roman" w:cs="Times New Roman"/>
          <w:sz w:val="24"/>
          <w:szCs w:val="24"/>
        </w:rPr>
        <w:t>t</w:t>
      </w:r>
      <w:r w:rsidR="001103D0">
        <w:rPr>
          <w:rFonts w:ascii="Times New Roman" w:hAnsi="Times New Roman" w:cs="Times New Roman"/>
          <w:sz w:val="24"/>
          <w:szCs w:val="24"/>
        </w:rPr>
        <w:t xml:space="preserve">nú právnu úpravu výšky sankcií v tomto smere nebolo možné považovať za dostatočne odradzujúcu a z tohto dôvodu sa navrhujú vyššie sankcie za porušenie zákona. </w:t>
      </w:r>
      <w:r w:rsidR="00BE7566">
        <w:rPr>
          <w:rFonts w:ascii="Times New Roman" w:hAnsi="Times New Roman" w:cs="Times New Roman"/>
          <w:sz w:val="24"/>
          <w:szCs w:val="24"/>
        </w:rPr>
        <w:t>Zároveň sa stanovuje možnosť sprísnenia sankcií až na dvojnásobok v prípade opakovaného spáchania priestupku.</w:t>
      </w:r>
    </w:p>
    <w:p w14:paraId="5C2046B1" w14:textId="77777777" w:rsidR="00343124" w:rsidRDefault="00343124" w:rsidP="00747F96">
      <w:pPr>
        <w:spacing w:after="0" w:line="240" w:lineRule="auto"/>
        <w:jc w:val="both"/>
        <w:rPr>
          <w:rFonts w:ascii="Times New Roman" w:hAnsi="Times New Roman" w:cs="Times New Roman"/>
          <w:sz w:val="24"/>
          <w:szCs w:val="24"/>
        </w:rPr>
      </w:pPr>
    </w:p>
    <w:p w14:paraId="5D44D57B" w14:textId="0B5D8A8A" w:rsidR="004C4523" w:rsidRPr="001103D0" w:rsidRDefault="004C4523" w:rsidP="00747F96">
      <w:pPr>
        <w:spacing w:after="0" w:line="240" w:lineRule="auto"/>
        <w:jc w:val="both"/>
        <w:rPr>
          <w:rFonts w:ascii="Times New Roman" w:hAnsi="Times New Roman" w:cs="Times New Roman"/>
          <w:b/>
          <w:sz w:val="24"/>
          <w:szCs w:val="24"/>
        </w:rPr>
      </w:pPr>
      <w:r w:rsidRPr="001103D0">
        <w:rPr>
          <w:rFonts w:ascii="Times New Roman" w:hAnsi="Times New Roman" w:cs="Times New Roman"/>
          <w:b/>
          <w:sz w:val="24"/>
          <w:szCs w:val="24"/>
        </w:rPr>
        <w:t xml:space="preserve">K bodu </w:t>
      </w:r>
      <w:r w:rsidR="005C7D9B">
        <w:rPr>
          <w:rFonts w:ascii="Times New Roman" w:hAnsi="Times New Roman" w:cs="Times New Roman"/>
          <w:b/>
          <w:sz w:val="24"/>
          <w:szCs w:val="24"/>
        </w:rPr>
        <w:t>4</w:t>
      </w:r>
      <w:r w:rsidR="00A9183D">
        <w:rPr>
          <w:rFonts w:ascii="Times New Roman" w:hAnsi="Times New Roman" w:cs="Times New Roman"/>
          <w:b/>
          <w:sz w:val="24"/>
          <w:szCs w:val="24"/>
        </w:rPr>
        <w:t>1 a 42</w:t>
      </w:r>
    </w:p>
    <w:p w14:paraId="34BEC014" w14:textId="035FB843" w:rsidR="004C4523" w:rsidRPr="001103D0" w:rsidRDefault="004C4523" w:rsidP="00747F96">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xml:space="preserve">(§ </w:t>
      </w:r>
      <w:r w:rsidR="001103D0" w:rsidRPr="001103D0">
        <w:rPr>
          <w:rFonts w:ascii="Times New Roman" w:hAnsi="Times New Roman" w:cs="Times New Roman"/>
          <w:b/>
          <w:i/>
          <w:sz w:val="24"/>
          <w:szCs w:val="24"/>
        </w:rPr>
        <w:t xml:space="preserve">19 ods. </w:t>
      </w:r>
      <w:r w:rsidR="00BE7566">
        <w:rPr>
          <w:rFonts w:ascii="Times New Roman" w:hAnsi="Times New Roman" w:cs="Times New Roman"/>
          <w:b/>
          <w:i/>
          <w:sz w:val="24"/>
          <w:szCs w:val="24"/>
        </w:rPr>
        <w:t>1 až 5</w:t>
      </w:r>
      <w:r w:rsidRPr="001103D0">
        <w:rPr>
          <w:rFonts w:ascii="Times New Roman" w:hAnsi="Times New Roman" w:cs="Times New Roman"/>
          <w:b/>
          <w:i/>
          <w:sz w:val="24"/>
          <w:szCs w:val="24"/>
        </w:rPr>
        <w:t>)</w:t>
      </w:r>
    </w:p>
    <w:p w14:paraId="14DB846D" w14:textId="77777777" w:rsidR="004C4523" w:rsidRDefault="004C4523" w:rsidP="00747F96">
      <w:pPr>
        <w:spacing w:after="0" w:line="240" w:lineRule="auto"/>
        <w:jc w:val="both"/>
        <w:rPr>
          <w:rFonts w:ascii="Times New Roman" w:hAnsi="Times New Roman" w:cs="Times New Roman"/>
          <w:sz w:val="24"/>
          <w:szCs w:val="24"/>
        </w:rPr>
      </w:pPr>
    </w:p>
    <w:p w14:paraId="468C056C" w14:textId="3D4BF5CA" w:rsidR="00BE7566" w:rsidRDefault="00E07F52" w:rsidP="0074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7566">
        <w:rPr>
          <w:rFonts w:ascii="Times New Roman" w:hAnsi="Times New Roman" w:cs="Times New Roman"/>
          <w:sz w:val="24"/>
          <w:szCs w:val="24"/>
        </w:rPr>
        <w:t>Navrhované sprísnenie sankcií je potrebné vnímať v kontexte požiadavky čl. 23 ods. 1 smernice (EÚ) 2019/1937 v platnom znení, ktorý stanuje povinnosť pre členské</w:t>
      </w:r>
      <w:r w:rsidR="00BE7566" w:rsidRPr="004C4523">
        <w:rPr>
          <w:rFonts w:ascii="Times New Roman" w:hAnsi="Times New Roman" w:cs="Times New Roman"/>
          <w:sz w:val="24"/>
          <w:szCs w:val="24"/>
        </w:rPr>
        <w:t xml:space="preserve"> štáty </w:t>
      </w:r>
      <w:r w:rsidR="00BE7566">
        <w:rPr>
          <w:rFonts w:ascii="Times New Roman" w:hAnsi="Times New Roman" w:cs="Times New Roman"/>
          <w:sz w:val="24"/>
          <w:szCs w:val="24"/>
        </w:rPr>
        <w:t xml:space="preserve">prijímať </w:t>
      </w:r>
      <w:r w:rsidR="00BE7566" w:rsidRPr="004C4523">
        <w:rPr>
          <w:rFonts w:ascii="Times New Roman" w:hAnsi="Times New Roman" w:cs="Times New Roman"/>
          <w:sz w:val="24"/>
          <w:szCs w:val="24"/>
        </w:rPr>
        <w:t>účinné, primerané a odrádzajúce sankcie uplatniteľné na fyzické alebo právnické osoby</w:t>
      </w:r>
      <w:r w:rsidR="00BE7566">
        <w:rPr>
          <w:rFonts w:ascii="Times New Roman" w:hAnsi="Times New Roman" w:cs="Times New Roman"/>
          <w:sz w:val="24"/>
          <w:szCs w:val="24"/>
        </w:rPr>
        <w:t xml:space="preserve">. Platnú právnu úpravu výšky sankcií v tomto smere nebolo možné považovať za dostatočne odradzujúcu a z tohto dôvodu sa navrhujú vyššie sankcie za porušenie zákona. Zároveň sa stanovuje možnosť sprísnenia sankcií až na dvojnásobok v prípade opakovaného porušenia povinností. </w:t>
      </w:r>
    </w:p>
    <w:p w14:paraId="26211F40" w14:textId="77777777" w:rsidR="005719BB" w:rsidRDefault="005719BB" w:rsidP="00747F96">
      <w:pPr>
        <w:spacing w:after="0" w:line="240" w:lineRule="auto"/>
        <w:jc w:val="both"/>
        <w:rPr>
          <w:rFonts w:ascii="Times New Roman" w:hAnsi="Times New Roman" w:cs="Times New Roman"/>
          <w:sz w:val="24"/>
          <w:szCs w:val="24"/>
        </w:rPr>
      </w:pPr>
    </w:p>
    <w:p w14:paraId="25E866E8" w14:textId="77777777" w:rsidR="005719BB" w:rsidRDefault="00BE7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Zároveň sa v § 19 stanovuje rozdielna horná hranica pokuty za porušenie povinnosti</w:t>
      </w:r>
      <w:r w:rsidR="005719BB">
        <w:rPr>
          <w:rFonts w:ascii="Times New Roman" w:hAnsi="Times New Roman" w:cs="Times New Roman"/>
          <w:sz w:val="24"/>
          <w:szCs w:val="24"/>
        </w:rPr>
        <w:t xml:space="preserve"> stanovených v § 10,</w:t>
      </w:r>
      <w:r>
        <w:rPr>
          <w:rFonts w:ascii="Times New Roman" w:hAnsi="Times New Roman" w:cs="Times New Roman"/>
          <w:sz w:val="24"/>
          <w:szCs w:val="24"/>
        </w:rPr>
        <w:t xml:space="preserve"> a to pod</w:t>
      </w:r>
      <w:r w:rsidR="005719BB">
        <w:rPr>
          <w:rFonts w:ascii="Times New Roman" w:hAnsi="Times New Roman" w:cs="Times New Roman"/>
          <w:sz w:val="24"/>
          <w:szCs w:val="24"/>
        </w:rPr>
        <w:t>ľa počtu zamestnancov, ktorí pracujú u zamestnávateľa. Uvedené reflektuje to aby vo väčšej miere mohli sankcie postihnúť zamestnávateľov, ktorí z dôvodu zamestnávania väčšieho počtu zamestnancov majú aj tomu primeranú spoločenskú zodpovednosť.</w:t>
      </w:r>
    </w:p>
    <w:p w14:paraId="2F5B48E3" w14:textId="77777777" w:rsidR="005719BB" w:rsidRDefault="005719BB">
      <w:pPr>
        <w:spacing w:after="0" w:line="240" w:lineRule="auto"/>
        <w:jc w:val="both"/>
        <w:rPr>
          <w:rFonts w:ascii="Times New Roman" w:hAnsi="Times New Roman" w:cs="Times New Roman"/>
          <w:sz w:val="24"/>
          <w:szCs w:val="24"/>
        </w:rPr>
      </w:pPr>
    </w:p>
    <w:p w14:paraId="34838840" w14:textId="7E892766" w:rsidR="00E07F52" w:rsidRDefault="00571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Všetky uvedené sumy sankcií predstavujú ich hornú hranicu. Pri ich udeľovaní musí úrad prihliadať na ich primeranosť v kontexte skutočností uvedených v § 19 ods. 5.</w:t>
      </w:r>
    </w:p>
    <w:p w14:paraId="350ED92A" w14:textId="77777777" w:rsidR="004C4523" w:rsidRPr="007574B2" w:rsidRDefault="004C4523" w:rsidP="00747F96">
      <w:pPr>
        <w:spacing w:after="0" w:line="240" w:lineRule="auto"/>
        <w:jc w:val="both"/>
        <w:rPr>
          <w:rFonts w:ascii="Times New Roman" w:hAnsi="Times New Roman" w:cs="Times New Roman"/>
          <w:sz w:val="24"/>
          <w:szCs w:val="24"/>
        </w:rPr>
      </w:pPr>
    </w:p>
    <w:p w14:paraId="15ADF8E7" w14:textId="426773DB" w:rsidR="004C4523" w:rsidRPr="001103D0" w:rsidRDefault="004C4523" w:rsidP="00747F96">
      <w:pPr>
        <w:spacing w:after="0" w:line="240" w:lineRule="auto"/>
        <w:jc w:val="both"/>
        <w:rPr>
          <w:rFonts w:ascii="Times New Roman" w:hAnsi="Times New Roman" w:cs="Times New Roman"/>
          <w:b/>
          <w:sz w:val="24"/>
          <w:szCs w:val="24"/>
        </w:rPr>
      </w:pPr>
      <w:r w:rsidRPr="001103D0">
        <w:rPr>
          <w:rFonts w:ascii="Times New Roman" w:hAnsi="Times New Roman" w:cs="Times New Roman"/>
          <w:b/>
          <w:sz w:val="24"/>
          <w:szCs w:val="24"/>
        </w:rPr>
        <w:t xml:space="preserve">K bodu </w:t>
      </w:r>
      <w:r w:rsidR="005C7D9B">
        <w:rPr>
          <w:rFonts w:ascii="Times New Roman" w:hAnsi="Times New Roman" w:cs="Times New Roman"/>
          <w:b/>
          <w:sz w:val="24"/>
          <w:szCs w:val="24"/>
        </w:rPr>
        <w:t>4</w:t>
      </w:r>
      <w:r w:rsidR="00A9183D">
        <w:rPr>
          <w:rFonts w:ascii="Times New Roman" w:hAnsi="Times New Roman" w:cs="Times New Roman"/>
          <w:b/>
          <w:sz w:val="24"/>
          <w:szCs w:val="24"/>
        </w:rPr>
        <w:t>3</w:t>
      </w:r>
    </w:p>
    <w:p w14:paraId="4E3264D3" w14:textId="77777777" w:rsidR="004C4523" w:rsidRPr="001103D0" w:rsidRDefault="004C4523" w:rsidP="00747F96">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20 ods. 2)</w:t>
      </w:r>
    </w:p>
    <w:p w14:paraId="7E52C140" w14:textId="77777777" w:rsidR="004C4523" w:rsidRDefault="004C4523" w:rsidP="00747F96">
      <w:pPr>
        <w:spacing w:after="0" w:line="240" w:lineRule="auto"/>
        <w:jc w:val="both"/>
        <w:rPr>
          <w:rFonts w:ascii="Times New Roman" w:hAnsi="Times New Roman" w:cs="Times New Roman"/>
          <w:sz w:val="24"/>
          <w:szCs w:val="24"/>
        </w:rPr>
      </w:pPr>
    </w:p>
    <w:p w14:paraId="47CCA2D8" w14:textId="77777777" w:rsidR="004C4523" w:rsidRDefault="004C4523" w:rsidP="001103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Uvedená zmena je legislatívno-technického charakteru. </w:t>
      </w:r>
    </w:p>
    <w:p w14:paraId="10901635" w14:textId="77777777" w:rsidR="004C4523" w:rsidRDefault="004C4523" w:rsidP="00747F96">
      <w:pPr>
        <w:spacing w:after="0" w:line="240" w:lineRule="auto"/>
        <w:jc w:val="both"/>
        <w:rPr>
          <w:rFonts w:ascii="Times New Roman" w:hAnsi="Times New Roman" w:cs="Times New Roman"/>
          <w:sz w:val="24"/>
          <w:szCs w:val="24"/>
        </w:rPr>
      </w:pPr>
    </w:p>
    <w:p w14:paraId="02B0ABA6" w14:textId="0A211F1C"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K</w:t>
      </w:r>
      <w:r w:rsidR="00CB5281">
        <w:rPr>
          <w:rFonts w:ascii="Times New Roman" w:hAnsi="Times New Roman" w:cs="Times New Roman"/>
          <w:b/>
          <w:bCs/>
          <w:sz w:val="24"/>
          <w:szCs w:val="24"/>
        </w:rPr>
        <w:t> </w:t>
      </w:r>
      <w:r w:rsidRPr="008617AD">
        <w:rPr>
          <w:rFonts w:ascii="Times New Roman" w:hAnsi="Times New Roman" w:cs="Times New Roman"/>
          <w:b/>
          <w:bCs/>
          <w:sz w:val="24"/>
          <w:szCs w:val="24"/>
        </w:rPr>
        <w:t>bodu</w:t>
      </w:r>
      <w:r w:rsidR="00CB5281">
        <w:rPr>
          <w:rFonts w:ascii="Times New Roman" w:hAnsi="Times New Roman" w:cs="Times New Roman"/>
          <w:b/>
          <w:bCs/>
          <w:sz w:val="24"/>
          <w:szCs w:val="24"/>
        </w:rPr>
        <w:t xml:space="preserve"> </w:t>
      </w:r>
      <w:r w:rsidR="009659C9">
        <w:rPr>
          <w:rFonts w:ascii="Times New Roman" w:hAnsi="Times New Roman" w:cs="Times New Roman"/>
          <w:b/>
          <w:bCs/>
          <w:sz w:val="24"/>
          <w:szCs w:val="24"/>
        </w:rPr>
        <w:t>4</w:t>
      </w:r>
      <w:r w:rsidR="00A9183D">
        <w:rPr>
          <w:rFonts w:ascii="Times New Roman" w:hAnsi="Times New Roman" w:cs="Times New Roman"/>
          <w:b/>
          <w:bCs/>
          <w:sz w:val="24"/>
          <w:szCs w:val="24"/>
        </w:rPr>
        <w:t>4</w:t>
      </w:r>
      <w:r w:rsidR="009659C9">
        <w:rPr>
          <w:rFonts w:ascii="Times New Roman" w:hAnsi="Times New Roman" w:cs="Times New Roman"/>
          <w:b/>
          <w:bCs/>
          <w:sz w:val="24"/>
          <w:szCs w:val="24"/>
        </w:rPr>
        <w:t xml:space="preserve"> a 4</w:t>
      </w:r>
      <w:r w:rsidR="00A9183D">
        <w:rPr>
          <w:rFonts w:ascii="Times New Roman" w:hAnsi="Times New Roman" w:cs="Times New Roman"/>
          <w:b/>
          <w:bCs/>
          <w:sz w:val="24"/>
          <w:szCs w:val="24"/>
        </w:rPr>
        <w:t>5</w:t>
      </w:r>
    </w:p>
    <w:p w14:paraId="4EB5C237" w14:textId="77777777" w:rsidR="004C4523" w:rsidRPr="001103D0" w:rsidRDefault="004C4523" w:rsidP="00747F96">
      <w:pPr>
        <w:spacing w:after="0" w:line="240" w:lineRule="auto"/>
        <w:jc w:val="both"/>
        <w:rPr>
          <w:rFonts w:ascii="Times New Roman" w:hAnsi="Times New Roman" w:cs="Times New Roman"/>
          <w:b/>
          <w:bCs/>
          <w:i/>
          <w:sz w:val="24"/>
          <w:szCs w:val="24"/>
        </w:rPr>
      </w:pPr>
      <w:r w:rsidRPr="001103D0">
        <w:rPr>
          <w:rFonts w:ascii="Times New Roman" w:hAnsi="Times New Roman" w:cs="Times New Roman"/>
          <w:b/>
          <w:bCs/>
          <w:i/>
          <w:sz w:val="24"/>
          <w:szCs w:val="24"/>
        </w:rPr>
        <w:t>(§ 22 ods. 4 a 5)</w:t>
      </w:r>
    </w:p>
    <w:p w14:paraId="2DE899B1" w14:textId="77777777" w:rsidR="00A5607C" w:rsidRDefault="00A5607C" w:rsidP="00A5607C">
      <w:pPr>
        <w:spacing w:after="0" w:line="240" w:lineRule="auto"/>
        <w:jc w:val="both"/>
        <w:rPr>
          <w:rFonts w:ascii="Times New Roman" w:hAnsi="Times New Roman" w:cs="Times New Roman"/>
          <w:sz w:val="24"/>
          <w:szCs w:val="24"/>
        </w:rPr>
      </w:pPr>
    </w:p>
    <w:p w14:paraId="4F5CE062" w14:textId="63EB52CD" w:rsidR="00A5607C" w:rsidRDefault="00111019" w:rsidP="001103D0">
      <w:pPr>
        <w:spacing w:after="0" w:line="240" w:lineRule="auto"/>
        <w:ind w:firstLine="708"/>
        <w:jc w:val="both"/>
        <w:rPr>
          <w:rFonts w:ascii="Times New Roman" w:hAnsi="Times New Roman" w:cs="Times New Roman"/>
          <w:sz w:val="24"/>
          <w:szCs w:val="24"/>
        </w:rPr>
      </w:pPr>
      <w:r w:rsidRPr="00111019">
        <w:rPr>
          <w:rFonts w:ascii="Times New Roman" w:hAnsi="Times New Roman" w:cs="Times New Roman"/>
          <w:sz w:val="24"/>
          <w:szCs w:val="24"/>
        </w:rPr>
        <w:lastRenderedPageBreak/>
        <w:t xml:space="preserve">V § 22 ods. 4 </w:t>
      </w:r>
      <w:r w:rsidR="0018496F">
        <w:rPr>
          <w:rFonts w:ascii="Times New Roman" w:hAnsi="Times New Roman" w:cs="Times New Roman"/>
          <w:sz w:val="24"/>
          <w:szCs w:val="24"/>
        </w:rPr>
        <w:t>návrhu zákona v</w:t>
      </w:r>
      <w:r w:rsidR="0018496F" w:rsidRPr="008617AD">
        <w:rPr>
          <w:rFonts w:ascii="Times New Roman" w:hAnsi="Times New Roman" w:cs="Times New Roman"/>
          <w:sz w:val="24"/>
          <w:szCs w:val="24"/>
        </w:rPr>
        <w:t xml:space="preserve"> dôsledku upresnenia postupu pri oznamovaní protispoločenskej činnosti sa </w:t>
      </w:r>
      <w:r w:rsidR="0018496F">
        <w:rPr>
          <w:rFonts w:ascii="Times New Roman" w:hAnsi="Times New Roman" w:cs="Times New Roman"/>
          <w:sz w:val="24"/>
          <w:szCs w:val="24"/>
        </w:rPr>
        <w:t xml:space="preserve">navrhuje zaviesť </w:t>
      </w:r>
      <w:r w:rsidR="0018496F" w:rsidRPr="008617AD">
        <w:rPr>
          <w:rFonts w:ascii="Times New Roman" w:hAnsi="Times New Roman" w:cs="Times New Roman"/>
          <w:sz w:val="24"/>
          <w:szCs w:val="24"/>
        </w:rPr>
        <w:t>povinnosť prokuratúry, správneho orgánu alebo úradu potvrdiť podanie oznamovateľa bezodkladne po prijatí oznámenia.</w:t>
      </w:r>
    </w:p>
    <w:p w14:paraId="3918FB93" w14:textId="77777777" w:rsidR="001103D0" w:rsidRDefault="001103D0" w:rsidP="001103D0">
      <w:pPr>
        <w:spacing w:after="0" w:line="240" w:lineRule="auto"/>
        <w:ind w:firstLine="708"/>
        <w:jc w:val="both"/>
        <w:rPr>
          <w:rFonts w:ascii="Times New Roman" w:hAnsi="Times New Roman" w:cs="Times New Roman"/>
          <w:sz w:val="24"/>
          <w:szCs w:val="24"/>
        </w:rPr>
      </w:pPr>
    </w:p>
    <w:p w14:paraId="1C7CF59A" w14:textId="6ECB2F57" w:rsidR="0018496F" w:rsidRDefault="00111019" w:rsidP="001849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22 ods. 5 </w:t>
      </w:r>
      <w:r w:rsidR="0018496F">
        <w:rPr>
          <w:rFonts w:ascii="Times New Roman" w:hAnsi="Times New Roman" w:cs="Times New Roman"/>
          <w:sz w:val="24"/>
          <w:szCs w:val="24"/>
        </w:rPr>
        <w:t>návrhu zákona z</w:t>
      </w:r>
      <w:r w:rsidR="0018496F" w:rsidRPr="008617AD">
        <w:rPr>
          <w:rFonts w:ascii="Times New Roman" w:hAnsi="Times New Roman" w:cs="Times New Roman"/>
          <w:sz w:val="24"/>
          <w:szCs w:val="24"/>
        </w:rPr>
        <w:t> dôvodu väčšej informovanosti osôb o možnostiach urobenia oznámenia, prijímaných opatrení, prostriedkov nápravy a ochrany podľa tohto zákona zabezpečí prokuratúra, správne orgány a úrad uverejnenie uvedených informácií na svojich webových sídlach.</w:t>
      </w:r>
    </w:p>
    <w:p w14:paraId="0E78066E" w14:textId="4146C703" w:rsidR="00135B9D" w:rsidRDefault="00135B9D" w:rsidP="001103D0">
      <w:pPr>
        <w:spacing w:after="0" w:line="240" w:lineRule="auto"/>
        <w:ind w:firstLine="708"/>
        <w:jc w:val="both"/>
        <w:rPr>
          <w:rFonts w:ascii="Times New Roman" w:hAnsi="Times New Roman" w:cs="Times New Roman"/>
          <w:sz w:val="24"/>
          <w:szCs w:val="24"/>
        </w:rPr>
      </w:pPr>
    </w:p>
    <w:p w14:paraId="643770C6" w14:textId="77777777" w:rsidR="00CB5281" w:rsidRDefault="00CB5281" w:rsidP="00CB5281">
      <w:pPr>
        <w:spacing w:after="0" w:line="240" w:lineRule="auto"/>
        <w:jc w:val="both"/>
        <w:rPr>
          <w:rFonts w:ascii="Times New Roman" w:hAnsi="Times New Roman" w:cs="Times New Roman"/>
          <w:b/>
          <w:bCs/>
          <w:sz w:val="24"/>
          <w:szCs w:val="24"/>
        </w:rPr>
      </w:pPr>
    </w:p>
    <w:p w14:paraId="1F6FCAD1" w14:textId="083C5E9F" w:rsidR="00CB5281" w:rsidRDefault="00CB5281" w:rsidP="00CB5281">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A9183D">
        <w:rPr>
          <w:rFonts w:ascii="Times New Roman" w:hAnsi="Times New Roman" w:cs="Times New Roman"/>
          <w:b/>
          <w:bCs/>
          <w:sz w:val="24"/>
          <w:szCs w:val="24"/>
        </w:rPr>
        <w:t>46</w:t>
      </w:r>
    </w:p>
    <w:p w14:paraId="58A2BB57" w14:textId="7AC10C14" w:rsidR="00CB5281" w:rsidRDefault="00CB5281" w:rsidP="00CB5281">
      <w:pPr>
        <w:spacing w:after="0" w:line="240" w:lineRule="auto"/>
        <w:jc w:val="both"/>
        <w:rPr>
          <w:rFonts w:ascii="Times New Roman" w:hAnsi="Times New Roman" w:cs="Times New Roman"/>
          <w:b/>
          <w:bCs/>
          <w:i/>
          <w:sz w:val="24"/>
          <w:szCs w:val="24"/>
        </w:rPr>
      </w:pPr>
      <w:r w:rsidRPr="00906D2B">
        <w:rPr>
          <w:rFonts w:ascii="Times New Roman" w:hAnsi="Times New Roman" w:cs="Times New Roman"/>
          <w:b/>
          <w:bCs/>
          <w:i/>
          <w:sz w:val="24"/>
          <w:szCs w:val="24"/>
        </w:rPr>
        <w:t>(§ 24 ods.</w:t>
      </w:r>
      <w:r w:rsidR="009659C9">
        <w:rPr>
          <w:rFonts w:ascii="Times New Roman" w:hAnsi="Times New Roman" w:cs="Times New Roman"/>
          <w:b/>
          <w:bCs/>
          <w:i/>
          <w:sz w:val="24"/>
          <w:szCs w:val="24"/>
        </w:rPr>
        <w:t xml:space="preserve"> </w:t>
      </w:r>
      <w:r w:rsidRPr="00906D2B">
        <w:rPr>
          <w:rFonts w:ascii="Times New Roman" w:hAnsi="Times New Roman" w:cs="Times New Roman"/>
          <w:b/>
          <w:bCs/>
          <w:i/>
          <w:sz w:val="24"/>
          <w:szCs w:val="24"/>
        </w:rPr>
        <w:t>2)</w:t>
      </w:r>
    </w:p>
    <w:p w14:paraId="3D135A75" w14:textId="77777777" w:rsidR="00CB5281" w:rsidRPr="00906D2B" w:rsidRDefault="00CB5281" w:rsidP="00CB5281">
      <w:pPr>
        <w:spacing w:after="0" w:line="240" w:lineRule="auto"/>
        <w:jc w:val="both"/>
        <w:rPr>
          <w:rFonts w:ascii="Times New Roman" w:hAnsi="Times New Roman" w:cs="Times New Roman"/>
          <w:b/>
          <w:bCs/>
          <w:i/>
          <w:sz w:val="24"/>
          <w:szCs w:val="24"/>
        </w:rPr>
      </w:pPr>
    </w:p>
    <w:p w14:paraId="0A000736" w14:textId="56023E14" w:rsidR="00CB5281" w:rsidRPr="008617AD" w:rsidRDefault="00CB5281" w:rsidP="001103D0">
      <w:pPr>
        <w:spacing w:after="0" w:line="240" w:lineRule="auto"/>
        <w:ind w:firstLine="708"/>
        <w:jc w:val="both"/>
        <w:rPr>
          <w:rFonts w:ascii="Times New Roman" w:hAnsi="Times New Roman" w:cs="Times New Roman"/>
          <w:sz w:val="24"/>
          <w:szCs w:val="24"/>
        </w:rPr>
      </w:pPr>
      <w:r w:rsidRPr="00CB5281">
        <w:rPr>
          <w:rFonts w:ascii="Times New Roman" w:hAnsi="Times New Roman" w:cs="Times New Roman"/>
          <w:sz w:val="24"/>
          <w:szCs w:val="24"/>
        </w:rPr>
        <w:t>Uvedená zmena je legislatívno-technického charakteru.</w:t>
      </w:r>
    </w:p>
    <w:p w14:paraId="2D9B5D23" w14:textId="77777777" w:rsidR="009E4835" w:rsidRPr="008617AD" w:rsidRDefault="009E4835" w:rsidP="00747F96">
      <w:pPr>
        <w:spacing w:after="0" w:line="240" w:lineRule="auto"/>
        <w:jc w:val="both"/>
        <w:rPr>
          <w:rFonts w:ascii="Times New Roman" w:hAnsi="Times New Roman" w:cs="Times New Roman"/>
          <w:b/>
          <w:bCs/>
          <w:sz w:val="24"/>
          <w:szCs w:val="24"/>
        </w:rPr>
      </w:pPr>
    </w:p>
    <w:p w14:paraId="3C50E3E1" w14:textId="73DEC996"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CB5281">
        <w:rPr>
          <w:rFonts w:ascii="Times New Roman" w:hAnsi="Times New Roman" w:cs="Times New Roman"/>
          <w:b/>
          <w:bCs/>
          <w:sz w:val="24"/>
          <w:szCs w:val="24"/>
        </w:rPr>
        <w:t>4</w:t>
      </w:r>
      <w:r w:rsidR="00A9183D">
        <w:rPr>
          <w:rFonts w:ascii="Times New Roman" w:hAnsi="Times New Roman" w:cs="Times New Roman"/>
          <w:b/>
          <w:bCs/>
          <w:sz w:val="24"/>
          <w:szCs w:val="24"/>
        </w:rPr>
        <w:t>7</w:t>
      </w:r>
    </w:p>
    <w:p w14:paraId="0642F241" w14:textId="77777777" w:rsidR="004C4523" w:rsidRPr="000E792F" w:rsidRDefault="004C4523" w:rsidP="00747F96">
      <w:pPr>
        <w:spacing w:after="0" w:line="240" w:lineRule="auto"/>
        <w:jc w:val="both"/>
        <w:rPr>
          <w:rFonts w:ascii="Times New Roman" w:hAnsi="Times New Roman" w:cs="Times New Roman"/>
          <w:b/>
          <w:bCs/>
          <w:i/>
          <w:sz w:val="24"/>
          <w:szCs w:val="24"/>
        </w:rPr>
      </w:pPr>
      <w:r w:rsidRPr="000E792F">
        <w:rPr>
          <w:rFonts w:ascii="Times New Roman" w:hAnsi="Times New Roman" w:cs="Times New Roman"/>
          <w:b/>
          <w:bCs/>
          <w:i/>
          <w:sz w:val="24"/>
          <w:szCs w:val="24"/>
        </w:rPr>
        <w:t>(§ 25a a 25b)</w:t>
      </w:r>
    </w:p>
    <w:p w14:paraId="51544DFA" w14:textId="77777777" w:rsidR="0042425B" w:rsidRPr="008617AD" w:rsidRDefault="0042425B" w:rsidP="00747F96">
      <w:pPr>
        <w:spacing w:after="0" w:line="240" w:lineRule="auto"/>
        <w:jc w:val="both"/>
        <w:rPr>
          <w:rFonts w:ascii="Times New Roman" w:hAnsi="Times New Roman" w:cs="Times New Roman"/>
          <w:sz w:val="24"/>
          <w:szCs w:val="24"/>
        </w:rPr>
      </w:pPr>
    </w:p>
    <w:p w14:paraId="2A4049A9" w14:textId="38E656AA" w:rsidR="0042425B" w:rsidRPr="008617AD" w:rsidRDefault="0042425B"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4C4523">
        <w:rPr>
          <w:rFonts w:ascii="Times New Roman" w:hAnsi="Times New Roman" w:cs="Times New Roman"/>
          <w:sz w:val="24"/>
          <w:szCs w:val="24"/>
        </w:rPr>
        <w:t xml:space="preserve">Doplnené ustanovenia sú ustanoveniami prechodnými a transpozičnými. </w:t>
      </w:r>
      <w:r w:rsidR="00ED647A">
        <w:rPr>
          <w:rFonts w:ascii="Times New Roman" w:hAnsi="Times New Roman" w:cs="Times New Roman"/>
          <w:sz w:val="24"/>
          <w:szCs w:val="24"/>
        </w:rPr>
        <w:t>V prípade doplneného § 25a</w:t>
      </w:r>
      <w:r w:rsidR="009659C9">
        <w:rPr>
          <w:rFonts w:ascii="Times New Roman" w:hAnsi="Times New Roman" w:cs="Times New Roman"/>
          <w:sz w:val="24"/>
          <w:szCs w:val="24"/>
        </w:rPr>
        <w:t xml:space="preserve"> </w:t>
      </w:r>
      <w:r w:rsidR="00AC6808">
        <w:rPr>
          <w:rFonts w:ascii="Times New Roman" w:hAnsi="Times New Roman" w:cs="Times New Roman"/>
          <w:sz w:val="24"/>
          <w:szCs w:val="24"/>
        </w:rPr>
        <w:t xml:space="preserve">návrhu zákona </w:t>
      </w:r>
      <w:r w:rsidR="009659C9">
        <w:rPr>
          <w:rFonts w:ascii="Times New Roman" w:hAnsi="Times New Roman" w:cs="Times New Roman"/>
          <w:sz w:val="24"/>
          <w:szCs w:val="24"/>
        </w:rPr>
        <w:t xml:space="preserve">sa stanovuje lehota, do ktorej má úrad predložiť prvú správu podľa § 13 ods. 14 návrhu zákona Európskej komisii, nakoľko </w:t>
      </w:r>
      <w:r w:rsidR="00AC6808">
        <w:rPr>
          <w:rFonts w:ascii="Times New Roman" w:hAnsi="Times New Roman" w:cs="Times New Roman"/>
          <w:sz w:val="24"/>
          <w:szCs w:val="24"/>
        </w:rPr>
        <w:t xml:space="preserve">čl. 27 ods. 1 </w:t>
      </w:r>
      <w:r w:rsidR="009659C9">
        <w:rPr>
          <w:rFonts w:ascii="Times New Roman" w:hAnsi="Times New Roman" w:cs="Times New Roman"/>
          <w:sz w:val="24"/>
          <w:szCs w:val="24"/>
        </w:rPr>
        <w:t>s</w:t>
      </w:r>
      <w:r w:rsidR="00AC6808">
        <w:rPr>
          <w:rFonts w:ascii="Times New Roman" w:hAnsi="Times New Roman" w:cs="Times New Roman"/>
          <w:sz w:val="24"/>
          <w:szCs w:val="24"/>
        </w:rPr>
        <w:t>mernice</w:t>
      </w:r>
      <w:r w:rsidR="00ED647A">
        <w:rPr>
          <w:rFonts w:ascii="Times New Roman" w:hAnsi="Times New Roman" w:cs="Times New Roman"/>
          <w:sz w:val="24"/>
          <w:szCs w:val="24"/>
        </w:rPr>
        <w:t xml:space="preserve"> </w:t>
      </w:r>
      <w:r w:rsidR="009659C9">
        <w:rPr>
          <w:rFonts w:ascii="Times New Roman" w:hAnsi="Times New Roman" w:cs="Times New Roman"/>
          <w:sz w:val="24"/>
          <w:szCs w:val="24"/>
        </w:rPr>
        <w:t xml:space="preserve">(EÚ) 2019/1937 v platnom znení </w:t>
      </w:r>
      <w:r w:rsidR="00AC6808">
        <w:rPr>
          <w:rFonts w:ascii="Times New Roman" w:hAnsi="Times New Roman" w:cs="Times New Roman"/>
          <w:sz w:val="24"/>
          <w:szCs w:val="24"/>
        </w:rPr>
        <w:t xml:space="preserve">stanovuje splnenie tejto povinnosti do 17. decembra 2023. S ohľadom na navrhovanú účinnosť návrhu zákona a po predchádzajúcej konzultácii s úradom, predkladateľ dospel k názoru, že </w:t>
      </w:r>
      <w:r w:rsidR="000A5433">
        <w:rPr>
          <w:rFonts w:ascii="Times New Roman" w:hAnsi="Times New Roman" w:cs="Times New Roman"/>
          <w:sz w:val="24"/>
          <w:szCs w:val="24"/>
        </w:rPr>
        <w:t xml:space="preserve">termín do 30. júna 2023 </w:t>
      </w:r>
      <w:r w:rsidR="00AC6808">
        <w:rPr>
          <w:rFonts w:ascii="Times New Roman" w:hAnsi="Times New Roman" w:cs="Times New Roman"/>
          <w:sz w:val="24"/>
          <w:szCs w:val="24"/>
        </w:rPr>
        <w:t>bude pre úrad na vypr</w:t>
      </w:r>
      <w:r w:rsidR="000A5433">
        <w:rPr>
          <w:rFonts w:ascii="Times New Roman" w:hAnsi="Times New Roman" w:cs="Times New Roman"/>
          <w:sz w:val="24"/>
          <w:szCs w:val="24"/>
        </w:rPr>
        <w:t>acovanie prvej správy dostatočný</w:t>
      </w:r>
      <w:r w:rsidR="00AC6808">
        <w:rPr>
          <w:rFonts w:ascii="Times New Roman" w:hAnsi="Times New Roman" w:cs="Times New Roman"/>
          <w:sz w:val="24"/>
          <w:szCs w:val="24"/>
        </w:rPr>
        <w:t>.</w:t>
      </w:r>
    </w:p>
    <w:p w14:paraId="7F56AA10" w14:textId="77777777" w:rsidR="00747F96" w:rsidRPr="008617AD" w:rsidRDefault="00747F96" w:rsidP="00747F96">
      <w:pPr>
        <w:spacing w:after="0" w:line="240" w:lineRule="auto"/>
        <w:jc w:val="both"/>
        <w:rPr>
          <w:rFonts w:ascii="Times New Roman" w:hAnsi="Times New Roman" w:cs="Times New Roman"/>
          <w:sz w:val="24"/>
          <w:szCs w:val="24"/>
        </w:rPr>
      </w:pPr>
    </w:p>
    <w:p w14:paraId="3AC72791" w14:textId="079A0499" w:rsidR="004C4523" w:rsidRPr="008617AD" w:rsidRDefault="001953E5"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A9183D">
        <w:rPr>
          <w:rFonts w:ascii="Times New Roman" w:hAnsi="Times New Roman" w:cs="Times New Roman"/>
          <w:b/>
          <w:bCs/>
          <w:sz w:val="24"/>
          <w:szCs w:val="24"/>
        </w:rPr>
        <w:t>48</w:t>
      </w:r>
    </w:p>
    <w:p w14:paraId="0545B3FB" w14:textId="77777777" w:rsidR="001953E5" w:rsidRPr="004C446C" w:rsidRDefault="001953E5" w:rsidP="00747F96">
      <w:pPr>
        <w:spacing w:after="0" w:line="240" w:lineRule="auto"/>
        <w:jc w:val="both"/>
        <w:rPr>
          <w:rFonts w:ascii="Times New Roman" w:hAnsi="Times New Roman" w:cs="Times New Roman"/>
          <w:bCs/>
          <w:sz w:val="24"/>
          <w:szCs w:val="24"/>
        </w:rPr>
      </w:pPr>
    </w:p>
    <w:p w14:paraId="5E16508A" w14:textId="77777777" w:rsidR="00BB4EBF" w:rsidRPr="008617AD" w:rsidRDefault="00BB4EBF"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b/>
          <w:bCs/>
          <w:sz w:val="24"/>
          <w:szCs w:val="24"/>
        </w:rPr>
        <w:tab/>
      </w:r>
      <w:r w:rsidR="001953E5" w:rsidRPr="008617AD">
        <w:rPr>
          <w:rFonts w:ascii="Times New Roman" w:hAnsi="Times New Roman" w:cs="Times New Roman"/>
          <w:bCs/>
          <w:sz w:val="24"/>
          <w:szCs w:val="24"/>
        </w:rPr>
        <w:t>Príloha sa dopĺňa o odkaz na právne záväzné akty Európskej únie, ktoré sa návrhom zákona transponujú do označeného zákona.</w:t>
      </w:r>
    </w:p>
    <w:p w14:paraId="0059443A" w14:textId="77777777" w:rsidR="001953E5" w:rsidRDefault="001953E5" w:rsidP="00747F96">
      <w:pPr>
        <w:spacing w:after="0" w:line="240" w:lineRule="auto"/>
        <w:jc w:val="both"/>
        <w:rPr>
          <w:rFonts w:ascii="Times New Roman" w:hAnsi="Times New Roman" w:cs="Times New Roman"/>
          <w:sz w:val="24"/>
          <w:szCs w:val="24"/>
        </w:rPr>
      </w:pPr>
    </w:p>
    <w:p w14:paraId="363D7021" w14:textId="65602579" w:rsidR="00BE0CD1" w:rsidRPr="00A9183D" w:rsidRDefault="00A9183D" w:rsidP="00747F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II</w:t>
      </w:r>
    </w:p>
    <w:p w14:paraId="2FF55F5E" w14:textId="3A7E360A" w:rsidR="00BE0CD1" w:rsidRPr="009659C9" w:rsidRDefault="00A9183D" w:rsidP="00747F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1 a 2</w:t>
      </w:r>
      <w:r w:rsidR="00BE0CD1" w:rsidRPr="009659C9">
        <w:rPr>
          <w:rFonts w:ascii="Times New Roman" w:hAnsi="Times New Roman" w:cs="Times New Roman"/>
          <w:b/>
          <w:sz w:val="24"/>
          <w:szCs w:val="24"/>
        </w:rPr>
        <w:t xml:space="preserve"> </w:t>
      </w:r>
    </w:p>
    <w:p w14:paraId="4B73D531" w14:textId="1F498E44" w:rsidR="00BE0CD1" w:rsidRPr="009659C9" w:rsidRDefault="00BE0CD1" w:rsidP="00747F96">
      <w:pPr>
        <w:spacing w:after="0" w:line="240" w:lineRule="auto"/>
        <w:jc w:val="both"/>
        <w:rPr>
          <w:rFonts w:ascii="Times New Roman" w:hAnsi="Times New Roman" w:cs="Times New Roman"/>
          <w:b/>
          <w:i/>
          <w:sz w:val="24"/>
          <w:szCs w:val="24"/>
        </w:rPr>
      </w:pPr>
      <w:r w:rsidRPr="009659C9">
        <w:rPr>
          <w:rFonts w:ascii="Times New Roman" w:hAnsi="Times New Roman" w:cs="Times New Roman"/>
          <w:b/>
          <w:i/>
          <w:sz w:val="24"/>
          <w:szCs w:val="24"/>
        </w:rPr>
        <w:t>(§ 24g ods. 3 a 4)</w:t>
      </w:r>
    </w:p>
    <w:p w14:paraId="04CDA9C8" w14:textId="12C4848D" w:rsidR="007E53BE" w:rsidRDefault="007E53BE" w:rsidP="00747F96">
      <w:pPr>
        <w:spacing w:after="0" w:line="240" w:lineRule="auto"/>
        <w:jc w:val="both"/>
        <w:rPr>
          <w:rFonts w:ascii="Times New Roman" w:hAnsi="Times New Roman" w:cs="Times New Roman"/>
          <w:sz w:val="24"/>
          <w:szCs w:val="24"/>
        </w:rPr>
      </w:pPr>
    </w:p>
    <w:p w14:paraId="080157C6" w14:textId="08E651E8" w:rsidR="00BE0CD1" w:rsidRPr="00A9183D" w:rsidRDefault="009659C9"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Predmetné ustanovenia predstavujú transpozíciu čl. 20 </w:t>
      </w:r>
      <w:r w:rsidR="00AC6808">
        <w:rPr>
          <w:rFonts w:ascii="Times New Roman" w:hAnsi="Times New Roman" w:cs="Times New Roman"/>
          <w:sz w:val="24"/>
          <w:szCs w:val="24"/>
        </w:rPr>
        <w:t>s</w:t>
      </w:r>
      <w:r>
        <w:rPr>
          <w:rFonts w:ascii="Times New Roman" w:hAnsi="Times New Roman" w:cs="Times New Roman"/>
          <w:sz w:val="24"/>
          <w:szCs w:val="24"/>
        </w:rPr>
        <w:t xml:space="preserve">mernice (EÚ) 2019/1937 v platnom </w:t>
      </w:r>
      <w:r w:rsidR="00AC6808">
        <w:rPr>
          <w:rFonts w:ascii="Times New Roman" w:hAnsi="Times New Roman" w:cs="Times New Roman"/>
          <w:sz w:val="24"/>
          <w:szCs w:val="24"/>
        </w:rPr>
        <w:t>znení, nakoľko sa i v zmysle návrhu zákona rozširuje ochrana o osoby, ktoré poskytovateľovi poskytli pomoc</w:t>
      </w:r>
      <w:r w:rsidR="00704514">
        <w:rPr>
          <w:rFonts w:ascii="Times New Roman" w:hAnsi="Times New Roman" w:cs="Times New Roman"/>
          <w:sz w:val="24"/>
          <w:szCs w:val="24"/>
        </w:rPr>
        <w:t xml:space="preserve"> a iné osoby, ktoré boli postihnuté v súvislosti s oznámením.</w:t>
      </w:r>
    </w:p>
    <w:p w14:paraId="1DD95FC3" w14:textId="77777777" w:rsidR="00BE0CD1" w:rsidRDefault="00BE0CD1" w:rsidP="009638E0">
      <w:pPr>
        <w:spacing w:after="0" w:line="240" w:lineRule="auto"/>
        <w:jc w:val="both"/>
        <w:rPr>
          <w:rFonts w:ascii="Times New Roman" w:hAnsi="Times New Roman" w:cs="Times New Roman"/>
          <w:b/>
          <w:sz w:val="24"/>
          <w:szCs w:val="24"/>
        </w:rPr>
      </w:pPr>
    </w:p>
    <w:p w14:paraId="60F71CAB" w14:textId="10FA8DA5" w:rsidR="009638E0" w:rsidRPr="008617AD" w:rsidRDefault="00197176" w:rsidP="009638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čl. </w:t>
      </w:r>
      <w:r w:rsidR="00850137">
        <w:rPr>
          <w:rFonts w:ascii="Times New Roman" w:hAnsi="Times New Roman" w:cs="Times New Roman"/>
          <w:b/>
          <w:sz w:val="24"/>
          <w:szCs w:val="24"/>
        </w:rPr>
        <w:t>III</w:t>
      </w:r>
    </w:p>
    <w:p w14:paraId="0313C31C" w14:textId="77777777" w:rsidR="0054577F" w:rsidRPr="00197176" w:rsidRDefault="0054577F" w:rsidP="009638E0">
      <w:pPr>
        <w:spacing w:after="0" w:line="240" w:lineRule="auto"/>
        <w:jc w:val="both"/>
        <w:rPr>
          <w:rFonts w:ascii="Times New Roman" w:hAnsi="Times New Roman" w:cs="Times New Roman"/>
          <w:sz w:val="24"/>
          <w:szCs w:val="24"/>
        </w:rPr>
      </w:pPr>
    </w:p>
    <w:p w14:paraId="2830CDBC" w14:textId="4F4188E5" w:rsidR="00CD1593" w:rsidRPr="00A3392F" w:rsidRDefault="00850137" w:rsidP="00CD1593">
      <w:pPr>
        <w:spacing w:after="0" w:line="240" w:lineRule="auto"/>
        <w:ind w:firstLine="708"/>
        <w:jc w:val="both"/>
        <w:rPr>
          <w:rFonts w:ascii="Times New Roman" w:hAnsi="Times New Roman" w:cs="Times New Roman"/>
          <w:sz w:val="28"/>
          <w:szCs w:val="24"/>
        </w:rPr>
      </w:pPr>
      <w:r w:rsidRPr="00197176">
        <w:rPr>
          <w:rFonts w:ascii="Times New Roman" w:eastAsia="Times New Roman" w:hAnsi="Times New Roman" w:cs="Times New Roman"/>
          <w:sz w:val="24"/>
          <w:szCs w:val="24"/>
          <w:lang w:eastAsia="sk-SK"/>
        </w:rPr>
        <w:t xml:space="preserve">Dátum účinnosti návrhu zákona sa navrhuje od 1. </w:t>
      </w:r>
      <w:r w:rsidR="00A9183D">
        <w:rPr>
          <w:rFonts w:ascii="Times New Roman" w:eastAsia="Times New Roman" w:hAnsi="Times New Roman" w:cs="Times New Roman"/>
          <w:sz w:val="24"/>
          <w:szCs w:val="24"/>
          <w:lang w:eastAsia="sk-SK"/>
        </w:rPr>
        <w:t>apríla</w:t>
      </w:r>
      <w:r w:rsidR="00704514">
        <w:rPr>
          <w:rFonts w:ascii="Times New Roman" w:eastAsia="Times New Roman" w:hAnsi="Times New Roman" w:cs="Times New Roman"/>
          <w:sz w:val="24"/>
          <w:szCs w:val="24"/>
          <w:lang w:eastAsia="sk-SK"/>
        </w:rPr>
        <w:t xml:space="preserve"> 2023</w:t>
      </w:r>
      <w:r w:rsidRPr="00197176">
        <w:rPr>
          <w:rFonts w:ascii="Times New Roman" w:eastAsia="Times New Roman" w:hAnsi="Times New Roman" w:cs="Times New Roman"/>
          <w:sz w:val="24"/>
          <w:szCs w:val="24"/>
          <w:lang w:eastAsia="sk-SK"/>
        </w:rPr>
        <w:t xml:space="preserve"> vzhľadom na predpokladanú dĺžku legislatívneho procesu, </w:t>
      </w:r>
      <w:r w:rsidR="00704514" w:rsidRPr="00184D2B">
        <w:rPr>
          <w:rFonts w:ascii="Times New Roman" w:hAnsi="Times New Roman"/>
          <w:sz w:val="24"/>
          <w:szCs w:val="24"/>
        </w:rPr>
        <w:t>okrem čl. I bodov 1</w:t>
      </w:r>
      <w:r w:rsidR="00704514">
        <w:rPr>
          <w:rFonts w:ascii="Times New Roman" w:hAnsi="Times New Roman"/>
          <w:sz w:val="24"/>
          <w:szCs w:val="24"/>
        </w:rPr>
        <w:t>9, 24, 25</w:t>
      </w:r>
      <w:r w:rsidR="00CE21C5">
        <w:rPr>
          <w:rFonts w:ascii="Times New Roman" w:hAnsi="Times New Roman"/>
          <w:sz w:val="24"/>
          <w:szCs w:val="24"/>
        </w:rPr>
        <w:t>, 43 a</w:t>
      </w:r>
      <w:r w:rsidR="00704514">
        <w:rPr>
          <w:rFonts w:ascii="Times New Roman" w:hAnsi="Times New Roman"/>
          <w:sz w:val="24"/>
          <w:szCs w:val="24"/>
        </w:rPr>
        <w:t xml:space="preserve"> 47 </w:t>
      </w:r>
      <w:r w:rsidRPr="00197176">
        <w:rPr>
          <w:rFonts w:ascii="Times New Roman" w:eastAsia="Times New Roman" w:hAnsi="Times New Roman" w:cs="Times New Roman"/>
          <w:sz w:val="24"/>
          <w:szCs w:val="24"/>
          <w:lang w:eastAsia="sk-SK"/>
        </w:rPr>
        <w:t>návrhu zákona, v prípade k</w:t>
      </w:r>
      <w:r w:rsidR="00A9183D">
        <w:rPr>
          <w:rFonts w:ascii="Times New Roman" w:eastAsia="Times New Roman" w:hAnsi="Times New Roman" w:cs="Times New Roman"/>
          <w:sz w:val="24"/>
          <w:szCs w:val="24"/>
          <w:lang w:eastAsia="sk-SK"/>
        </w:rPr>
        <w:t>torých sa navrhuje účinnosť od 1</w:t>
      </w:r>
      <w:r w:rsidRPr="00197176">
        <w:rPr>
          <w:rFonts w:ascii="Times New Roman" w:eastAsia="Times New Roman" w:hAnsi="Times New Roman" w:cs="Times New Roman"/>
          <w:sz w:val="24"/>
          <w:szCs w:val="24"/>
          <w:lang w:eastAsia="sk-SK"/>
        </w:rPr>
        <w:t xml:space="preserve">. </w:t>
      </w:r>
      <w:r w:rsidR="00A9183D">
        <w:rPr>
          <w:rFonts w:ascii="Times New Roman" w:eastAsia="Times New Roman" w:hAnsi="Times New Roman" w:cs="Times New Roman"/>
          <w:sz w:val="24"/>
          <w:szCs w:val="24"/>
          <w:lang w:eastAsia="sk-SK"/>
        </w:rPr>
        <w:t>septembra</w:t>
      </w:r>
      <w:r w:rsidR="00704514" w:rsidRPr="00197176">
        <w:rPr>
          <w:rFonts w:ascii="Times New Roman" w:eastAsia="Times New Roman" w:hAnsi="Times New Roman" w:cs="Times New Roman"/>
          <w:sz w:val="24"/>
          <w:szCs w:val="24"/>
          <w:lang w:eastAsia="sk-SK"/>
        </w:rPr>
        <w:t xml:space="preserve"> </w:t>
      </w:r>
      <w:r w:rsidRPr="00197176">
        <w:rPr>
          <w:rFonts w:ascii="Times New Roman" w:eastAsia="Times New Roman" w:hAnsi="Times New Roman" w:cs="Times New Roman"/>
          <w:sz w:val="24"/>
          <w:szCs w:val="24"/>
          <w:lang w:eastAsia="sk-SK"/>
        </w:rPr>
        <w:t xml:space="preserve">2023 a to z dôvodu </w:t>
      </w:r>
      <w:proofErr w:type="spellStart"/>
      <w:r w:rsidRPr="00197176">
        <w:rPr>
          <w:rFonts w:ascii="Times New Roman" w:eastAsia="Times New Roman" w:hAnsi="Times New Roman" w:cs="Times New Roman"/>
          <w:sz w:val="24"/>
          <w:szCs w:val="24"/>
          <w:lang w:eastAsia="sk-SK"/>
        </w:rPr>
        <w:t>legisvakancie</w:t>
      </w:r>
      <w:proofErr w:type="spellEnd"/>
      <w:r w:rsidRPr="00197176">
        <w:rPr>
          <w:rFonts w:ascii="Times New Roman" w:eastAsia="Times New Roman" w:hAnsi="Times New Roman" w:cs="Times New Roman"/>
          <w:sz w:val="24"/>
          <w:szCs w:val="24"/>
          <w:lang w:eastAsia="sk-SK"/>
        </w:rPr>
        <w:t xml:space="preserve">, nakoľko predkladateľ považuje za vhodné poskytnúť dostatočne dlhé obdobie pre oboznámenie sa adresátov práva s novou úpravou. </w:t>
      </w:r>
    </w:p>
    <w:p w14:paraId="7351607D" w14:textId="77777777" w:rsidR="009638E0" w:rsidRPr="008617AD" w:rsidRDefault="009638E0" w:rsidP="009638E0">
      <w:pPr>
        <w:spacing w:after="0" w:line="240" w:lineRule="auto"/>
        <w:rPr>
          <w:rFonts w:ascii="Times New Roman" w:hAnsi="Times New Roman" w:cs="Times New Roman"/>
          <w:sz w:val="24"/>
          <w:szCs w:val="24"/>
        </w:rPr>
      </w:pPr>
    </w:p>
    <w:p w14:paraId="13EF9F49" w14:textId="77777777" w:rsidR="00AE3151" w:rsidRPr="008617AD" w:rsidRDefault="00AE3151" w:rsidP="00EF3BFA">
      <w:pPr>
        <w:spacing w:after="0" w:line="240" w:lineRule="auto"/>
        <w:rPr>
          <w:rFonts w:ascii="Times New Roman" w:hAnsi="Times New Roman" w:cs="Times New Roman"/>
          <w:b/>
          <w:sz w:val="24"/>
          <w:szCs w:val="24"/>
        </w:rPr>
      </w:pPr>
    </w:p>
    <w:p w14:paraId="6ABE815E" w14:textId="77777777" w:rsidR="00AE3151" w:rsidRPr="008617AD" w:rsidRDefault="00AE3151" w:rsidP="00EF3BFA">
      <w:pPr>
        <w:spacing w:after="0" w:line="240" w:lineRule="auto"/>
        <w:rPr>
          <w:rFonts w:ascii="Times New Roman" w:hAnsi="Times New Roman" w:cs="Times New Roman"/>
          <w:b/>
          <w:sz w:val="24"/>
          <w:szCs w:val="24"/>
        </w:rPr>
      </w:pPr>
    </w:p>
    <w:p w14:paraId="2975E8CA" w14:textId="77777777" w:rsidR="00AA060E" w:rsidRPr="008617AD" w:rsidRDefault="00AA060E" w:rsidP="00D11F44">
      <w:pPr>
        <w:spacing w:after="0" w:line="240" w:lineRule="auto"/>
        <w:rPr>
          <w:rFonts w:ascii="Times New Roman" w:hAnsi="Times New Roman" w:cs="Times New Roman"/>
          <w:b/>
          <w:sz w:val="24"/>
          <w:szCs w:val="24"/>
        </w:rPr>
      </w:pPr>
    </w:p>
    <w:p w14:paraId="2B70479B" w14:textId="77777777" w:rsidR="00AA060E" w:rsidRPr="008617AD" w:rsidRDefault="00AA060E" w:rsidP="00D11F44">
      <w:pPr>
        <w:spacing w:after="0" w:line="240" w:lineRule="auto"/>
        <w:rPr>
          <w:rFonts w:ascii="Times New Roman" w:hAnsi="Times New Roman" w:cs="Times New Roman"/>
          <w:b/>
          <w:sz w:val="24"/>
          <w:szCs w:val="24"/>
        </w:rPr>
      </w:pPr>
    </w:p>
    <w:sectPr w:rsidR="00AA060E" w:rsidRPr="008617AD" w:rsidSect="002351F1">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64DA8" w14:textId="77777777" w:rsidR="00B5272E" w:rsidRDefault="00B5272E" w:rsidP="002D2F92">
      <w:pPr>
        <w:spacing w:after="0" w:line="240" w:lineRule="auto"/>
      </w:pPr>
      <w:r>
        <w:separator/>
      </w:r>
    </w:p>
  </w:endnote>
  <w:endnote w:type="continuationSeparator" w:id="0">
    <w:p w14:paraId="42186068" w14:textId="77777777" w:rsidR="00B5272E" w:rsidRDefault="00B5272E" w:rsidP="002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07896064"/>
      <w:docPartObj>
        <w:docPartGallery w:val="Page Numbers (Bottom of Page)"/>
        <w:docPartUnique/>
      </w:docPartObj>
    </w:sdtPr>
    <w:sdtEndPr/>
    <w:sdtContent>
      <w:p w14:paraId="0479572A" w14:textId="7C260938" w:rsidR="00B50D29" w:rsidRPr="002351F1" w:rsidRDefault="00B50D29">
        <w:pPr>
          <w:pStyle w:val="Pta"/>
          <w:jc w:val="center"/>
          <w:rPr>
            <w:rFonts w:ascii="Times New Roman" w:hAnsi="Times New Roman" w:cs="Times New Roman"/>
            <w:sz w:val="24"/>
            <w:szCs w:val="24"/>
          </w:rPr>
        </w:pPr>
        <w:r w:rsidRPr="002351F1">
          <w:rPr>
            <w:rFonts w:ascii="Times New Roman" w:hAnsi="Times New Roman" w:cs="Times New Roman"/>
            <w:sz w:val="24"/>
            <w:szCs w:val="24"/>
          </w:rPr>
          <w:fldChar w:fldCharType="begin"/>
        </w:r>
        <w:r w:rsidRPr="002351F1">
          <w:rPr>
            <w:rFonts w:ascii="Times New Roman" w:hAnsi="Times New Roman" w:cs="Times New Roman"/>
            <w:sz w:val="24"/>
            <w:szCs w:val="24"/>
          </w:rPr>
          <w:instrText>PAGE   \* MERGEFORMAT</w:instrText>
        </w:r>
        <w:r w:rsidRPr="002351F1">
          <w:rPr>
            <w:rFonts w:ascii="Times New Roman" w:hAnsi="Times New Roman" w:cs="Times New Roman"/>
            <w:sz w:val="24"/>
            <w:szCs w:val="24"/>
          </w:rPr>
          <w:fldChar w:fldCharType="separate"/>
        </w:r>
        <w:r w:rsidR="00000381">
          <w:rPr>
            <w:rFonts w:ascii="Times New Roman" w:hAnsi="Times New Roman" w:cs="Times New Roman"/>
            <w:noProof/>
            <w:sz w:val="24"/>
            <w:szCs w:val="24"/>
          </w:rPr>
          <w:t>11</w:t>
        </w:r>
        <w:r w:rsidRPr="002351F1">
          <w:rPr>
            <w:rFonts w:ascii="Times New Roman" w:hAnsi="Times New Roman" w:cs="Times New Roman"/>
            <w:sz w:val="24"/>
            <w:szCs w:val="24"/>
          </w:rPr>
          <w:fldChar w:fldCharType="end"/>
        </w:r>
      </w:p>
    </w:sdtContent>
  </w:sdt>
  <w:p w14:paraId="3E118B46" w14:textId="77777777" w:rsidR="00B50D29" w:rsidRDefault="00B50D2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232104"/>
      <w:docPartObj>
        <w:docPartGallery w:val="Page Numbers (Bottom of Page)"/>
        <w:docPartUnique/>
      </w:docPartObj>
    </w:sdtPr>
    <w:sdtEndPr/>
    <w:sdtContent>
      <w:p w14:paraId="4C543896" w14:textId="13BD91FF" w:rsidR="00B50D29" w:rsidRDefault="00B50D29">
        <w:pPr>
          <w:pStyle w:val="Pta"/>
          <w:jc w:val="center"/>
        </w:pPr>
        <w:r>
          <w:fldChar w:fldCharType="begin"/>
        </w:r>
        <w:r>
          <w:instrText>PAGE   \* MERGEFORMAT</w:instrText>
        </w:r>
        <w:r>
          <w:fldChar w:fldCharType="separate"/>
        </w:r>
        <w:r w:rsidR="00000381">
          <w:rPr>
            <w:noProof/>
          </w:rPr>
          <w:t>1</w:t>
        </w:r>
        <w:r>
          <w:rPr>
            <w:noProof/>
          </w:rPr>
          <w:fldChar w:fldCharType="end"/>
        </w:r>
      </w:p>
    </w:sdtContent>
  </w:sdt>
  <w:p w14:paraId="560BA523" w14:textId="77777777" w:rsidR="00B50D29" w:rsidRDefault="00B50D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17C4" w14:textId="77777777" w:rsidR="00B5272E" w:rsidRDefault="00B5272E" w:rsidP="002D2F92">
      <w:pPr>
        <w:spacing w:after="0" w:line="240" w:lineRule="auto"/>
      </w:pPr>
      <w:r>
        <w:separator/>
      </w:r>
    </w:p>
  </w:footnote>
  <w:footnote w:type="continuationSeparator" w:id="0">
    <w:p w14:paraId="2B026C5A" w14:textId="77777777" w:rsidR="00B5272E" w:rsidRDefault="00B5272E" w:rsidP="002D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3FB"/>
    <w:multiLevelType w:val="hybridMultilevel"/>
    <w:tmpl w:val="E41A7662"/>
    <w:lvl w:ilvl="0" w:tplc="D9644DC2">
      <w:start w:val="1"/>
      <w:numFmt w:val="upperRoman"/>
      <w:lvlText w:val="Čl. %1"/>
      <w:lvlJc w:val="center"/>
      <w:pPr>
        <w:ind w:left="5322" w:hanging="360"/>
      </w:pPr>
      <w:rPr>
        <w:rFonts w:cs="Times New Roman" w:hint="default"/>
      </w:rPr>
    </w:lvl>
    <w:lvl w:ilvl="1" w:tplc="CFC65AD4">
      <w:start w:val="1"/>
      <w:numFmt w:val="bullet"/>
      <w:lvlText w:val=""/>
      <w:lvlJc w:val="left"/>
      <w:pPr>
        <w:ind w:left="3283" w:hanging="360"/>
      </w:pPr>
      <w:rPr>
        <w:rFonts w:ascii="Symbol" w:hAnsi="Symbol" w:hint="default"/>
      </w:rPr>
    </w:lvl>
    <w:lvl w:ilvl="2" w:tplc="F834AAC0">
      <w:start w:val="1"/>
      <w:numFmt w:val="decimal"/>
      <w:lvlText w:val="(%3)"/>
      <w:lvlJc w:val="left"/>
      <w:pPr>
        <w:ind w:left="3638" w:hanging="660"/>
      </w:pPr>
      <w:rPr>
        <w:rFonts w:cs="Times New Roman" w:hint="default"/>
      </w:rPr>
    </w:lvl>
    <w:lvl w:ilvl="3" w:tplc="041B000F" w:tentative="1">
      <w:start w:val="1"/>
      <w:numFmt w:val="decimal"/>
      <w:lvlText w:val="%4."/>
      <w:lvlJc w:val="left"/>
      <w:pPr>
        <w:ind w:left="4723" w:hanging="360"/>
      </w:pPr>
      <w:rPr>
        <w:rFonts w:cs="Times New Roman"/>
      </w:rPr>
    </w:lvl>
    <w:lvl w:ilvl="4" w:tplc="041B0019" w:tentative="1">
      <w:start w:val="1"/>
      <w:numFmt w:val="lowerLetter"/>
      <w:lvlText w:val="%5."/>
      <w:lvlJc w:val="left"/>
      <w:pPr>
        <w:ind w:left="5443" w:hanging="360"/>
      </w:pPr>
      <w:rPr>
        <w:rFonts w:cs="Times New Roman"/>
      </w:rPr>
    </w:lvl>
    <w:lvl w:ilvl="5" w:tplc="041B001B" w:tentative="1">
      <w:start w:val="1"/>
      <w:numFmt w:val="lowerRoman"/>
      <w:lvlText w:val="%6."/>
      <w:lvlJc w:val="right"/>
      <w:pPr>
        <w:ind w:left="6163" w:hanging="180"/>
      </w:pPr>
      <w:rPr>
        <w:rFonts w:cs="Times New Roman"/>
      </w:rPr>
    </w:lvl>
    <w:lvl w:ilvl="6" w:tplc="041B000F" w:tentative="1">
      <w:start w:val="1"/>
      <w:numFmt w:val="decimal"/>
      <w:lvlText w:val="%7."/>
      <w:lvlJc w:val="left"/>
      <w:pPr>
        <w:ind w:left="6883" w:hanging="360"/>
      </w:pPr>
      <w:rPr>
        <w:rFonts w:cs="Times New Roman"/>
      </w:rPr>
    </w:lvl>
    <w:lvl w:ilvl="7" w:tplc="041B0019" w:tentative="1">
      <w:start w:val="1"/>
      <w:numFmt w:val="lowerLetter"/>
      <w:lvlText w:val="%8."/>
      <w:lvlJc w:val="left"/>
      <w:pPr>
        <w:ind w:left="7603" w:hanging="360"/>
      </w:pPr>
      <w:rPr>
        <w:rFonts w:cs="Times New Roman"/>
      </w:rPr>
    </w:lvl>
    <w:lvl w:ilvl="8" w:tplc="041B001B" w:tentative="1">
      <w:start w:val="1"/>
      <w:numFmt w:val="lowerRoman"/>
      <w:lvlText w:val="%9."/>
      <w:lvlJc w:val="right"/>
      <w:pPr>
        <w:ind w:left="8323" w:hanging="180"/>
      </w:pPr>
      <w:rPr>
        <w:rFonts w:cs="Times New Roman"/>
      </w:rPr>
    </w:lvl>
  </w:abstractNum>
  <w:abstractNum w:abstractNumId="1" w15:restartNumberingAfterBreak="0">
    <w:nsid w:val="3B3D51F4"/>
    <w:multiLevelType w:val="hybridMultilevel"/>
    <w:tmpl w:val="12EA0D22"/>
    <w:lvl w:ilvl="0" w:tplc="3AC4E89C">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50347DB"/>
    <w:multiLevelType w:val="hybridMultilevel"/>
    <w:tmpl w:val="E41481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18309F"/>
    <w:multiLevelType w:val="hybridMultilevel"/>
    <w:tmpl w:val="1CE62E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57649B7"/>
    <w:multiLevelType w:val="hybridMultilevel"/>
    <w:tmpl w:val="D8805AFC"/>
    <w:lvl w:ilvl="0" w:tplc="F836DFAE">
      <w:start w:val="1"/>
      <w:numFmt w:val="decimal"/>
      <w:lvlText w:val="(%1)"/>
      <w:lvlJc w:val="left"/>
      <w:pPr>
        <w:ind w:left="1095" w:hanging="375"/>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67EC0AF2"/>
    <w:multiLevelType w:val="hybridMultilevel"/>
    <w:tmpl w:val="BDFC0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E8"/>
    <w:rsid w:val="000002EE"/>
    <w:rsid w:val="00000381"/>
    <w:rsid w:val="00000A23"/>
    <w:rsid w:val="00010411"/>
    <w:rsid w:val="00011160"/>
    <w:rsid w:val="00016190"/>
    <w:rsid w:val="0001797E"/>
    <w:rsid w:val="00031A4A"/>
    <w:rsid w:val="00031C9B"/>
    <w:rsid w:val="00034D78"/>
    <w:rsid w:val="00037372"/>
    <w:rsid w:val="000475BE"/>
    <w:rsid w:val="000642D7"/>
    <w:rsid w:val="0007565D"/>
    <w:rsid w:val="00075906"/>
    <w:rsid w:val="00082791"/>
    <w:rsid w:val="0008315D"/>
    <w:rsid w:val="00085DCB"/>
    <w:rsid w:val="00090CC6"/>
    <w:rsid w:val="00091A43"/>
    <w:rsid w:val="00093BB6"/>
    <w:rsid w:val="00095D38"/>
    <w:rsid w:val="000A1CE0"/>
    <w:rsid w:val="000A4901"/>
    <w:rsid w:val="000A5433"/>
    <w:rsid w:val="000A74D9"/>
    <w:rsid w:val="000A7FD7"/>
    <w:rsid w:val="000B42BA"/>
    <w:rsid w:val="000B510F"/>
    <w:rsid w:val="000B5200"/>
    <w:rsid w:val="000C0195"/>
    <w:rsid w:val="000C1052"/>
    <w:rsid w:val="000C306F"/>
    <w:rsid w:val="000C4452"/>
    <w:rsid w:val="000D0D6E"/>
    <w:rsid w:val="000E792F"/>
    <w:rsid w:val="000E7DFC"/>
    <w:rsid w:val="000F264F"/>
    <w:rsid w:val="000F5A9A"/>
    <w:rsid w:val="001103D0"/>
    <w:rsid w:val="001106D0"/>
    <w:rsid w:val="00111019"/>
    <w:rsid w:val="00112140"/>
    <w:rsid w:val="00113995"/>
    <w:rsid w:val="00116278"/>
    <w:rsid w:val="00123D6B"/>
    <w:rsid w:val="00123F0B"/>
    <w:rsid w:val="00124147"/>
    <w:rsid w:val="00124FB5"/>
    <w:rsid w:val="001270BA"/>
    <w:rsid w:val="00127E78"/>
    <w:rsid w:val="0013018E"/>
    <w:rsid w:val="00130B49"/>
    <w:rsid w:val="00132711"/>
    <w:rsid w:val="001333EF"/>
    <w:rsid w:val="00133F32"/>
    <w:rsid w:val="00135B9D"/>
    <w:rsid w:val="0013689F"/>
    <w:rsid w:val="00137232"/>
    <w:rsid w:val="0014081B"/>
    <w:rsid w:val="00140EBA"/>
    <w:rsid w:val="001453FF"/>
    <w:rsid w:val="001456C0"/>
    <w:rsid w:val="0014603C"/>
    <w:rsid w:val="00147671"/>
    <w:rsid w:val="001505EB"/>
    <w:rsid w:val="0015651B"/>
    <w:rsid w:val="001610D7"/>
    <w:rsid w:val="001616CD"/>
    <w:rsid w:val="00161C28"/>
    <w:rsid w:val="00161D98"/>
    <w:rsid w:val="00167296"/>
    <w:rsid w:val="001675F8"/>
    <w:rsid w:val="00171AB3"/>
    <w:rsid w:val="00174653"/>
    <w:rsid w:val="00176767"/>
    <w:rsid w:val="00176A81"/>
    <w:rsid w:val="0018025F"/>
    <w:rsid w:val="00180527"/>
    <w:rsid w:val="0018463D"/>
    <w:rsid w:val="0018496F"/>
    <w:rsid w:val="00185174"/>
    <w:rsid w:val="00185379"/>
    <w:rsid w:val="0019287C"/>
    <w:rsid w:val="001944DB"/>
    <w:rsid w:val="001953E5"/>
    <w:rsid w:val="00197176"/>
    <w:rsid w:val="0019798C"/>
    <w:rsid w:val="001A2436"/>
    <w:rsid w:val="001A59D4"/>
    <w:rsid w:val="001A5DB3"/>
    <w:rsid w:val="001B0A60"/>
    <w:rsid w:val="001B0EC8"/>
    <w:rsid w:val="001B1C05"/>
    <w:rsid w:val="001B31AE"/>
    <w:rsid w:val="001C477F"/>
    <w:rsid w:val="001D2B64"/>
    <w:rsid w:val="001D2E1D"/>
    <w:rsid w:val="001D7D6A"/>
    <w:rsid w:val="001E2395"/>
    <w:rsid w:val="001E3925"/>
    <w:rsid w:val="001E57D6"/>
    <w:rsid w:val="001F0AE7"/>
    <w:rsid w:val="002052B3"/>
    <w:rsid w:val="00206097"/>
    <w:rsid w:val="0021274E"/>
    <w:rsid w:val="00214A3A"/>
    <w:rsid w:val="00217152"/>
    <w:rsid w:val="00220908"/>
    <w:rsid w:val="0022183B"/>
    <w:rsid w:val="002346FC"/>
    <w:rsid w:val="002351F1"/>
    <w:rsid w:val="00235A32"/>
    <w:rsid w:val="00237765"/>
    <w:rsid w:val="00241BCD"/>
    <w:rsid w:val="00242737"/>
    <w:rsid w:val="00242BC5"/>
    <w:rsid w:val="002430A4"/>
    <w:rsid w:val="00245CB0"/>
    <w:rsid w:val="00250723"/>
    <w:rsid w:val="00255616"/>
    <w:rsid w:val="00255EE3"/>
    <w:rsid w:val="00256995"/>
    <w:rsid w:val="00257537"/>
    <w:rsid w:val="00257D46"/>
    <w:rsid w:val="00267C7A"/>
    <w:rsid w:val="002718FF"/>
    <w:rsid w:val="002761D7"/>
    <w:rsid w:val="002827F5"/>
    <w:rsid w:val="00287943"/>
    <w:rsid w:val="00291C37"/>
    <w:rsid w:val="00294186"/>
    <w:rsid w:val="00294A72"/>
    <w:rsid w:val="00294C84"/>
    <w:rsid w:val="00295CE4"/>
    <w:rsid w:val="002A0D00"/>
    <w:rsid w:val="002B0D0B"/>
    <w:rsid w:val="002C3644"/>
    <w:rsid w:val="002C616F"/>
    <w:rsid w:val="002C7017"/>
    <w:rsid w:val="002D041C"/>
    <w:rsid w:val="002D12C1"/>
    <w:rsid w:val="002D2F92"/>
    <w:rsid w:val="002E0804"/>
    <w:rsid w:val="002E22F6"/>
    <w:rsid w:val="002E281E"/>
    <w:rsid w:val="002E76E4"/>
    <w:rsid w:val="002F15F4"/>
    <w:rsid w:val="002F2502"/>
    <w:rsid w:val="002F2C0A"/>
    <w:rsid w:val="002F389A"/>
    <w:rsid w:val="002F5F8C"/>
    <w:rsid w:val="002F7C9E"/>
    <w:rsid w:val="00301741"/>
    <w:rsid w:val="00305354"/>
    <w:rsid w:val="003059E8"/>
    <w:rsid w:val="003066D2"/>
    <w:rsid w:val="00307E3D"/>
    <w:rsid w:val="00310654"/>
    <w:rsid w:val="00316250"/>
    <w:rsid w:val="00324C8D"/>
    <w:rsid w:val="00326C04"/>
    <w:rsid w:val="00330460"/>
    <w:rsid w:val="003326B2"/>
    <w:rsid w:val="00334770"/>
    <w:rsid w:val="00334876"/>
    <w:rsid w:val="00340231"/>
    <w:rsid w:val="003414F3"/>
    <w:rsid w:val="003421E2"/>
    <w:rsid w:val="00343124"/>
    <w:rsid w:val="00353B94"/>
    <w:rsid w:val="00356FA0"/>
    <w:rsid w:val="003607AE"/>
    <w:rsid w:val="00362F9A"/>
    <w:rsid w:val="003660F7"/>
    <w:rsid w:val="00366566"/>
    <w:rsid w:val="00366ABC"/>
    <w:rsid w:val="00370152"/>
    <w:rsid w:val="00371AEC"/>
    <w:rsid w:val="003736CE"/>
    <w:rsid w:val="00374587"/>
    <w:rsid w:val="00381604"/>
    <w:rsid w:val="003839CC"/>
    <w:rsid w:val="00385BA8"/>
    <w:rsid w:val="00387C77"/>
    <w:rsid w:val="00390A62"/>
    <w:rsid w:val="00396473"/>
    <w:rsid w:val="003A002B"/>
    <w:rsid w:val="003A20E2"/>
    <w:rsid w:val="003A3D9C"/>
    <w:rsid w:val="003B16F9"/>
    <w:rsid w:val="003B1826"/>
    <w:rsid w:val="003B1B17"/>
    <w:rsid w:val="003B3EDE"/>
    <w:rsid w:val="003B3FC1"/>
    <w:rsid w:val="003D0BE2"/>
    <w:rsid w:val="003D1A34"/>
    <w:rsid w:val="003D3126"/>
    <w:rsid w:val="003E2C25"/>
    <w:rsid w:val="003F03E8"/>
    <w:rsid w:val="003F0404"/>
    <w:rsid w:val="003F043A"/>
    <w:rsid w:val="003F53F8"/>
    <w:rsid w:val="003F7126"/>
    <w:rsid w:val="00400C60"/>
    <w:rsid w:val="00405740"/>
    <w:rsid w:val="00405B16"/>
    <w:rsid w:val="004066C3"/>
    <w:rsid w:val="00421E6E"/>
    <w:rsid w:val="00423EC9"/>
    <w:rsid w:val="0042425B"/>
    <w:rsid w:val="00426CE6"/>
    <w:rsid w:val="00432722"/>
    <w:rsid w:val="00434E4C"/>
    <w:rsid w:val="00436011"/>
    <w:rsid w:val="004407CB"/>
    <w:rsid w:val="00440FE5"/>
    <w:rsid w:val="004420E8"/>
    <w:rsid w:val="00442F29"/>
    <w:rsid w:val="004435B6"/>
    <w:rsid w:val="0044578C"/>
    <w:rsid w:val="0045070F"/>
    <w:rsid w:val="004521D3"/>
    <w:rsid w:val="00455B40"/>
    <w:rsid w:val="004616ED"/>
    <w:rsid w:val="00463E08"/>
    <w:rsid w:val="00464602"/>
    <w:rsid w:val="004646A2"/>
    <w:rsid w:val="0046783F"/>
    <w:rsid w:val="00473999"/>
    <w:rsid w:val="00480329"/>
    <w:rsid w:val="004815C4"/>
    <w:rsid w:val="00483CFF"/>
    <w:rsid w:val="00486D17"/>
    <w:rsid w:val="004901D9"/>
    <w:rsid w:val="00490EAA"/>
    <w:rsid w:val="00490FBE"/>
    <w:rsid w:val="00496A44"/>
    <w:rsid w:val="004A003A"/>
    <w:rsid w:val="004A08BE"/>
    <w:rsid w:val="004A2890"/>
    <w:rsid w:val="004A4A73"/>
    <w:rsid w:val="004A5FE1"/>
    <w:rsid w:val="004A66F5"/>
    <w:rsid w:val="004A6CE6"/>
    <w:rsid w:val="004B4BDA"/>
    <w:rsid w:val="004B52F5"/>
    <w:rsid w:val="004B59C7"/>
    <w:rsid w:val="004B75CC"/>
    <w:rsid w:val="004C318E"/>
    <w:rsid w:val="004C3499"/>
    <w:rsid w:val="004C446C"/>
    <w:rsid w:val="004C4523"/>
    <w:rsid w:val="004D6F28"/>
    <w:rsid w:val="004E014D"/>
    <w:rsid w:val="004E65F9"/>
    <w:rsid w:val="004E6E24"/>
    <w:rsid w:val="004F0021"/>
    <w:rsid w:val="004F070F"/>
    <w:rsid w:val="004F61CD"/>
    <w:rsid w:val="00504E05"/>
    <w:rsid w:val="00505381"/>
    <w:rsid w:val="00506D22"/>
    <w:rsid w:val="00520BC7"/>
    <w:rsid w:val="00525111"/>
    <w:rsid w:val="005256F3"/>
    <w:rsid w:val="00525DD5"/>
    <w:rsid w:val="00531615"/>
    <w:rsid w:val="005335AA"/>
    <w:rsid w:val="00534115"/>
    <w:rsid w:val="005356DE"/>
    <w:rsid w:val="0053671D"/>
    <w:rsid w:val="0054566A"/>
    <w:rsid w:val="0054577F"/>
    <w:rsid w:val="005505CF"/>
    <w:rsid w:val="0055199C"/>
    <w:rsid w:val="005519E4"/>
    <w:rsid w:val="00551FED"/>
    <w:rsid w:val="00555419"/>
    <w:rsid w:val="00555941"/>
    <w:rsid w:val="00560ECF"/>
    <w:rsid w:val="005635C3"/>
    <w:rsid w:val="005639A7"/>
    <w:rsid w:val="00566006"/>
    <w:rsid w:val="00567BC5"/>
    <w:rsid w:val="00571947"/>
    <w:rsid w:val="005719BB"/>
    <w:rsid w:val="00573C43"/>
    <w:rsid w:val="00574712"/>
    <w:rsid w:val="005748DA"/>
    <w:rsid w:val="00575559"/>
    <w:rsid w:val="00581327"/>
    <w:rsid w:val="00581335"/>
    <w:rsid w:val="00582926"/>
    <w:rsid w:val="0058309A"/>
    <w:rsid w:val="00585E2F"/>
    <w:rsid w:val="005877DB"/>
    <w:rsid w:val="00594542"/>
    <w:rsid w:val="005A153A"/>
    <w:rsid w:val="005A2388"/>
    <w:rsid w:val="005A4A56"/>
    <w:rsid w:val="005A64FB"/>
    <w:rsid w:val="005A7946"/>
    <w:rsid w:val="005B49F3"/>
    <w:rsid w:val="005B4AA7"/>
    <w:rsid w:val="005B628B"/>
    <w:rsid w:val="005C060D"/>
    <w:rsid w:val="005C0E8A"/>
    <w:rsid w:val="005C100E"/>
    <w:rsid w:val="005C2497"/>
    <w:rsid w:val="005C506A"/>
    <w:rsid w:val="005C736B"/>
    <w:rsid w:val="005C7D9B"/>
    <w:rsid w:val="005D1108"/>
    <w:rsid w:val="005F072D"/>
    <w:rsid w:val="005F32C8"/>
    <w:rsid w:val="005F3E7B"/>
    <w:rsid w:val="005F4F17"/>
    <w:rsid w:val="005F6D8D"/>
    <w:rsid w:val="00600D1F"/>
    <w:rsid w:val="00602E2F"/>
    <w:rsid w:val="00603507"/>
    <w:rsid w:val="00603838"/>
    <w:rsid w:val="00606038"/>
    <w:rsid w:val="006076DF"/>
    <w:rsid w:val="0061053F"/>
    <w:rsid w:val="00611205"/>
    <w:rsid w:val="00622EF1"/>
    <w:rsid w:val="00624F31"/>
    <w:rsid w:val="00624F51"/>
    <w:rsid w:val="006267CE"/>
    <w:rsid w:val="0062711F"/>
    <w:rsid w:val="00633196"/>
    <w:rsid w:val="0063485E"/>
    <w:rsid w:val="006408B7"/>
    <w:rsid w:val="00643C9B"/>
    <w:rsid w:val="00643EDE"/>
    <w:rsid w:val="00646FF1"/>
    <w:rsid w:val="006500BD"/>
    <w:rsid w:val="006569C5"/>
    <w:rsid w:val="0066083B"/>
    <w:rsid w:val="006647B3"/>
    <w:rsid w:val="00667652"/>
    <w:rsid w:val="00673703"/>
    <w:rsid w:val="00673BB3"/>
    <w:rsid w:val="00676736"/>
    <w:rsid w:val="00677CCA"/>
    <w:rsid w:val="00677E09"/>
    <w:rsid w:val="0068541E"/>
    <w:rsid w:val="006872E6"/>
    <w:rsid w:val="00692443"/>
    <w:rsid w:val="00696D22"/>
    <w:rsid w:val="006A0A74"/>
    <w:rsid w:val="006A1457"/>
    <w:rsid w:val="006A3000"/>
    <w:rsid w:val="006A59AD"/>
    <w:rsid w:val="006A6056"/>
    <w:rsid w:val="006B1A45"/>
    <w:rsid w:val="006B6F3B"/>
    <w:rsid w:val="006B74B9"/>
    <w:rsid w:val="006C0EC0"/>
    <w:rsid w:val="006C2B40"/>
    <w:rsid w:val="006C4A64"/>
    <w:rsid w:val="006C4FB1"/>
    <w:rsid w:val="006D0DC3"/>
    <w:rsid w:val="006D70B8"/>
    <w:rsid w:val="006E555F"/>
    <w:rsid w:val="006E7FD9"/>
    <w:rsid w:val="006F3456"/>
    <w:rsid w:val="006F52A6"/>
    <w:rsid w:val="006F57BD"/>
    <w:rsid w:val="00704514"/>
    <w:rsid w:val="007049A2"/>
    <w:rsid w:val="00707184"/>
    <w:rsid w:val="0071372F"/>
    <w:rsid w:val="0071388D"/>
    <w:rsid w:val="00714D82"/>
    <w:rsid w:val="00715E3E"/>
    <w:rsid w:val="00722123"/>
    <w:rsid w:val="0072430B"/>
    <w:rsid w:val="007243CF"/>
    <w:rsid w:val="00725B8B"/>
    <w:rsid w:val="00725DC0"/>
    <w:rsid w:val="00727AE8"/>
    <w:rsid w:val="00730D61"/>
    <w:rsid w:val="00733E2A"/>
    <w:rsid w:val="00736602"/>
    <w:rsid w:val="007373F3"/>
    <w:rsid w:val="007409B7"/>
    <w:rsid w:val="00745211"/>
    <w:rsid w:val="00747F96"/>
    <w:rsid w:val="0075161A"/>
    <w:rsid w:val="007574B2"/>
    <w:rsid w:val="007600D9"/>
    <w:rsid w:val="007640D8"/>
    <w:rsid w:val="00765B22"/>
    <w:rsid w:val="00767288"/>
    <w:rsid w:val="007710B8"/>
    <w:rsid w:val="00771FB7"/>
    <w:rsid w:val="007729B0"/>
    <w:rsid w:val="00781882"/>
    <w:rsid w:val="0078497D"/>
    <w:rsid w:val="00785ED1"/>
    <w:rsid w:val="007976C7"/>
    <w:rsid w:val="007A53F7"/>
    <w:rsid w:val="007A7155"/>
    <w:rsid w:val="007A74C1"/>
    <w:rsid w:val="007A7920"/>
    <w:rsid w:val="007B0317"/>
    <w:rsid w:val="007C0AD5"/>
    <w:rsid w:val="007C20CD"/>
    <w:rsid w:val="007C5FF9"/>
    <w:rsid w:val="007D0D69"/>
    <w:rsid w:val="007D205E"/>
    <w:rsid w:val="007D2E06"/>
    <w:rsid w:val="007D5E82"/>
    <w:rsid w:val="007D6265"/>
    <w:rsid w:val="007D64CA"/>
    <w:rsid w:val="007D7D55"/>
    <w:rsid w:val="007E4100"/>
    <w:rsid w:val="007E4159"/>
    <w:rsid w:val="007E53BE"/>
    <w:rsid w:val="007E5DBE"/>
    <w:rsid w:val="007E6632"/>
    <w:rsid w:val="007E6C16"/>
    <w:rsid w:val="007E6EE7"/>
    <w:rsid w:val="007F12DA"/>
    <w:rsid w:val="007F265E"/>
    <w:rsid w:val="007F5849"/>
    <w:rsid w:val="008002BF"/>
    <w:rsid w:val="0080595C"/>
    <w:rsid w:val="008063B8"/>
    <w:rsid w:val="00806F47"/>
    <w:rsid w:val="008073CD"/>
    <w:rsid w:val="00811037"/>
    <w:rsid w:val="0081128E"/>
    <w:rsid w:val="0081311C"/>
    <w:rsid w:val="00821D07"/>
    <w:rsid w:val="00822ED9"/>
    <w:rsid w:val="008239F4"/>
    <w:rsid w:val="00824134"/>
    <w:rsid w:val="00825A19"/>
    <w:rsid w:val="008336BE"/>
    <w:rsid w:val="00844072"/>
    <w:rsid w:val="0084566C"/>
    <w:rsid w:val="008476C2"/>
    <w:rsid w:val="00847F50"/>
    <w:rsid w:val="00847F51"/>
    <w:rsid w:val="00850137"/>
    <w:rsid w:val="00854E8D"/>
    <w:rsid w:val="008617AD"/>
    <w:rsid w:val="00861C64"/>
    <w:rsid w:val="00861DB7"/>
    <w:rsid w:val="00862F42"/>
    <w:rsid w:val="0087308E"/>
    <w:rsid w:val="0087356F"/>
    <w:rsid w:val="00876068"/>
    <w:rsid w:val="00876D6E"/>
    <w:rsid w:val="00880EAA"/>
    <w:rsid w:val="0088157A"/>
    <w:rsid w:val="00881741"/>
    <w:rsid w:val="008827A6"/>
    <w:rsid w:val="00882F5C"/>
    <w:rsid w:val="00883BC2"/>
    <w:rsid w:val="008879DA"/>
    <w:rsid w:val="00890644"/>
    <w:rsid w:val="00893C76"/>
    <w:rsid w:val="00896F60"/>
    <w:rsid w:val="008A112C"/>
    <w:rsid w:val="008B1F00"/>
    <w:rsid w:val="008B2A0C"/>
    <w:rsid w:val="008B2BE3"/>
    <w:rsid w:val="008B3964"/>
    <w:rsid w:val="008B5B6E"/>
    <w:rsid w:val="008C065C"/>
    <w:rsid w:val="008C30CB"/>
    <w:rsid w:val="008C6A95"/>
    <w:rsid w:val="008D06C7"/>
    <w:rsid w:val="008D23E6"/>
    <w:rsid w:val="008D563E"/>
    <w:rsid w:val="008D63AC"/>
    <w:rsid w:val="008E1E8B"/>
    <w:rsid w:val="008E29AB"/>
    <w:rsid w:val="008E29CF"/>
    <w:rsid w:val="008E4358"/>
    <w:rsid w:val="008F5ECA"/>
    <w:rsid w:val="0090067E"/>
    <w:rsid w:val="00902579"/>
    <w:rsid w:val="00903E39"/>
    <w:rsid w:val="00906D2B"/>
    <w:rsid w:val="0090742D"/>
    <w:rsid w:val="0091208D"/>
    <w:rsid w:val="0091757E"/>
    <w:rsid w:val="00917F2A"/>
    <w:rsid w:val="00925965"/>
    <w:rsid w:val="00931CE2"/>
    <w:rsid w:val="00937550"/>
    <w:rsid w:val="009414C1"/>
    <w:rsid w:val="009416CD"/>
    <w:rsid w:val="00950830"/>
    <w:rsid w:val="00950835"/>
    <w:rsid w:val="009527AF"/>
    <w:rsid w:val="00953850"/>
    <w:rsid w:val="009638E0"/>
    <w:rsid w:val="009659C9"/>
    <w:rsid w:val="0097259C"/>
    <w:rsid w:val="00985F7A"/>
    <w:rsid w:val="0098633E"/>
    <w:rsid w:val="00991D47"/>
    <w:rsid w:val="009A078F"/>
    <w:rsid w:val="009A1A9D"/>
    <w:rsid w:val="009B42AD"/>
    <w:rsid w:val="009B4336"/>
    <w:rsid w:val="009B741D"/>
    <w:rsid w:val="009C0FB5"/>
    <w:rsid w:val="009C2309"/>
    <w:rsid w:val="009C276B"/>
    <w:rsid w:val="009C37E1"/>
    <w:rsid w:val="009C3FBA"/>
    <w:rsid w:val="009C5F33"/>
    <w:rsid w:val="009D2EF9"/>
    <w:rsid w:val="009D6A94"/>
    <w:rsid w:val="009E21F7"/>
    <w:rsid w:val="009E30CD"/>
    <w:rsid w:val="009E4835"/>
    <w:rsid w:val="009E6248"/>
    <w:rsid w:val="009E62ED"/>
    <w:rsid w:val="009F1E3E"/>
    <w:rsid w:val="009F410A"/>
    <w:rsid w:val="009F4A0E"/>
    <w:rsid w:val="009F4C07"/>
    <w:rsid w:val="00A01635"/>
    <w:rsid w:val="00A0748F"/>
    <w:rsid w:val="00A11F8A"/>
    <w:rsid w:val="00A14F75"/>
    <w:rsid w:val="00A15623"/>
    <w:rsid w:val="00A17FA1"/>
    <w:rsid w:val="00A20071"/>
    <w:rsid w:val="00A22878"/>
    <w:rsid w:val="00A23A8C"/>
    <w:rsid w:val="00A24865"/>
    <w:rsid w:val="00A24B04"/>
    <w:rsid w:val="00A30E0B"/>
    <w:rsid w:val="00A32E6C"/>
    <w:rsid w:val="00A3392F"/>
    <w:rsid w:val="00A35DB5"/>
    <w:rsid w:val="00A47BF4"/>
    <w:rsid w:val="00A50242"/>
    <w:rsid w:val="00A51537"/>
    <w:rsid w:val="00A5607C"/>
    <w:rsid w:val="00A61BC3"/>
    <w:rsid w:val="00A6685C"/>
    <w:rsid w:val="00A67CF3"/>
    <w:rsid w:val="00A726D1"/>
    <w:rsid w:val="00A8025E"/>
    <w:rsid w:val="00A811CA"/>
    <w:rsid w:val="00A81AE3"/>
    <w:rsid w:val="00A82411"/>
    <w:rsid w:val="00A8318A"/>
    <w:rsid w:val="00A911B4"/>
    <w:rsid w:val="00A9183D"/>
    <w:rsid w:val="00A91957"/>
    <w:rsid w:val="00A92C70"/>
    <w:rsid w:val="00A96134"/>
    <w:rsid w:val="00A961BE"/>
    <w:rsid w:val="00A97416"/>
    <w:rsid w:val="00A97EBC"/>
    <w:rsid w:val="00AA060E"/>
    <w:rsid w:val="00AB09AD"/>
    <w:rsid w:val="00AB296A"/>
    <w:rsid w:val="00AB699E"/>
    <w:rsid w:val="00AC02F4"/>
    <w:rsid w:val="00AC02FD"/>
    <w:rsid w:val="00AC6808"/>
    <w:rsid w:val="00AC7C20"/>
    <w:rsid w:val="00AD1A47"/>
    <w:rsid w:val="00AD3716"/>
    <w:rsid w:val="00AD5E61"/>
    <w:rsid w:val="00AD652D"/>
    <w:rsid w:val="00AE3151"/>
    <w:rsid w:val="00AE4BDA"/>
    <w:rsid w:val="00AF0FCA"/>
    <w:rsid w:val="00AF3D00"/>
    <w:rsid w:val="00AF4984"/>
    <w:rsid w:val="00AF534F"/>
    <w:rsid w:val="00B02CC8"/>
    <w:rsid w:val="00B0411C"/>
    <w:rsid w:val="00B106A6"/>
    <w:rsid w:val="00B14681"/>
    <w:rsid w:val="00B147B4"/>
    <w:rsid w:val="00B17F71"/>
    <w:rsid w:val="00B20C8C"/>
    <w:rsid w:val="00B20DC9"/>
    <w:rsid w:val="00B25446"/>
    <w:rsid w:val="00B30FBC"/>
    <w:rsid w:val="00B350D9"/>
    <w:rsid w:val="00B40778"/>
    <w:rsid w:val="00B41CF6"/>
    <w:rsid w:val="00B429EB"/>
    <w:rsid w:val="00B42FDF"/>
    <w:rsid w:val="00B437F5"/>
    <w:rsid w:val="00B4414B"/>
    <w:rsid w:val="00B470C0"/>
    <w:rsid w:val="00B509E7"/>
    <w:rsid w:val="00B50D29"/>
    <w:rsid w:val="00B5272E"/>
    <w:rsid w:val="00B6416E"/>
    <w:rsid w:val="00B6460D"/>
    <w:rsid w:val="00B652BB"/>
    <w:rsid w:val="00B659D2"/>
    <w:rsid w:val="00B7197C"/>
    <w:rsid w:val="00B74150"/>
    <w:rsid w:val="00B74E72"/>
    <w:rsid w:val="00B76246"/>
    <w:rsid w:val="00B84803"/>
    <w:rsid w:val="00B849AE"/>
    <w:rsid w:val="00B8596E"/>
    <w:rsid w:val="00B85AD8"/>
    <w:rsid w:val="00B87BD2"/>
    <w:rsid w:val="00B87DE0"/>
    <w:rsid w:val="00B906AF"/>
    <w:rsid w:val="00B92C60"/>
    <w:rsid w:val="00B958B1"/>
    <w:rsid w:val="00BA373C"/>
    <w:rsid w:val="00BA3CA4"/>
    <w:rsid w:val="00BA62A7"/>
    <w:rsid w:val="00BB0FA5"/>
    <w:rsid w:val="00BB1DA0"/>
    <w:rsid w:val="00BB2CAA"/>
    <w:rsid w:val="00BB4EBF"/>
    <w:rsid w:val="00BC70B3"/>
    <w:rsid w:val="00BD4EFE"/>
    <w:rsid w:val="00BD621E"/>
    <w:rsid w:val="00BD655F"/>
    <w:rsid w:val="00BD70E8"/>
    <w:rsid w:val="00BE0CD1"/>
    <w:rsid w:val="00BE0D57"/>
    <w:rsid w:val="00BE1846"/>
    <w:rsid w:val="00BE1A2F"/>
    <w:rsid w:val="00BE58DF"/>
    <w:rsid w:val="00BE7566"/>
    <w:rsid w:val="00BF2594"/>
    <w:rsid w:val="00BF5CF2"/>
    <w:rsid w:val="00BF6571"/>
    <w:rsid w:val="00BF6C1F"/>
    <w:rsid w:val="00C0264B"/>
    <w:rsid w:val="00C02EF6"/>
    <w:rsid w:val="00C03174"/>
    <w:rsid w:val="00C04DF2"/>
    <w:rsid w:val="00C05BB3"/>
    <w:rsid w:val="00C069CB"/>
    <w:rsid w:val="00C14312"/>
    <w:rsid w:val="00C156FA"/>
    <w:rsid w:val="00C1680C"/>
    <w:rsid w:val="00C21630"/>
    <w:rsid w:val="00C240D2"/>
    <w:rsid w:val="00C24252"/>
    <w:rsid w:val="00C27226"/>
    <w:rsid w:val="00C31706"/>
    <w:rsid w:val="00C37CE4"/>
    <w:rsid w:val="00C436B0"/>
    <w:rsid w:val="00C47A87"/>
    <w:rsid w:val="00C510C4"/>
    <w:rsid w:val="00C5325C"/>
    <w:rsid w:val="00C632F8"/>
    <w:rsid w:val="00C6751D"/>
    <w:rsid w:val="00C726DF"/>
    <w:rsid w:val="00C745CA"/>
    <w:rsid w:val="00C91D11"/>
    <w:rsid w:val="00C91DDC"/>
    <w:rsid w:val="00C94185"/>
    <w:rsid w:val="00C97B7C"/>
    <w:rsid w:val="00C97C56"/>
    <w:rsid w:val="00CA1A77"/>
    <w:rsid w:val="00CA40B5"/>
    <w:rsid w:val="00CA47EA"/>
    <w:rsid w:val="00CA4EC9"/>
    <w:rsid w:val="00CA4F4C"/>
    <w:rsid w:val="00CA53FA"/>
    <w:rsid w:val="00CA5CC9"/>
    <w:rsid w:val="00CA7FAB"/>
    <w:rsid w:val="00CB5281"/>
    <w:rsid w:val="00CB5404"/>
    <w:rsid w:val="00CB6041"/>
    <w:rsid w:val="00CB6FB3"/>
    <w:rsid w:val="00CC114B"/>
    <w:rsid w:val="00CC2157"/>
    <w:rsid w:val="00CC2840"/>
    <w:rsid w:val="00CD1593"/>
    <w:rsid w:val="00CD2172"/>
    <w:rsid w:val="00CE21C5"/>
    <w:rsid w:val="00CE52CF"/>
    <w:rsid w:val="00CE5EC0"/>
    <w:rsid w:val="00CF2E41"/>
    <w:rsid w:val="00CF764C"/>
    <w:rsid w:val="00D00829"/>
    <w:rsid w:val="00D01B0C"/>
    <w:rsid w:val="00D02146"/>
    <w:rsid w:val="00D04CC6"/>
    <w:rsid w:val="00D10CB4"/>
    <w:rsid w:val="00D11F44"/>
    <w:rsid w:val="00D15714"/>
    <w:rsid w:val="00D166C2"/>
    <w:rsid w:val="00D167DA"/>
    <w:rsid w:val="00D20C4F"/>
    <w:rsid w:val="00D20D2C"/>
    <w:rsid w:val="00D22F51"/>
    <w:rsid w:val="00D3362A"/>
    <w:rsid w:val="00D35C2E"/>
    <w:rsid w:val="00D362B1"/>
    <w:rsid w:val="00D41BFA"/>
    <w:rsid w:val="00D45169"/>
    <w:rsid w:val="00D53512"/>
    <w:rsid w:val="00D537BF"/>
    <w:rsid w:val="00D56202"/>
    <w:rsid w:val="00D6301D"/>
    <w:rsid w:val="00D63281"/>
    <w:rsid w:val="00D6352B"/>
    <w:rsid w:val="00D67793"/>
    <w:rsid w:val="00D72754"/>
    <w:rsid w:val="00D80DB7"/>
    <w:rsid w:val="00D81369"/>
    <w:rsid w:val="00D81CBB"/>
    <w:rsid w:val="00D83B2E"/>
    <w:rsid w:val="00D87132"/>
    <w:rsid w:val="00D90D8D"/>
    <w:rsid w:val="00DA0D9F"/>
    <w:rsid w:val="00DA1745"/>
    <w:rsid w:val="00DB78C0"/>
    <w:rsid w:val="00DC0511"/>
    <w:rsid w:val="00DC1A1F"/>
    <w:rsid w:val="00DC2CAB"/>
    <w:rsid w:val="00DC5C22"/>
    <w:rsid w:val="00DC775D"/>
    <w:rsid w:val="00DD11BC"/>
    <w:rsid w:val="00DD11C2"/>
    <w:rsid w:val="00DD3317"/>
    <w:rsid w:val="00DD4C7E"/>
    <w:rsid w:val="00DD5382"/>
    <w:rsid w:val="00DE4DAF"/>
    <w:rsid w:val="00DE6142"/>
    <w:rsid w:val="00DE7B36"/>
    <w:rsid w:val="00DE7D8A"/>
    <w:rsid w:val="00DE7EE8"/>
    <w:rsid w:val="00DF0D5A"/>
    <w:rsid w:val="00DF16ED"/>
    <w:rsid w:val="00DF1CD9"/>
    <w:rsid w:val="00DF3F17"/>
    <w:rsid w:val="00DF44D2"/>
    <w:rsid w:val="00DF7D6E"/>
    <w:rsid w:val="00E0437D"/>
    <w:rsid w:val="00E07F52"/>
    <w:rsid w:val="00E167CB"/>
    <w:rsid w:val="00E238BB"/>
    <w:rsid w:val="00E32CEE"/>
    <w:rsid w:val="00E34187"/>
    <w:rsid w:val="00E42310"/>
    <w:rsid w:val="00E460D1"/>
    <w:rsid w:val="00E64AE7"/>
    <w:rsid w:val="00E66B24"/>
    <w:rsid w:val="00E73A07"/>
    <w:rsid w:val="00E750F5"/>
    <w:rsid w:val="00E85C54"/>
    <w:rsid w:val="00E874CE"/>
    <w:rsid w:val="00E95E3C"/>
    <w:rsid w:val="00E969D3"/>
    <w:rsid w:val="00EA0C7A"/>
    <w:rsid w:val="00EA4B08"/>
    <w:rsid w:val="00EA523A"/>
    <w:rsid w:val="00EB0C0D"/>
    <w:rsid w:val="00EB16D6"/>
    <w:rsid w:val="00EB7054"/>
    <w:rsid w:val="00EC0D4F"/>
    <w:rsid w:val="00EC6343"/>
    <w:rsid w:val="00EC6499"/>
    <w:rsid w:val="00EC755C"/>
    <w:rsid w:val="00ED0F5C"/>
    <w:rsid w:val="00ED236C"/>
    <w:rsid w:val="00ED2E60"/>
    <w:rsid w:val="00ED44F9"/>
    <w:rsid w:val="00ED47A3"/>
    <w:rsid w:val="00ED5260"/>
    <w:rsid w:val="00ED5B75"/>
    <w:rsid w:val="00ED647A"/>
    <w:rsid w:val="00EE0974"/>
    <w:rsid w:val="00EF0C64"/>
    <w:rsid w:val="00EF2240"/>
    <w:rsid w:val="00EF3B55"/>
    <w:rsid w:val="00EF3BFA"/>
    <w:rsid w:val="00EF7809"/>
    <w:rsid w:val="00F07429"/>
    <w:rsid w:val="00F106F3"/>
    <w:rsid w:val="00F10F88"/>
    <w:rsid w:val="00F11D62"/>
    <w:rsid w:val="00F161D5"/>
    <w:rsid w:val="00F22CF5"/>
    <w:rsid w:val="00F23BAA"/>
    <w:rsid w:val="00F3295C"/>
    <w:rsid w:val="00F37977"/>
    <w:rsid w:val="00F4230A"/>
    <w:rsid w:val="00F42571"/>
    <w:rsid w:val="00F44EAF"/>
    <w:rsid w:val="00F5091D"/>
    <w:rsid w:val="00F51133"/>
    <w:rsid w:val="00F54342"/>
    <w:rsid w:val="00F5521F"/>
    <w:rsid w:val="00F62A89"/>
    <w:rsid w:val="00F62FF9"/>
    <w:rsid w:val="00F63B4E"/>
    <w:rsid w:val="00F7071B"/>
    <w:rsid w:val="00F7090C"/>
    <w:rsid w:val="00F70AE9"/>
    <w:rsid w:val="00F7181D"/>
    <w:rsid w:val="00F721F8"/>
    <w:rsid w:val="00F723B7"/>
    <w:rsid w:val="00F73821"/>
    <w:rsid w:val="00F76C4C"/>
    <w:rsid w:val="00F80F86"/>
    <w:rsid w:val="00F8349C"/>
    <w:rsid w:val="00F8372A"/>
    <w:rsid w:val="00F85C54"/>
    <w:rsid w:val="00F8678C"/>
    <w:rsid w:val="00F87C3B"/>
    <w:rsid w:val="00F905DD"/>
    <w:rsid w:val="00F916E3"/>
    <w:rsid w:val="00F92344"/>
    <w:rsid w:val="00F9304D"/>
    <w:rsid w:val="00FA2C8B"/>
    <w:rsid w:val="00FB4405"/>
    <w:rsid w:val="00FB4C03"/>
    <w:rsid w:val="00FC4EAF"/>
    <w:rsid w:val="00FC531E"/>
    <w:rsid w:val="00FC6B5D"/>
    <w:rsid w:val="00FC7D7A"/>
    <w:rsid w:val="00FD4EA9"/>
    <w:rsid w:val="00FE1B1F"/>
    <w:rsid w:val="00FE64F3"/>
    <w:rsid w:val="00FF04F2"/>
    <w:rsid w:val="00FF0D36"/>
    <w:rsid w:val="00FF68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017D"/>
  <w15:docId w15:val="{1167E4B0-A0AE-4A75-97BB-847F51B1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69C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D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638E0"/>
    <w:pPr>
      <w:spacing w:after="160" w:line="259" w:lineRule="auto"/>
      <w:ind w:left="720"/>
      <w:contextualSpacing/>
    </w:pPr>
    <w:rPr>
      <w:rFonts w:asciiTheme="minorHAnsi" w:hAnsiTheme="minorHAnsi"/>
      <w:szCs w:val="22"/>
    </w:rPr>
  </w:style>
  <w:style w:type="paragraph" w:styleId="Textkomentra">
    <w:name w:val="annotation text"/>
    <w:basedOn w:val="Normlny"/>
    <w:link w:val="TextkomentraChar"/>
    <w:uiPriority w:val="99"/>
    <w:unhideWhenUsed/>
    <w:rsid w:val="009638E0"/>
    <w:pPr>
      <w:spacing w:after="160" w:line="240" w:lineRule="auto"/>
    </w:pPr>
    <w:rPr>
      <w:rFonts w:asciiTheme="minorHAnsi" w:hAnsiTheme="minorHAnsi"/>
      <w:sz w:val="20"/>
      <w:szCs w:val="20"/>
    </w:rPr>
  </w:style>
  <w:style w:type="character" w:customStyle="1" w:styleId="TextkomentraChar">
    <w:name w:val="Text komentára Char"/>
    <w:basedOn w:val="Predvolenpsmoodseku"/>
    <w:link w:val="Textkomentra"/>
    <w:uiPriority w:val="99"/>
    <w:rsid w:val="009638E0"/>
    <w:rPr>
      <w:rFonts w:asciiTheme="minorHAnsi" w:hAnsiTheme="minorHAnsi"/>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9638E0"/>
    <w:rPr>
      <w:rFonts w:asciiTheme="minorHAnsi" w:hAnsiTheme="minorHAnsi"/>
      <w:szCs w:val="22"/>
    </w:rPr>
  </w:style>
  <w:style w:type="paragraph" w:styleId="Hlavika">
    <w:name w:val="header"/>
    <w:basedOn w:val="Normlny"/>
    <w:link w:val="Hlavik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HlavikaChar">
    <w:name w:val="Hlavička Char"/>
    <w:basedOn w:val="Predvolenpsmoodseku"/>
    <w:link w:val="Hlavika"/>
    <w:uiPriority w:val="99"/>
    <w:rsid w:val="009638E0"/>
    <w:rPr>
      <w:rFonts w:asciiTheme="minorHAnsi" w:hAnsiTheme="minorHAnsi"/>
      <w:szCs w:val="22"/>
    </w:rPr>
  </w:style>
  <w:style w:type="paragraph" w:styleId="Pta">
    <w:name w:val="footer"/>
    <w:basedOn w:val="Normlny"/>
    <w:link w:val="Pt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PtaChar">
    <w:name w:val="Päta Char"/>
    <w:basedOn w:val="Predvolenpsmoodseku"/>
    <w:link w:val="Pta"/>
    <w:uiPriority w:val="99"/>
    <w:rsid w:val="009638E0"/>
    <w:rPr>
      <w:rFonts w:asciiTheme="minorHAnsi" w:hAnsiTheme="minorHAnsi"/>
      <w:szCs w:val="22"/>
    </w:rPr>
  </w:style>
  <w:style w:type="paragraph" w:styleId="Textbubliny">
    <w:name w:val="Balloon Text"/>
    <w:basedOn w:val="Normlny"/>
    <w:link w:val="TextbublinyChar"/>
    <w:uiPriority w:val="99"/>
    <w:semiHidden/>
    <w:unhideWhenUsed/>
    <w:rsid w:val="009638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38E0"/>
    <w:rPr>
      <w:rFonts w:ascii="Segoe UI" w:hAnsi="Segoe UI" w:cs="Segoe UI"/>
      <w:sz w:val="18"/>
      <w:szCs w:val="18"/>
    </w:rPr>
  </w:style>
  <w:style w:type="character" w:styleId="Odkaznakomentr">
    <w:name w:val="annotation reference"/>
    <w:basedOn w:val="Predvolenpsmoodseku"/>
    <w:uiPriority w:val="99"/>
    <w:semiHidden/>
    <w:unhideWhenUsed/>
    <w:rsid w:val="009638E0"/>
    <w:rPr>
      <w:sz w:val="16"/>
      <w:szCs w:val="16"/>
    </w:rPr>
  </w:style>
  <w:style w:type="paragraph" w:styleId="Predmetkomentra">
    <w:name w:val="annotation subject"/>
    <w:basedOn w:val="Textkomentra"/>
    <w:next w:val="Textkomentra"/>
    <w:link w:val="PredmetkomentraChar"/>
    <w:uiPriority w:val="99"/>
    <w:semiHidden/>
    <w:unhideWhenUsed/>
    <w:rsid w:val="009638E0"/>
    <w:rPr>
      <w:b/>
      <w:bCs/>
    </w:rPr>
  </w:style>
  <w:style w:type="character" w:customStyle="1" w:styleId="PredmetkomentraChar">
    <w:name w:val="Predmet komentára Char"/>
    <w:basedOn w:val="TextkomentraChar"/>
    <w:link w:val="Predmetkomentra"/>
    <w:uiPriority w:val="99"/>
    <w:semiHidden/>
    <w:rsid w:val="009638E0"/>
    <w:rPr>
      <w:rFonts w:asciiTheme="minorHAnsi" w:hAnsiTheme="minorHAnsi"/>
      <w:b/>
      <w:bCs/>
      <w:sz w:val="20"/>
      <w:szCs w:val="20"/>
    </w:rPr>
  </w:style>
  <w:style w:type="character" w:styleId="Hypertextovprepojenie">
    <w:name w:val="Hyperlink"/>
    <w:basedOn w:val="Predvolenpsmoodseku"/>
    <w:uiPriority w:val="99"/>
    <w:semiHidden/>
    <w:unhideWhenUsed/>
    <w:rsid w:val="009638E0"/>
    <w:rPr>
      <w:color w:val="0000FF"/>
      <w:u w:val="single"/>
    </w:rPr>
  </w:style>
  <w:style w:type="character" w:styleId="PouitHypertextovPrepojenie">
    <w:name w:val="FollowedHyperlink"/>
    <w:basedOn w:val="Predvolenpsmoodseku"/>
    <w:uiPriority w:val="99"/>
    <w:semiHidden/>
    <w:unhideWhenUsed/>
    <w:rsid w:val="009638E0"/>
    <w:rPr>
      <w:color w:val="800080" w:themeColor="followedHyperlink"/>
      <w:u w:val="single"/>
    </w:rPr>
  </w:style>
  <w:style w:type="character" w:customStyle="1" w:styleId="awspan1">
    <w:name w:val="awspan1"/>
    <w:basedOn w:val="Predvolenpsmoodseku"/>
    <w:rsid w:val="00E66B24"/>
    <w:rPr>
      <w:color w:val="000000"/>
      <w:sz w:val="24"/>
      <w:szCs w:val="24"/>
    </w:rPr>
  </w:style>
  <w:style w:type="paragraph" w:styleId="Bezriadkovania">
    <w:name w:val="No Spacing"/>
    <w:uiPriority w:val="1"/>
    <w:qFormat/>
    <w:rsid w:val="00A91957"/>
    <w:pPr>
      <w:spacing w:after="0" w:line="240" w:lineRule="auto"/>
    </w:pPr>
    <w:rPr>
      <w:rFonts w:ascii="Calibri" w:eastAsia="Times New Roman" w:hAnsi="Calibri" w:cs="Times New Roman"/>
      <w:szCs w:val="22"/>
    </w:rPr>
  </w:style>
  <w:style w:type="character" w:customStyle="1" w:styleId="awspan">
    <w:name w:val="awspan"/>
    <w:basedOn w:val="Predvolenpsmoodseku"/>
    <w:rsid w:val="00D167DA"/>
  </w:style>
  <w:style w:type="paragraph" w:styleId="Normlnywebov">
    <w:name w:val="Normal (Web)"/>
    <w:basedOn w:val="Normlny"/>
    <w:uiPriority w:val="99"/>
    <w:unhideWhenUsed/>
    <w:rsid w:val="0090257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595">
      <w:bodyDiv w:val="1"/>
      <w:marLeft w:val="0"/>
      <w:marRight w:val="0"/>
      <w:marTop w:val="0"/>
      <w:marBottom w:val="0"/>
      <w:divBdr>
        <w:top w:val="none" w:sz="0" w:space="0" w:color="auto"/>
        <w:left w:val="none" w:sz="0" w:space="0" w:color="auto"/>
        <w:bottom w:val="none" w:sz="0" w:space="0" w:color="auto"/>
        <w:right w:val="none" w:sz="0" w:space="0" w:color="auto"/>
      </w:divBdr>
      <w:divsChild>
        <w:div w:id="325911045">
          <w:marLeft w:val="0"/>
          <w:marRight w:val="0"/>
          <w:marTop w:val="0"/>
          <w:marBottom w:val="0"/>
          <w:divBdr>
            <w:top w:val="none" w:sz="0" w:space="0" w:color="auto"/>
            <w:left w:val="none" w:sz="0" w:space="0" w:color="auto"/>
            <w:bottom w:val="none" w:sz="0" w:space="0" w:color="auto"/>
            <w:right w:val="none" w:sz="0" w:space="0" w:color="auto"/>
          </w:divBdr>
          <w:divsChild>
            <w:div w:id="176430827">
              <w:marLeft w:val="0"/>
              <w:marRight w:val="0"/>
              <w:marTop w:val="0"/>
              <w:marBottom w:val="0"/>
              <w:divBdr>
                <w:top w:val="none" w:sz="0" w:space="0" w:color="auto"/>
                <w:left w:val="none" w:sz="0" w:space="0" w:color="auto"/>
                <w:bottom w:val="none" w:sz="0" w:space="0" w:color="auto"/>
                <w:right w:val="none" w:sz="0" w:space="0" w:color="auto"/>
              </w:divBdr>
            </w:div>
            <w:div w:id="398021368">
              <w:marLeft w:val="0"/>
              <w:marRight w:val="0"/>
              <w:marTop w:val="0"/>
              <w:marBottom w:val="0"/>
              <w:divBdr>
                <w:top w:val="none" w:sz="0" w:space="0" w:color="auto"/>
                <w:left w:val="none" w:sz="0" w:space="0" w:color="auto"/>
                <w:bottom w:val="none" w:sz="0" w:space="0" w:color="auto"/>
                <w:right w:val="none" w:sz="0" w:space="0" w:color="auto"/>
              </w:divBdr>
            </w:div>
            <w:div w:id="484054953">
              <w:marLeft w:val="0"/>
              <w:marRight w:val="0"/>
              <w:marTop w:val="0"/>
              <w:marBottom w:val="0"/>
              <w:divBdr>
                <w:top w:val="none" w:sz="0" w:space="0" w:color="auto"/>
                <w:left w:val="none" w:sz="0" w:space="0" w:color="auto"/>
                <w:bottom w:val="none" w:sz="0" w:space="0" w:color="auto"/>
                <w:right w:val="none" w:sz="0" w:space="0" w:color="auto"/>
              </w:divBdr>
            </w:div>
            <w:div w:id="550073040">
              <w:marLeft w:val="0"/>
              <w:marRight w:val="0"/>
              <w:marTop w:val="0"/>
              <w:marBottom w:val="0"/>
              <w:divBdr>
                <w:top w:val="none" w:sz="0" w:space="0" w:color="auto"/>
                <w:left w:val="none" w:sz="0" w:space="0" w:color="auto"/>
                <w:bottom w:val="none" w:sz="0" w:space="0" w:color="auto"/>
                <w:right w:val="none" w:sz="0" w:space="0" w:color="auto"/>
              </w:divBdr>
            </w:div>
            <w:div w:id="913320058">
              <w:marLeft w:val="0"/>
              <w:marRight w:val="0"/>
              <w:marTop w:val="0"/>
              <w:marBottom w:val="0"/>
              <w:divBdr>
                <w:top w:val="none" w:sz="0" w:space="0" w:color="auto"/>
                <w:left w:val="none" w:sz="0" w:space="0" w:color="auto"/>
                <w:bottom w:val="none" w:sz="0" w:space="0" w:color="auto"/>
                <w:right w:val="none" w:sz="0" w:space="0" w:color="auto"/>
              </w:divBdr>
            </w:div>
            <w:div w:id="1087654607">
              <w:marLeft w:val="0"/>
              <w:marRight w:val="0"/>
              <w:marTop w:val="0"/>
              <w:marBottom w:val="0"/>
              <w:divBdr>
                <w:top w:val="none" w:sz="0" w:space="0" w:color="auto"/>
                <w:left w:val="none" w:sz="0" w:space="0" w:color="auto"/>
                <w:bottom w:val="none" w:sz="0" w:space="0" w:color="auto"/>
                <w:right w:val="none" w:sz="0" w:space="0" w:color="auto"/>
              </w:divBdr>
            </w:div>
            <w:div w:id="1681155252">
              <w:marLeft w:val="0"/>
              <w:marRight w:val="0"/>
              <w:marTop w:val="0"/>
              <w:marBottom w:val="0"/>
              <w:divBdr>
                <w:top w:val="none" w:sz="0" w:space="0" w:color="auto"/>
                <w:left w:val="none" w:sz="0" w:space="0" w:color="auto"/>
                <w:bottom w:val="none" w:sz="0" w:space="0" w:color="auto"/>
                <w:right w:val="none" w:sz="0" w:space="0" w:color="auto"/>
              </w:divBdr>
            </w:div>
            <w:div w:id="1681658249">
              <w:marLeft w:val="0"/>
              <w:marRight w:val="0"/>
              <w:marTop w:val="0"/>
              <w:marBottom w:val="0"/>
              <w:divBdr>
                <w:top w:val="none" w:sz="0" w:space="0" w:color="auto"/>
                <w:left w:val="none" w:sz="0" w:space="0" w:color="auto"/>
                <w:bottom w:val="none" w:sz="0" w:space="0" w:color="auto"/>
                <w:right w:val="none" w:sz="0" w:space="0" w:color="auto"/>
              </w:divBdr>
            </w:div>
            <w:div w:id="1748914205">
              <w:marLeft w:val="0"/>
              <w:marRight w:val="0"/>
              <w:marTop w:val="0"/>
              <w:marBottom w:val="0"/>
              <w:divBdr>
                <w:top w:val="none" w:sz="0" w:space="0" w:color="auto"/>
                <w:left w:val="none" w:sz="0" w:space="0" w:color="auto"/>
                <w:bottom w:val="none" w:sz="0" w:space="0" w:color="auto"/>
                <w:right w:val="none" w:sz="0" w:space="0" w:color="auto"/>
              </w:divBdr>
            </w:div>
            <w:div w:id="2113351592">
              <w:marLeft w:val="0"/>
              <w:marRight w:val="0"/>
              <w:marTop w:val="0"/>
              <w:marBottom w:val="0"/>
              <w:divBdr>
                <w:top w:val="none" w:sz="0" w:space="0" w:color="auto"/>
                <w:left w:val="none" w:sz="0" w:space="0" w:color="auto"/>
                <w:bottom w:val="none" w:sz="0" w:space="0" w:color="auto"/>
                <w:right w:val="none" w:sz="0" w:space="0" w:color="auto"/>
              </w:divBdr>
            </w:div>
          </w:divsChild>
        </w:div>
        <w:div w:id="1096942042">
          <w:marLeft w:val="0"/>
          <w:marRight w:val="0"/>
          <w:marTop w:val="0"/>
          <w:marBottom w:val="0"/>
          <w:divBdr>
            <w:top w:val="none" w:sz="0" w:space="0" w:color="auto"/>
            <w:left w:val="none" w:sz="0" w:space="0" w:color="auto"/>
            <w:bottom w:val="none" w:sz="0" w:space="0" w:color="auto"/>
            <w:right w:val="none" w:sz="0" w:space="0" w:color="auto"/>
          </w:divBdr>
        </w:div>
      </w:divsChild>
    </w:div>
    <w:div w:id="448622576">
      <w:bodyDiv w:val="1"/>
      <w:marLeft w:val="0"/>
      <w:marRight w:val="0"/>
      <w:marTop w:val="0"/>
      <w:marBottom w:val="0"/>
      <w:divBdr>
        <w:top w:val="none" w:sz="0" w:space="0" w:color="auto"/>
        <w:left w:val="none" w:sz="0" w:space="0" w:color="auto"/>
        <w:bottom w:val="none" w:sz="0" w:space="0" w:color="auto"/>
        <w:right w:val="none" w:sz="0" w:space="0" w:color="auto"/>
      </w:divBdr>
    </w:div>
    <w:div w:id="645092764">
      <w:bodyDiv w:val="1"/>
      <w:marLeft w:val="0"/>
      <w:marRight w:val="0"/>
      <w:marTop w:val="0"/>
      <w:marBottom w:val="0"/>
      <w:divBdr>
        <w:top w:val="none" w:sz="0" w:space="0" w:color="auto"/>
        <w:left w:val="none" w:sz="0" w:space="0" w:color="auto"/>
        <w:bottom w:val="none" w:sz="0" w:space="0" w:color="auto"/>
        <w:right w:val="none" w:sz="0" w:space="0" w:color="auto"/>
      </w:divBdr>
    </w:div>
    <w:div w:id="1110011362">
      <w:bodyDiv w:val="1"/>
      <w:marLeft w:val="0"/>
      <w:marRight w:val="0"/>
      <w:marTop w:val="0"/>
      <w:marBottom w:val="0"/>
      <w:divBdr>
        <w:top w:val="none" w:sz="0" w:space="0" w:color="auto"/>
        <w:left w:val="none" w:sz="0" w:space="0" w:color="auto"/>
        <w:bottom w:val="none" w:sz="0" w:space="0" w:color="auto"/>
        <w:right w:val="none" w:sz="0" w:space="0" w:color="auto"/>
      </w:divBdr>
    </w:div>
    <w:div w:id="1112867323">
      <w:bodyDiv w:val="1"/>
      <w:marLeft w:val="0"/>
      <w:marRight w:val="0"/>
      <w:marTop w:val="0"/>
      <w:marBottom w:val="0"/>
      <w:divBdr>
        <w:top w:val="none" w:sz="0" w:space="0" w:color="auto"/>
        <w:left w:val="none" w:sz="0" w:space="0" w:color="auto"/>
        <w:bottom w:val="none" w:sz="0" w:space="0" w:color="auto"/>
        <w:right w:val="none" w:sz="0" w:space="0" w:color="auto"/>
      </w:divBdr>
      <w:divsChild>
        <w:div w:id="661129148">
          <w:marLeft w:val="0"/>
          <w:marRight w:val="0"/>
          <w:marTop w:val="0"/>
          <w:marBottom w:val="0"/>
          <w:divBdr>
            <w:top w:val="none" w:sz="0" w:space="0" w:color="auto"/>
            <w:left w:val="none" w:sz="0" w:space="0" w:color="auto"/>
            <w:bottom w:val="none" w:sz="0" w:space="0" w:color="auto"/>
            <w:right w:val="none" w:sz="0" w:space="0" w:color="auto"/>
          </w:divBdr>
        </w:div>
      </w:divsChild>
    </w:div>
    <w:div w:id="1347442084">
      <w:bodyDiv w:val="1"/>
      <w:marLeft w:val="0"/>
      <w:marRight w:val="0"/>
      <w:marTop w:val="0"/>
      <w:marBottom w:val="0"/>
      <w:divBdr>
        <w:top w:val="none" w:sz="0" w:space="0" w:color="auto"/>
        <w:left w:val="none" w:sz="0" w:space="0" w:color="auto"/>
        <w:bottom w:val="none" w:sz="0" w:space="0" w:color="auto"/>
        <w:right w:val="none" w:sz="0" w:space="0" w:color="auto"/>
      </w:divBdr>
    </w:div>
    <w:div w:id="15521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Pašková, Martina"/>
    <f:field ref="objcreatedat" par="" text="12.8.2022 12:29:16"/>
    <f:field ref="objchangedby" par="" text="Administrator, System"/>
    <f:field ref="objmodifiedat" par="" text="12.8.2022 12:29: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F6B7844-4E97-4D85-936E-9B97049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6069</Words>
  <Characters>34596</Characters>
  <Application>Microsoft Office Word</Application>
  <DocSecurity>0</DocSecurity>
  <Lines>288</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Maria Alena</dc:creator>
  <cp:keywords/>
  <dc:description/>
  <cp:lastModifiedBy>Hasáková Maria Alena</cp:lastModifiedBy>
  <cp:revision>5</cp:revision>
  <cp:lastPrinted>2022-08-12T08:43:00Z</cp:lastPrinted>
  <dcterms:created xsi:type="dcterms:W3CDTF">2022-11-02T15:25:00Z</dcterms:created>
  <dcterms:modified xsi:type="dcterms:W3CDTF">2022-11-02T15:29:00Z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Martina Pašková</vt:lpwstr>
  </property>
  <property fmtid="{D5CDD505-2E9C-101B-9397-08002B2CF9AE}" pid="12" name="FSC#SKEDITIONSLOVLEX@103.510:zodppredkladatel">
    <vt:lpwstr>Július Jakab</vt:lpwstr>
  </property>
  <property fmtid="{D5CDD505-2E9C-101B-9397-08002B2CF9AE}" pid="13" name="FSC#SKEDITIONSLOVLEX@103.510:dalsipredkladatel">
    <vt:lpwstr/>
  </property>
  <property fmtid="{D5CDD505-2E9C-101B-9397-08002B2CF9AE}" pid="14" name="FSC#SKEDITIONSLOVLEX@103.510:nazovpredpis">
    <vt:lpwstr>, ktorým sa mení a dopĺňa zákon č. 54/2019 Z. z. o ochrane oznamovateľov protispoločenskej činnosti a o zmene a doplnení niektorých zákonov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2019/1937 z 23. októbra 2019 o ochrane osôb, ktoré nahlasujú porušenia práva Únie v platnom znení</vt:lpwstr>
  </property>
  <property fmtid="{D5CDD505-2E9C-101B-9397-08002B2CF9AE}" pid="23" name="FSC#SKEDITIONSLOVLEX@103.510:plnynazovpredpis">
    <vt:lpwstr> Zákon, ktorým sa mení a dopĺňa zákon č. 54/2019 Z. z. o ochrane oznamovateľov protispoločenskej činnosti a o zmene a doplnení niektorých zákonov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4230/2022/LPO</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LP/2022/481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vedúci Úradu vlády Slovenskej republiky</vt:lpwstr>
  </property>
  <property fmtid="{D5CDD505-2E9C-101B-9397-08002B2CF9AE}" pid="142" name="FSC#SKEDITIONSLOVLEX@103.510:funkciaZodpPredAkuzativ">
    <vt:lpwstr>vedúceho Úradu vlády Slovenskej republiky</vt:lpwstr>
  </property>
  <property fmtid="{D5CDD505-2E9C-101B-9397-08002B2CF9AE}" pid="143" name="FSC#SKEDITIONSLOVLEX@103.510:funkciaZodpPredDativ">
    <vt:lpwstr>vedúcemu Úradu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Július Jakab_x000d_
vedúci Úradu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&amp;nbsp;</vt:lpwstr>
  </property>
  <property fmtid="{D5CDD505-2E9C-101B-9397-08002B2CF9AE}" pid="150" name="FSC#SKEDITIONSLOVLEX@103.510:vytvorenedna">
    <vt:lpwstr>12. 8. 2022</vt:lpwstr>
  </property>
  <property fmtid="{D5CDD505-2E9C-101B-9397-08002B2CF9AE}" pid="151" name="FSC#COOSYSTEM@1.1:Container">
    <vt:lpwstr>COO.2145.1000.3.5130229</vt:lpwstr>
  </property>
  <property fmtid="{D5CDD505-2E9C-101B-9397-08002B2CF9AE}" pid="152" name="FSC#FSCFOLIO@1.1001:docpropproject">
    <vt:lpwstr/>
  </property>
</Properties>
</file>