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BC" w:rsidRPr="00C56F78" w:rsidRDefault="000F1DBC" w:rsidP="000F1DBC">
      <w:pPr>
        <w:spacing w:after="0" w:line="240" w:lineRule="auto"/>
        <w:jc w:val="center"/>
        <w:rPr>
          <w:rFonts w:ascii="Times New Roman" w:hAnsi="Times New Roman"/>
          <w:b/>
          <w:bCs/>
          <w:caps/>
          <w:spacing w:val="30"/>
          <w:sz w:val="24"/>
          <w:szCs w:val="24"/>
        </w:rPr>
      </w:pPr>
      <w:r w:rsidRPr="00C56F78">
        <w:rPr>
          <w:rFonts w:ascii="Times New Roman" w:hAnsi="Times New Roman"/>
          <w:b/>
          <w:bCs/>
          <w:caps/>
          <w:spacing w:val="30"/>
          <w:sz w:val="24"/>
          <w:szCs w:val="24"/>
        </w:rPr>
        <w:t>Doložka zlučiteľnosti</w:t>
      </w:r>
    </w:p>
    <w:p w:rsidR="000F1DBC" w:rsidRPr="00C56F78" w:rsidRDefault="000F1DBC" w:rsidP="000F1DBC">
      <w:pPr>
        <w:spacing w:after="0" w:line="240" w:lineRule="auto"/>
        <w:jc w:val="center"/>
        <w:rPr>
          <w:rFonts w:ascii="Times New Roman" w:hAnsi="Times New Roman" w:cs="Verdana"/>
          <w:b/>
          <w:bCs/>
          <w:sz w:val="24"/>
          <w:szCs w:val="24"/>
        </w:rPr>
      </w:pPr>
      <w:r w:rsidRPr="00C56F78">
        <w:rPr>
          <w:rFonts w:ascii="Times New Roman" w:hAnsi="Times New Roman"/>
          <w:b/>
          <w:bCs/>
          <w:sz w:val="24"/>
          <w:szCs w:val="24"/>
        </w:rPr>
        <w:t>návrhu zákona s právom Európskej únie</w:t>
      </w:r>
      <w:r w:rsidRPr="00C56F78">
        <w:rPr>
          <w:rFonts w:ascii="Times New Roman" w:hAnsi="Times New Roman" w:cs="Verdana"/>
          <w:b/>
          <w:bCs/>
          <w:sz w:val="24"/>
          <w:szCs w:val="24"/>
        </w:rPr>
        <w:t> </w:t>
      </w:r>
    </w:p>
    <w:p w:rsidR="000F1DBC" w:rsidRPr="00C56F78" w:rsidRDefault="000F1DBC" w:rsidP="000F1DBC">
      <w:pPr>
        <w:spacing w:after="0" w:line="240" w:lineRule="auto"/>
        <w:rPr>
          <w:rFonts w:ascii="Times New Roman" w:hAnsi="Times New Roman" w:cs="Verdana"/>
          <w:sz w:val="24"/>
          <w:szCs w:val="24"/>
        </w:rPr>
      </w:pPr>
    </w:p>
    <w:p w:rsidR="000F1DBC" w:rsidRPr="00C56F78" w:rsidRDefault="000F1DBC" w:rsidP="000F1DBC">
      <w:pPr>
        <w:spacing w:after="0" w:line="240" w:lineRule="auto"/>
        <w:rPr>
          <w:rFonts w:ascii="Times New Roman" w:hAnsi="Times New Roman" w:cs="Verdana"/>
          <w:sz w:val="24"/>
          <w:szCs w:val="24"/>
        </w:rPr>
      </w:pPr>
    </w:p>
    <w:p w:rsidR="000F1DBC" w:rsidRPr="00C56F78" w:rsidRDefault="000F1DBC" w:rsidP="000F1DBC">
      <w:pPr>
        <w:spacing w:after="0" w:line="240" w:lineRule="auto"/>
        <w:ind w:left="360" w:hanging="360"/>
        <w:rPr>
          <w:rFonts w:ascii="Times New Roman" w:hAnsi="Times New Roman" w:cs="Verdana"/>
          <w:b/>
          <w:bCs/>
          <w:sz w:val="24"/>
          <w:szCs w:val="24"/>
        </w:rPr>
      </w:pPr>
      <w:r w:rsidRPr="00C56F78">
        <w:rPr>
          <w:rFonts w:ascii="Times New Roman" w:hAnsi="Times New Roman"/>
          <w:b/>
          <w:bCs/>
          <w:sz w:val="24"/>
          <w:szCs w:val="24"/>
        </w:rPr>
        <w:t>1.</w:t>
      </w:r>
      <w:r w:rsidRPr="00C56F78">
        <w:rPr>
          <w:rFonts w:ascii="Times New Roman" w:hAnsi="Times New Roman"/>
          <w:b/>
          <w:bCs/>
          <w:sz w:val="24"/>
          <w:szCs w:val="24"/>
        </w:rPr>
        <w:tab/>
        <w:t>Navrhovateľ zákona:</w:t>
      </w:r>
      <w:r w:rsidRPr="00C56F78">
        <w:rPr>
          <w:rFonts w:ascii="Times New Roman" w:hAnsi="Times New Roman"/>
          <w:sz w:val="24"/>
          <w:szCs w:val="24"/>
        </w:rPr>
        <w:t xml:space="preserve"> </w:t>
      </w:r>
      <w:r w:rsidRPr="00C56F78">
        <w:rPr>
          <w:rFonts w:ascii="Times New Roman" w:hAnsi="Times New Roman"/>
          <w:sz w:val="24"/>
          <w:szCs w:val="24"/>
          <w:lang w:eastAsia="sk-SK"/>
        </w:rPr>
        <w:t>Ministerstvo vnútra Slovenskej republiky</w:t>
      </w:r>
    </w:p>
    <w:p w:rsidR="000F1DBC" w:rsidRPr="00C56F78" w:rsidRDefault="000F1DBC" w:rsidP="000F1DBC">
      <w:pPr>
        <w:tabs>
          <w:tab w:val="left" w:pos="360"/>
        </w:tabs>
        <w:spacing w:after="0" w:line="240" w:lineRule="auto"/>
        <w:ind w:left="360"/>
        <w:rPr>
          <w:rFonts w:ascii="Times New Roman" w:hAnsi="Times New Roman"/>
          <w:sz w:val="24"/>
          <w:szCs w:val="24"/>
        </w:rPr>
      </w:pPr>
      <w:r w:rsidRPr="00C56F78">
        <w:rPr>
          <w:rFonts w:ascii="Times New Roman" w:hAnsi="Times New Roman"/>
          <w:sz w:val="24"/>
          <w:szCs w:val="24"/>
        </w:rPr>
        <w:t xml:space="preserve"> </w:t>
      </w:r>
    </w:p>
    <w:p w:rsidR="000F1DBC" w:rsidRPr="00F473EC" w:rsidRDefault="000F1DBC" w:rsidP="000F1DBC">
      <w:pPr>
        <w:spacing w:after="0" w:line="240" w:lineRule="auto"/>
        <w:ind w:left="360" w:hanging="360"/>
        <w:jc w:val="both"/>
        <w:rPr>
          <w:rFonts w:ascii="Times New Roman" w:hAnsi="Times New Roman"/>
        </w:rPr>
      </w:pPr>
      <w:r w:rsidRPr="00C56F78">
        <w:rPr>
          <w:rFonts w:ascii="Times New Roman" w:hAnsi="Times New Roman"/>
          <w:b/>
          <w:bCs/>
          <w:sz w:val="24"/>
          <w:szCs w:val="24"/>
        </w:rPr>
        <w:t>2.</w:t>
      </w:r>
      <w:r w:rsidRPr="00C56F78">
        <w:rPr>
          <w:rFonts w:ascii="Times New Roman" w:hAnsi="Times New Roman"/>
          <w:b/>
          <w:bCs/>
          <w:sz w:val="24"/>
          <w:szCs w:val="24"/>
        </w:rPr>
        <w:tab/>
        <w:t>Názov návrhu právneho predpisu</w:t>
      </w:r>
      <w:r w:rsidRPr="00D4245B">
        <w:rPr>
          <w:rFonts w:ascii="Times New Roman" w:hAnsi="Times New Roman"/>
          <w:b/>
          <w:bCs/>
          <w:sz w:val="24"/>
          <w:szCs w:val="24"/>
        </w:rPr>
        <w:t>:</w:t>
      </w:r>
      <w:r w:rsidRPr="00D4245B">
        <w:rPr>
          <w:rFonts w:ascii="Times New Roman" w:hAnsi="Times New Roman"/>
          <w:sz w:val="24"/>
          <w:szCs w:val="24"/>
        </w:rPr>
        <w:t xml:space="preserve"> Návrh zákona, ktorým sa mení a dopĺňa </w:t>
      </w:r>
      <w:r>
        <w:rPr>
          <w:rFonts w:ascii="Times New Roman" w:hAnsi="Times New Roman"/>
          <w:sz w:val="24"/>
          <w:szCs w:val="24"/>
        </w:rPr>
        <w:t>zákon č. </w:t>
      </w:r>
      <w:r w:rsidRPr="00D4245B">
        <w:rPr>
          <w:rFonts w:ascii="Times New Roman" w:hAnsi="Times New Roman"/>
          <w:sz w:val="24"/>
          <w:szCs w:val="24"/>
        </w:rPr>
        <w:t xml:space="preserve">129/2002 Z. z. o integrovanom záchrannom systéme </w:t>
      </w:r>
      <w:r>
        <w:rPr>
          <w:rFonts w:ascii="Times New Roman" w:hAnsi="Times New Roman"/>
          <w:sz w:val="24"/>
          <w:szCs w:val="24"/>
        </w:rPr>
        <w:t>v znení neskorších predpisov</w:t>
      </w:r>
    </w:p>
    <w:p w:rsidR="000F1DBC" w:rsidRPr="00C56F78" w:rsidRDefault="000F1DBC" w:rsidP="000F1DBC">
      <w:pPr>
        <w:spacing w:after="0" w:line="240" w:lineRule="auto"/>
        <w:ind w:left="360" w:hanging="360"/>
        <w:jc w:val="both"/>
        <w:rPr>
          <w:rFonts w:ascii="Times New Roman" w:hAnsi="Times New Roman"/>
          <w:b/>
          <w:bCs/>
          <w:sz w:val="20"/>
          <w:szCs w:val="20"/>
        </w:rPr>
      </w:pPr>
    </w:p>
    <w:p w:rsidR="000F1DBC" w:rsidRPr="00C56F78" w:rsidRDefault="000F1DBC" w:rsidP="000F1DBC">
      <w:pPr>
        <w:spacing w:after="0" w:line="240" w:lineRule="auto"/>
        <w:ind w:left="360" w:hanging="360"/>
        <w:jc w:val="both"/>
        <w:rPr>
          <w:rFonts w:ascii="Times New Roman" w:hAnsi="Times New Roman"/>
          <w:b/>
          <w:bCs/>
          <w:sz w:val="20"/>
          <w:szCs w:val="20"/>
        </w:rPr>
      </w:pPr>
    </w:p>
    <w:p w:rsidR="000F1DBC" w:rsidRPr="00C56F78" w:rsidRDefault="000F1DBC" w:rsidP="000F1DBC">
      <w:pPr>
        <w:spacing w:after="240" w:line="240" w:lineRule="auto"/>
        <w:jc w:val="both"/>
        <w:rPr>
          <w:rFonts w:ascii="Times New Roman" w:hAnsi="Times New Roman"/>
          <w:sz w:val="24"/>
          <w:szCs w:val="24"/>
          <w:lang w:eastAsia="sk-SK"/>
        </w:rPr>
      </w:pPr>
      <w:r w:rsidRPr="00C56F78">
        <w:rPr>
          <w:rFonts w:ascii="Times New Roman" w:hAnsi="Times New Roman"/>
          <w:b/>
          <w:sz w:val="24"/>
          <w:szCs w:val="24"/>
          <w:lang w:eastAsia="sk-SK"/>
        </w:rPr>
        <w:t>3.</w:t>
      </w:r>
      <w:r w:rsidRPr="00C56F78">
        <w:rPr>
          <w:rFonts w:ascii="Times New Roman" w:hAnsi="Times New Roman"/>
          <w:sz w:val="24"/>
          <w:szCs w:val="24"/>
          <w:lang w:eastAsia="sk-SK"/>
        </w:rPr>
        <w:t> </w:t>
      </w:r>
      <w:r w:rsidRPr="00C56F78">
        <w:rPr>
          <w:rFonts w:ascii="Times New Roman" w:hAnsi="Times New Roman"/>
          <w:b/>
          <w:bCs/>
          <w:sz w:val="24"/>
          <w:szCs w:val="24"/>
          <w:lang w:eastAsia="sk-SK"/>
        </w:rPr>
        <w:t>Predmet návrhu zákona</w:t>
      </w:r>
      <w:r w:rsidRPr="00C56F78">
        <w:rPr>
          <w:rFonts w:ascii="Times New Roman" w:hAnsi="Times New Roman"/>
          <w:bCs/>
          <w:sz w:val="24"/>
          <w:szCs w:val="24"/>
          <w:lang w:eastAsia="sk-SK"/>
        </w:rPr>
        <w:t xml:space="preserve"> </w:t>
      </w:r>
      <w:r w:rsidRPr="00C56F78">
        <w:rPr>
          <w:rFonts w:ascii="Times New Roman" w:hAnsi="Times New Roman"/>
          <w:sz w:val="24"/>
          <w:szCs w:val="24"/>
          <w:lang w:eastAsia="sk-SK"/>
        </w:rPr>
        <w:t>je upravený v práve Európskej únie:</w:t>
      </w:r>
    </w:p>
    <w:p w:rsidR="000F1DBC" w:rsidRPr="00C56F78" w:rsidRDefault="000F1DBC" w:rsidP="000F1DBC">
      <w:pPr>
        <w:pStyle w:val="Odsekzoznamu"/>
        <w:numPr>
          <w:ilvl w:val="0"/>
          <w:numId w:val="2"/>
        </w:numPr>
        <w:tabs>
          <w:tab w:val="left" w:pos="709"/>
          <w:tab w:val="left" w:pos="1068"/>
        </w:tabs>
        <w:spacing w:after="240"/>
        <w:ind w:left="714" w:hanging="357"/>
        <w:contextualSpacing w:val="0"/>
        <w:jc w:val="both"/>
        <w:rPr>
          <w:lang w:val="sk-SK"/>
        </w:rPr>
      </w:pPr>
      <w:r w:rsidRPr="00C56F78">
        <w:rPr>
          <w:lang w:val="sk-SK"/>
        </w:rPr>
        <w:t>v primárnom práve</w:t>
      </w:r>
    </w:p>
    <w:p w:rsidR="000F1DBC" w:rsidRPr="00C56F78" w:rsidRDefault="000F1DBC" w:rsidP="000F1DBC">
      <w:pPr>
        <w:pStyle w:val="Odsekzoznamu"/>
        <w:numPr>
          <w:ilvl w:val="0"/>
          <w:numId w:val="3"/>
        </w:numPr>
        <w:tabs>
          <w:tab w:val="left" w:pos="709"/>
          <w:tab w:val="left" w:pos="1068"/>
        </w:tabs>
        <w:spacing w:before="120"/>
        <w:contextualSpacing w:val="0"/>
        <w:jc w:val="both"/>
        <w:rPr>
          <w:lang w:val="sk-SK"/>
        </w:rPr>
      </w:pPr>
      <w:r w:rsidRPr="00C56F78">
        <w:rPr>
          <w:lang w:val="sk-SK"/>
        </w:rPr>
        <w:t xml:space="preserve">čl. </w:t>
      </w:r>
      <w:r>
        <w:rPr>
          <w:lang w:val="sk-SK"/>
        </w:rPr>
        <w:t>168, 214</w:t>
      </w:r>
      <w:r w:rsidRPr="00C56F78">
        <w:rPr>
          <w:lang w:val="sk-SK"/>
        </w:rPr>
        <w:t xml:space="preserve"> Zmluvy o fungovaní Európskej únie,</w:t>
      </w:r>
    </w:p>
    <w:p w:rsidR="000F1DBC" w:rsidRPr="00C56F78" w:rsidRDefault="000F1DBC" w:rsidP="000F1DBC">
      <w:pPr>
        <w:pStyle w:val="Odsekzoznamu"/>
        <w:numPr>
          <w:ilvl w:val="0"/>
          <w:numId w:val="2"/>
        </w:numPr>
        <w:tabs>
          <w:tab w:val="left" w:pos="709"/>
          <w:tab w:val="left" w:pos="1068"/>
        </w:tabs>
        <w:spacing w:before="120"/>
        <w:ind w:left="714" w:hanging="357"/>
        <w:contextualSpacing w:val="0"/>
        <w:rPr>
          <w:lang w:val="sk-SK"/>
        </w:rPr>
      </w:pPr>
      <w:r w:rsidRPr="00C56F78">
        <w:rPr>
          <w:lang w:val="sk-SK"/>
        </w:rPr>
        <w:t>v sekundárnom práve</w:t>
      </w:r>
    </w:p>
    <w:p w:rsidR="000F1DBC" w:rsidRPr="00DF496D" w:rsidRDefault="000F1DBC" w:rsidP="000F1DBC">
      <w:pPr>
        <w:pStyle w:val="Odsekzoznamu"/>
        <w:tabs>
          <w:tab w:val="left" w:pos="709"/>
          <w:tab w:val="left" w:pos="1068"/>
        </w:tabs>
        <w:spacing w:before="120"/>
        <w:ind w:left="714"/>
        <w:jc w:val="both"/>
        <w:rPr>
          <w:lang w:val="sk-SK"/>
        </w:rPr>
      </w:pPr>
      <w:r w:rsidRPr="00112B2A">
        <w:rPr>
          <w:lang w:val="sk-SK"/>
        </w:rPr>
        <w:t>s</w:t>
      </w:r>
      <w:r w:rsidRPr="007845F2">
        <w:rPr>
          <w:lang w:val="sk-SK"/>
        </w:rPr>
        <w:t>me</w:t>
      </w:r>
      <w:r w:rsidRPr="00112B2A">
        <w:rPr>
          <w:lang w:val="sk-SK"/>
        </w:rPr>
        <w:t>rnic</w:t>
      </w:r>
      <w:r>
        <w:rPr>
          <w:lang w:val="sk-SK"/>
        </w:rPr>
        <w:t>a</w:t>
      </w:r>
      <w:r w:rsidRPr="007845F2">
        <w:rPr>
          <w:lang w:val="sk-SK"/>
        </w:rPr>
        <w:t xml:space="preserve"> Európskeho </w:t>
      </w:r>
      <w:r w:rsidRPr="00DF496D">
        <w:rPr>
          <w:lang w:val="sk-SK"/>
        </w:rPr>
        <w:t xml:space="preserve">parlamentu a Rady (EÚ) 2018/1972 z 11. decembra 2018, ktorou sa stanovuje európsky kódex elektronických komunikácií (prepracované znenie) (Ú. v. EÚ L 321, 17. 12. 2018) v platnom znení, gestor Ministerstvo dopravy a výstavby Slovenskej republiky, </w:t>
      </w:r>
      <w:proofErr w:type="spellStart"/>
      <w:r w:rsidRPr="00DF496D">
        <w:rPr>
          <w:lang w:val="sk-SK"/>
        </w:rPr>
        <w:t>spolugest</w:t>
      </w:r>
      <w:r w:rsidRPr="00F56335">
        <w:rPr>
          <w:lang w:val="sk-SK"/>
        </w:rPr>
        <w:t>or</w:t>
      </w:r>
      <w:proofErr w:type="spellEnd"/>
      <w:r w:rsidRPr="00F56335">
        <w:rPr>
          <w:lang w:val="sk-SK"/>
        </w:rPr>
        <w:t xml:space="preserve"> </w:t>
      </w:r>
      <w:r w:rsidRPr="003B3AD9">
        <w:rPr>
          <w:lang w:val="sk-SK"/>
        </w:rPr>
        <w:t>Úrad pre reguláciu elektronických komunikácií a poštových služieb</w:t>
      </w:r>
    </w:p>
    <w:p w:rsidR="000F1DBC" w:rsidRPr="00DF496D" w:rsidRDefault="000F1DBC" w:rsidP="000F1DBC">
      <w:pPr>
        <w:pStyle w:val="Odsekzoznamu"/>
        <w:spacing w:before="120"/>
        <w:ind w:left="714" w:right="50"/>
        <w:jc w:val="both"/>
        <w:rPr>
          <w:shd w:val="clear" w:color="auto" w:fill="FFFFFF"/>
          <w:lang w:val="sk-SK"/>
        </w:rPr>
      </w:pPr>
      <w:r w:rsidRPr="00DF496D">
        <w:rPr>
          <w:shd w:val="clear" w:color="auto" w:fill="FFFFFF"/>
          <w:lang w:val="sk-SK"/>
        </w:rPr>
        <w:t> </w:t>
      </w:r>
    </w:p>
    <w:p w:rsidR="00BD6738" w:rsidRDefault="000F1DBC" w:rsidP="00C12BF4">
      <w:pPr>
        <w:pStyle w:val="Odsekzoznamu"/>
        <w:numPr>
          <w:ilvl w:val="0"/>
          <w:numId w:val="2"/>
        </w:numPr>
        <w:spacing w:before="120"/>
        <w:ind w:left="709" w:right="-142" w:hanging="349"/>
        <w:jc w:val="both"/>
        <w:rPr>
          <w:shd w:val="clear" w:color="auto" w:fill="FFFFFF"/>
          <w:lang w:val="sk-SK"/>
        </w:rPr>
      </w:pPr>
      <w:r w:rsidRPr="00F56335">
        <w:rPr>
          <w:shd w:val="clear" w:color="auto" w:fill="FFFFFF"/>
          <w:lang w:val="sk-SK"/>
        </w:rPr>
        <w:t>v judikatúre Súdneho dvo</w:t>
      </w:r>
      <w:r w:rsidR="00BD6738">
        <w:rPr>
          <w:shd w:val="clear" w:color="auto" w:fill="FFFFFF"/>
          <w:lang w:val="sk-SK"/>
        </w:rPr>
        <w:t xml:space="preserve">ra Európskej únie – </w:t>
      </w:r>
    </w:p>
    <w:p w:rsidR="000F1DBC" w:rsidRPr="00BD6738" w:rsidRDefault="00BD6738" w:rsidP="00BD6738">
      <w:pPr>
        <w:pStyle w:val="Odsekzoznamu"/>
        <w:spacing w:before="120"/>
        <w:ind w:left="709" w:right="-142"/>
        <w:jc w:val="both"/>
        <w:rPr>
          <w:lang w:val="sk-SK"/>
        </w:rPr>
      </w:pPr>
      <w:r w:rsidRPr="00BD6738">
        <w:rPr>
          <w:lang w:val="sk-SK"/>
        </w:rPr>
        <w:t xml:space="preserve">v judikatúre Súdneho dvora Európskej únie upravená napr. v rozsudku Súdneho dvora Európskej únie vo veci C-417/18, v ktorom súd rozhodol, že článok 26 ods. 5 smernice Európskeho parlamentu a Rady 2002/22/ES zo 7. marca 2002 o univerzálnej službe a právach užívateľov týkajúcich sa elektronických komunikačných sietí a služieb (smernica univerzálnej služby), zmenenej smernicou Európskeho parlamentu a Rady 2009/136/ES z 25. novembra 2009, sa má vykladať v tom zmysle, že ukladá členským štátom, pokiaľ je to technicky možné, povinnosť zabezpečiť, aby dotknuté podniky bezplatne poskytovali orgánu spracúvajúcemu tiesňové volania na jednotnom európskom čísle tiesňového volania „112“ informácie o polohe volajúceho hneď, ako uvedený orgán dané volanie prijme, vrátane prípadu, ak je volanie uskutočnené z mobilného telefónu bez SIM karty. Článok 26 ods. 5 smernice 2002/22, zmenenej smernicou 2009/136, sa má vykladať v tom zmysle, že priznáva členským štátom mieru voľnej úvahy pri vymedzení kritérií týkajúcich sa presnosti a spoľahlivosti informácií o polohe volajúceho na jednotné európske číslo tiesňového volania „112“, pričom sa však zdôrazňuje, že kritériá, ktoré členské štáty vymedzia, musia zabezpečiť, pokiaľ je to technicky možné, určenie polohy volajúceho tak spoľahlivo a presne, ako je potrebné na to, aby sa umožnilo tiesňovým službám účinne mu prísť na pomoc, čo prináleží posúdiť vnútroštátnemu súdu. Právo Únie sa má vykladať v tom zmysle, že ak sa v súlade s vnútroštátnym právom členského štátu existencia nepriamej príčinnej súvislosti medzi protiprávnym konaním vnútroštátnych orgánov a škodou, ktorá bola spôsobená jednotlivcovi, považuje za dostatočnú na vznik zodpovednosti štátu, musí byť takáto nepriama príčinná súvislosť medzi porušením práva Únie </w:t>
      </w:r>
      <w:proofErr w:type="spellStart"/>
      <w:r w:rsidRPr="00BD6738">
        <w:rPr>
          <w:lang w:val="sk-SK"/>
        </w:rPr>
        <w:t>pripísateľným</w:t>
      </w:r>
      <w:proofErr w:type="spellEnd"/>
      <w:r w:rsidRPr="00BD6738">
        <w:rPr>
          <w:lang w:val="sk-SK"/>
        </w:rPr>
        <w:t xml:space="preserve"> tomuto členskému štátu a škodou spôsobenou jednotlivcovi taktiež považovaná za dostatočnú na vznik zodpovednosti uvedeného členského štátu za toto porušenie práva Únie.</w:t>
      </w:r>
      <w:r w:rsidR="000F1DBC" w:rsidRPr="00BD6738">
        <w:rPr>
          <w:lang w:val="sk-SK"/>
        </w:rPr>
        <w:t>.</w:t>
      </w:r>
    </w:p>
    <w:p w:rsidR="000F1DBC" w:rsidRPr="00F56335" w:rsidRDefault="000F1DBC" w:rsidP="000F1DBC">
      <w:pPr>
        <w:spacing w:before="120" w:after="0" w:line="240" w:lineRule="auto"/>
        <w:ind w:right="-142"/>
        <w:jc w:val="both"/>
        <w:rPr>
          <w:rFonts w:ascii="Times New Roman" w:hAnsi="Times New Roman"/>
          <w:sz w:val="24"/>
          <w:szCs w:val="24"/>
          <w:shd w:val="clear" w:color="auto" w:fill="FFFFFF"/>
        </w:rPr>
      </w:pPr>
    </w:p>
    <w:p w:rsidR="000F1DBC" w:rsidRPr="00F56335" w:rsidRDefault="000F1DBC" w:rsidP="000F1DBC">
      <w:pPr>
        <w:spacing w:after="240" w:line="240" w:lineRule="auto"/>
        <w:jc w:val="both"/>
        <w:rPr>
          <w:rFonts w:ascii="Times New Roman" w:hAnsi="Times New Roman"/>
          <w:b/>
          <w:sz w:val="24"/>
          <w:szCs w:val="24"/>
          <w:lang w:eastAsia="sk-SK"/>
        </w:rPr>
      </w:pPr>
      <w:r w:rsidRPr="00F56335">
        <w:rPr>
          <w:rFonts w:ascii="Times New Roman" w:hAnsi="Times New Roman"/>
          <w:b/>
          <w:sz w:val="24"/>
          <w:szCs w:val="24"/>
          <w:lang w:eastAsia="sk-SK"/>
        </w:rPr>
        <w:t xml:space="preserve">4. Záväzky Slovenskej republiky vo vzťahu k Európskej únii: </w:t>
      </w:r>
    </w:p>
    <w:p w:rsidR="000F1DBC" w:rsidRPr="00DF496D" w:rsidRDefault="000F1DBC" w:rsidP="000F1DBC">
      <w:pPr>
        <w:widowControl/>
        <w:numPr>
          <w:ilvl w:val="0"/>
          <w:numId w:val="1"/>
        </w:numPr>
        <w:autoSpaceDE w:val="0"/>
        <w:autoSpaceDN w:val="0"/>
        <w:spacing w:after="120" w:line="240" w:lineRule="auto"/>
        <w:ind w:left="924" w:hanging="357"/>
        <w:jc w:val="both"/>
        <w:rPr>
          <w:rFonts w:ascii="Times New Roman" w:hAnsi="Times New Roman"/>
          <w:sz w:val="24"/>
          <w:szCs w:val="24"/>
          <w:lang w:eastAsia="cs-CZ"/>
        </w:rPr>
      </w:pPr>
      <w:r w:rsidRPr="00873B7E">
        <w:rPr>
          <w:rFonts w:ascii="Times New Roman" w:hAnsi="Times New Roman"/>
          <w:sz w:val="24"/>
          <w:szCs w:val="24"/>
          <w:lang w:eastAsia="cs-CZ"/>
        </w:rPr>
        <w:lastRenderedPageBreak/>
        <w:t xml:space="preserve">lehota na prebranie príslušného právneho aktu Európskej únie, príp. aj osobitnú lehotu účinnosti jeho ustanovení – </w:t>
      </w:r>
      <w:r w:rsidRPr="003B3AD9">
        <w:rPr>
          <w:rFonts w:ascii="Times New Roman" w:hAnsi="Times New Roman"/>
          <w:sz w:val="24"/>
          <w:szCs w:val="24"/>
        </w:rPr>
        <w:t>do 21. decembra 2020</w:t>
      </w:r>
      <w:r w:rsidRPr="00DF496D">
        <w:rPr>
          <w:rFonts w:ascii="Times New Roman" w:hAnsi="Times New Roman"/>
          <w:sz w:val="24"/>
          <w:szCs w:val="24"/>
          <w:lang w:eastAsia="cs-CZ"/>
        </w:rPr>
        <w:t>;</w:t>
      </w:r>
    </w:p>
    <w:p w:rsidR="000F1DBC" w:rsidRPr="00E775FD" w:rsidRDefault="000F1DBC" w:rsidP="000F1DBC">
      <w:pPr>
        <w:widowControl/>
        <w:numPr>
          <w:ilvl w:val="0"/>
          <w:numId w:val="1"/>
        </w:numPr>
        <w:autoSpaceDE w:val="0"/>
        <w:autoSpaceDN w:val="0"/>
        <w:spacing w:after="120" w:line="240" w:lineRule="auto"/>
        <w:ind w:left="924" w:hanging="357"/>
        <w:jc w:val="both"/>
        <w:rPr>
          <w:rFonts w:ascii="Times New Roman" w:hAnsi="Times New Roman"/>
          <w:sz w:val="24"/>
          <w:szCs w:val="24"/>
          <w:lang w:eastAsia="sk-SK"/>
        </w:rPr>
      </w:pPr>
      <w:r w:rsidRPr="00DF496D">
        <w:rPr>
          <w:rFonts w:ascii="Times New Roman" w:hAnsi="Times New Roman"/>
          <w:sz w:val="24"/>
          <w:szCs w:val="24"/>
          <w:lang w:eastAsia="sk-SK"/>
        </w:rPr>
        <w:t>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w:t>
      </w:r>
      <w:r w:rsidR="00C12BF4">
        <w:rPr>
          <w:rFonts w:ascii="Times New Roman" w:hAnsi="Times New Roman"/>
          <w:sz w:val="24"/>
          <w:szCs w:val="24"/>
          <w:lang w:eastAsia="sk-SK"/>
        </w:rPr>
        <w:t>viek na zabezpečenie nápravy so </w:t>
      </w:r>
      <w:r w:rsidRPr="00DF496D">
        <w:rPr>
          <w:rFonts w:ascii="Times New Roman" w:hAnsi="Times New Roman"/>
          <w:sz w:val="24"/>
          <w:szCs w:val="24"/>
          <w:lang w:eastAsia="sk-SK"/>
        </w:rPr>
        <w:t>zreteľom na nariadenie Európskeho parlamentu a Rady (ES) č. 1049/2001 z 30. mája 2001 o prístupe verejnosti k dokumentom Európskeho parlamentu, Rady a Komisie –</w:t>
      </w:r>
      <w:r w:rsidRPr="00F56335">
        <w:rPr>
          <w:rFonts w:ascii="Times New Roman" w:hAnsi="Times New Roman"/>
          <w:sz w:val="24"/>
          <w:szCs w:val="24"/>
          <w:lang w:eastAsia="sk-SK"/>
        </w:rPr>
        <w:t>;</w:t>
      </w:r>
      <w:r w:rsidRPr="00F56335">
        <w:rPr>
          <w:rFonts w:ascii="Times New Roman" w:hAnsi="Times New Roman"/>
          <w:sz w:val="24"/>
          <w:szCs w:val="24"/>
          <w:shd w:val="clear" w:color="auto" w:fill="FFFFFF"/>
        </w:rPr>
        <w:t xml:space="preserve">  </w:t>
      </w:r>
    </w:p>
    <w:p w:rsidR="00E775FD" w:rsidRPr="00E775FD" w:rsidRDefault="008A6F60" w:rsidP="00E775FD">
      <w:pPr>
        <w:widowControl/>
        <w:autoSpaceDE w:val="0"/>
        <w:autoSpaceDN w:val="0"/>
        <w:spacing w:after="120" w:line="240" w:lineRule="auto"/>
        <w:ind w:left="924"/>
        <w:jc w:val="both"/>
        <w:rPr>
          <w:rFonts w:ascii="Times New Roman" w:hAnsi="Times New Roman"/>
          <w:sz w:val="24"/>
          <w:szCs w:val="24"/>
          <w:lang w:eastAsia="sk-SK"/>
        </w:rPr>
      </w:pPr>
      <w:r>
        <w:rPr>
          <w:rFonts w:ascii="Times New Roman" w:hAnsi="Times New Roman"/>
          <w:sz w:val="24"/>
          <w:szCs w:val="24"/>
          <w:lang w:eastAsia="sk-SK"/>
        </w:rPr>
        <w:t>prebiehajúce konanie</w:t>
      </w:r>
      <w:r w:rsidR="00E775FD" w:rsidRPr="00E775FD">
        <w:rPr>
          <w:rFonts w:ascii="Times New Roman" w:hAnsi="Times New Roman"/>
          <w:sz w:val="24"/>
          <w:szCs w:val="24"/>
          <w:lang w:eastAsia="sk-SK"/>
        </w:rPr>
        <w:t xml:space="preserve"> o porušení zmlúv č. 2021/0101 týkajúcej sa </w:t>
      </w:r>
      <w:r>
        <w:rPr>
          <w:rFonts w:ascii="Times New Roman" w:hAnsi="Times New Roman"/>
          <w:sz w:val="24"/>
          <w:szCs w:val="24"/>
          <w:lang w:eastAsia="sk-SK"/>
        </w:rPr>
        <w:t xml:space="preserve">včasného </w:t>
      </w:r>
      <w:r w:rsidR="00E775FD" w:rsidRPr="00E775FD">
        <w:rPr>
          <w:rFonts w:ascii="Times New Roman" w:hAnsi="Times New Roman"/>
          <w:sz w:val="24"/>
          <w:szCs w:val="24"/>
          <w:lang w:eastAsia="sk-SK"/>
        </w:rPr>
        <w:t>neoznámenia transpozičných opatrení smernice (EÚ) 2018/1972 v štádiu odôvodneného stanoviska z 23. septembra 2021.</w:t>
      </w:r>
    </w:p>
    <w:p w:rsidR="00E775FD" w:rsidRPr="003B3AD9" w:rsidRDefault="00E775FD" w:rsidP="00E775FD">
      <w:pPr>
        <w:widowControl/>
        <w:autoSpaceDE w:val="0"/>
        <w:autoSpaceDN w:val="0"/>
        <w:spacing w:after="120" w:line="240" w:lineRule="auto"/>
        <w:ind w:left="924"/>
        <w:jc w:val="both"/>
        <w:rPr>
          <w:rFonts w:ascii="Times New Roman" w:hAnsi="Times New Roman"/>
          <w:sz w:val="24"/>
          <w:szCs w:val="24"/>
          <w:lang w:eastAsia="sk-SK"/>
        </w:rPr>
      </w:pPr>
    </w:p>
    <w:p w:rsidR="000F1DBC" w:rsidRPr="0051121A" w:rsidRDefault="000F1DBC" w:rsidP="000F1DBC">
      <w:pPr>
        <w:widowControl/>
        <w:numPr>
          <w:ilvl w:val="0"/>
          <w:numId w:val="1"/>
        </w:numPr>
        <w:autoSpaceDE w:val="0"/>
        <w:autoSpaceDN w:val="0"/>
        <w:spacing w:after="120" w:line="240" w:lineRule="auto"/>
        <w:ind w:left="924" w:hanging="357"/>
        <w:jc w:val="both"/>
        <w:rPr>
          <w:rFonts w:ascii="Times New Roman" w:hAnsi="Times New Roman"/>
          <w:sz w:val="24"/>
          <w:szCs w:val="24"/>
          <w:lang w:eastAsia="sk-SK"/>
        </w:rPr>
      </w:pPr>
      <w:r w:rsidRPr="00F56335">
        <w:rPr>
          <w:rFonts w:ascii="Times New Roman" w:hAnsi="Times New Roman"/>
          <w:sz w:val="24"/>
          <w:szCs w:val="24"/>
          <w:lang w:eastAsia="sk-SK"/>
        </w:rPr>
        <w:t xml:space="preserve">informácia o právnych predpisoch, v ktorých sú uvádzané právne akty Európskej únie už prebrané, spolu s uvedením rozsahu ich prebrania, príp. potreby prijatia ďalších úprav – smernica </w:t>
      </w:r>
      <w:r>
        <w:rPr>
          <w:rFonts w:ascii="Times New Roman" w:hAnsi="Times New Roman"/>
          <w:sz w:val="24"/>
          <w:szCs w:val="24"/>
          <w:lang w:eastAsia="sk-SK"/>
        </w:rPr>
        <w:t xml:space="preserve">EÚ </w:t>
      </w:r>
      <w:r w:rsidRPr="00EE30C3">
        <w:rPr>
          <w:rFonts w:ascii="Times New Roman" w:hAnsi="Times New Roman"/>
          <w:sz w:val="24"/>
          <w:szCs w:val="24"/>
          <w:lang w:eastAsia="sk-SK"/>
        </w:rPr>
        <w:t xml:space="preserve">2018/1972 </w:t>
      </w:r>
      <w:r w:rsidRPr="00BD2C34">
        <w:rPr>
          <w:rFonts w:ascii="Times New Roman" w:hAnsi="Times New Roman"/>
          <w:sz w:val="24"/>
          <w:szCs w:val="24"/>
          <w:lang w:eastAsia="sk-SK"/>
        </w:rPr>
        <w:t>bola prebratá do zákona</w:t>
      </w:r>
      <w:r w:rsidRPr="00143BA6">
        <w:rPr>
          <w:rFonts w:ascii="Times New Roman" w:hAnsi="Times New Roman"/>
          <w:sz w:val="24"/>
          <w:szCs w:val="24"/>
          <w:lang w:eastAsia="sk-SK"/>
        </w:rPr>
        <w:t xml:space="preserve"> </w:t>
      </w:r>
      <w:hyperlink r:id="rId8" w:history="1">
        <w:r w:rsidRPr="00530DEA">
          <w:rPr>
            <w:rFonts w:ascii="Times New Roman" w:hAnsi="Times New Roman"/>
            <w:sz w:val="24"/>
            <w:szCs w:val="24"/>
            <w:lang w:eastAsia="sk-SK"/>
          </w:rPr>
          <w:t>č. 452/2021 Z. z. o elektronických komunikáciách</w:t>
        </w:r>
      </w:hyperlink>
      <w:r w:rsidRPr="00530DEA">
        <w:rPr>
          <w:rFonts w:ascii="Times New Roman" w:hAnsi="Times New Roman"/>
          <w:sz w:val="24"/>
          <w:szCs w:val="24"/>
          <w:lang w:eastAsia="sk-SK"/>
        </w:rPr>
        <w:t xml:space="preserve">, </w:t>
      </w:r>
      <w:r w:rsidRPr="00BD2C34">
        <w:rPr>
          <w:rFonts w:ascii="Times New Roman" w:hAnsi="Times New Roman"/>
          <w:sz w:val="24"/>
          <w:szCs w:val="24"/>
          <w:lang w:eastAsia="sk-SK"/>
        </w:rPr>
        <w:t>z</w:t>
      </w:r>
      <w:r w:rsidRPr="00143BA6">
        <w:rPr>
          <w:rFonts w:ascii="Times New Roman" w:hAnsi="Times New Roman"/>
          <w:sz w:val="24"/>
          <w:szCs w:val="24"/>
          <w:lang w:eastAsia="sk-SK"/>
        </w:rPr>
        <w:t>ákona č. 129/2002 Z. z. o integrovanom záchrannom systéme</w:t>
      </w:r>
      <w:r w:rsidRPr="00D6695A">
        <w:rPr>
          <w:rFonts w:ascii="Times New Roman" w:hAnsi="Times New Roman"/>
          <w:sz w:val="24"/>
          <w:szCs w:val="24"/>
          <w:lang w:eastAsia="sk-SK"/>
        </w:rPr>
        <w:t xml:space="preserve"> v</w:t>
      </w:r>
      <w:r w:rsidRPr="0051121A">
        <w:rPr>
          <w:rFonts w:ascii="Times New Roman" w:hAnsi="Times New Roman"/>
          <w:sz w:val="24"/>
          <w:szCs w:val="24"/>
          <w:lang w:eastAsia="sk-SK"/>
        </w:rPr>
        <w:t> znení neskorších predpisov, zákona č. 402/2013 Z. z. o Úrade pre reguláciu elektronických komunikácií a poštových služieb a Dopravnom úrade a o zmene a doplnení niektorých zákonov v znení neskorších predpisov, zákona</w:t>
      </w:r>
      <w:r w:rsidRPr="0051121A">
        <w:rPr>
          <w:rFonts w:ascii="Times New Roman" w:hAnsi="Times New Roman"/>
          <w:sz w:val="24"/>
          <w:szCs w:val="24"/>
        </w:rPr>
        <w:t xml:space="preserve"> č. 460/1992 Zb. Ústava Slovenskej republiky v znení neskorších predpisov, zákona č. 42/1994 Z. z. o civilnej ochrane obyvateľstva v znení neskorších predpisov, zákona č. 39/1993 Z. z. o Najvyššom kontrolnom úrade Slovenskej republiky v znení </w:t>
      </w:r>
      <w:r w:rsidR="00C12BF4">
        <w:rPr>
          <w:rFonts w:ascii="Times New Roman" w:hAnsi="Times New Roman"/>
          <w:sz w:val="24"/>
          <w:szCs w:val="24"/>
        </w:rPr>
        <w:t>neskorších predpisov, zákona č. </w:t>
      </w:r>
      <w:r w:rsidRPr="0051121A">
        <w:rPr>
          <w:rFonts w:ascii="Times New Roman" w:hAnsi="Times New Roman"/>
          <w:sz w:val="24"/>
          <w:szCs w:val="24"/>
        </w:rPr>
        <w:t xml:space="preserve">357/2015 Z. z. o finančnej kontrole a audite a o zmene a doplnení niektorých zákonov v znení neskorších predpisov, zákona č. 400/2015 Z. z. </w:t>
      </w:r>
      <w:r w:rsidR="00C12BF4">
        <w:rPr>
          <w:rFonts w:ascii="Times New Roman" w:hAnsi="Times New Roman"/>
          <w:sz w:val="24"/>
          <w:szCs w:val="24"/>
        </w:rPr>
        <w:t>o tvorbe právnych predpisov a o </w:t>
      </w:r>
      <w:r w:rsidRPr="0051121A">
        <w:rPr>
          <w:rFonts w:ascii="Times New Roman" w:hAnsi="Times New Roman"/>
          <w:sz w:val="24"/>
          <w:szCs w:val="24"/>
        </w:rPr>
        <w:t>Zbierke zákonov Slovenskej republiky a o zmene a doplnení niektorých zákonov v znení neskorších predpisov, zákona č. 71/1967 Zb. o správnom konaní (správny poriadok) v znení neskorších predpisov, zákona č. 40/1964 Zb. Občiansky zákonník v znení neskorších predpisov.</w:t>
      </w:r>
    </w:p>
    <w:p w:rsidR="00C12BF4" w:rsidRDefault="00C12BF4" w:rsidP="000F1DBC">
      <w:pPr>
        <w:spacing w:after="240" w:line="240" w:lineRule="auto"/>
        <w:rPr>
          <w:rFonts w:ascii="Times New Roman" w:hAnsi="Times New Roman"/>
          <w:b/>
          <w:sz w:val="24"/>
          <w:szCs w:val="24"/>
          <w:lang w:eastAsia="sk-SK"/>
        </w:rPr>
      </w:pPr>
    </w:p>
    <w:p w:rsidR="000F1DBC" w:rsidRDefault="000F1DBC" w:rsidP="000F1DBC">
      <w:pPr>
        <w:spacing w:after="240" w:line="240" w:lineRule="auto"/>
        <w:rPr>
          <w:rFonts w:ascii="Times New Roman" w:hAnsi="Times New Roman"/>
          <w:sz w:val="24"/>
          <w:szCs w:val="24"/>
          <w:lang w:eastAsia="sk-SK"/>
        </w:rPr>
      </w:pPr>
      <w:r w:rsidRPr="00F56335">
        <w:rPr>
          <w:rFonts w:ascii="Times New Roman" w:hAnsi="Times New Roman"/>
          <w:b/>
          <w:sz w:val="24"/>
          <w:szCs w:val="24"/>
          <w:lang w:eastAsia="sk-SK"/>
        </w:rPr>
        <w:t>5</w:t>
      </w:r>
      <w:r w:rsidRPr="00F56335">
        <w:rPr>
          <w:rFonts w:ascii="Times New Roman" w:hAnsi="Times New Roman"/>
          <w:sz w:val="24"/>
          <w:szCs w:val="24"/>
          <w:lang w:eastAsia="sk-SK"/>
        </w:rPr>
        <w:t xml:space="preserve">. </w:t>
      </w:r>
      <w:r w:rsidRPr="00F56335">
        <w:rPr>
          <w:rFonts w:ascii="Times New Roman" w:hAnsi="Times New Roman"/>
          <w:b/>
          <w:sz w:val="24"/>
          <w:szCs w:val="24"/>
          <w:lang w:eastAsia="sk-SK"/>
        </w:rPr>
        <w:t xml:space="preserve">Návrh zákona je zlučiteľný s právom Európskej únie: </w:t>
      </w:r>
      <w:r w:rsidRPr="00F56335">
        <w:rPr>
          <w:rFonts w:ascii="Times New Roman" w:hAnsi="Times New Roman"/>
          <w:sz w:val="24"/>
          <w:szCs w:val="24"/>
          <w:lang w:eastAsia="sk-SK"/>
        </w:rPr>
        <w:t>úplne</w:t>
      </w:r>
    </w:p>
    <w:p w:rsidR="000F1DBC" w:rsidRDefault="000F1DBC" w:rsidP="000F1DBC">
      <w:pPr>
        <w:spacing w:after="240" w:line="240" w:lineRule="auto"/>
        <w:rPr>
          <w:rFonts w:ascii="Times New Roman" w:hAnsi="Times New Roman"/>
          <w:sz w:val="24"/>
          <w:szCs w:val="24"/>
          <w:lang w:eastAsia="sk-SK"/>
        </w:rPr>
      </w:pPr>
    </w:p>
    <w:p w:rsidR="000F1DBC" w:rsidRDefault="000F1DBC" w:rsidP="000F1DBC">
      <w:pPr>
        <w:spacing w:after="240" w:line="240" w:lineRule="auto"/>
        <w:rPr>
          <w:rFonts w:ascii="Times New Roman" w:hAnsi="Times New Roman"/>
          <w:sz w:val="24"/>
          <w:szCs w:val="24"/>
          <w:lang w:eastAsia="sk-SK"/>
        </w:rPr>
      </w:pPr>
    </w:p>
    <w:p w:rsidR="000F1DBC" w:rsidRPr="00F56335" w:rsidRDefault="000F1DBC" w:rsidP="000F1DBC">
      <w:pPr>
        <w:spacing w:after="240" w:line="240" w:lineRule="auto"/>
        <w:rPr>
          <w:rFonts w:ascii="Times New Roman" w:hAnsi="Times New Roman" w:cs="Verdana"/>
          <w:sz w:val="24"/>
          <w:szCs w:val="24"/>
        </w:rPr>
      </w:pPr>
      <w:bookmarkStart w:id="0" w:name="_GoBack"/>
    </w:p>
    <w:bookmarkEnd w:id="0"/>
    <w:p w:rsidR="000F1DBC" w:rsidRPr="00C56F78" w:rsidRDefault="000F1DBC" w:rsidP="000F1DBC"/>
    <w:p w:rsidR="000059BC" w:rsidRDefault="000059BC"/>
    <w:sectPr w:rsidR="000059BC" w:rsidSect="00A06FAF">
      <w:footerReference w:type="default" r:id="rId9"/>
      <w:pgSz w:w="12240" w:h="15840"/>
      <w:pgMar w:top="1440" w:right="1440" w:bottom="851"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CCA" w:rsidRDefault="00162CCA" w:rsidP="004F4975">
      <w:pPr>
        <w:spacing w:after="0" w:line="240" w:lineRule="auto"/>
      </w:pPr>
      <w:r>
        <w:separator/>
      </w:r>
    </w:p>
  </w:endnote>
  <w:endnote w:type="continuationSeparator" w:id="0">
    <w:p w:rsidR="00162CCA" w:rsidRDefault="00162CCA" w:rsidP="004F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884011"/>
      <w:docPartObj>
        <w:docPartGallery w:val="Page Numbers (Bottom of Page)"/>
        <w:docPartUnique/>
      </w:docPartObj>
    </w:sdtPr>
    <w:sdtContent>
      <w:p w:rsidR="004F4975" w:rsidRDefault="004F4975">
        <w:pPr>
          <w:pStyle w:val="Pta"/>
          <w:jc w:val="center"/>
        </w:pPr>
        <w:r>
          <w:fldChar w:fldCharType="begin"/>
        </w:r>
        <w:r>
          <w:instrText>PAGE   \* MERGEFORMAT</w:instrText>
        </w:r>
        <w:r>
          <w:fldChar w:fldCharType="separate"/>
        </w:r>
        <w:r>
          <w:rPr>
            <w:noProof/>
          </w:rPr>
          <w:t>2</w:t>
        </w:r>
        <w:r>
          <w:fldChar w:fldCharType="end"/>
        </w:r>
      </w:p>
    </w:sdtContent>
  </w:sdt>
  <w:p w:rsidR="004F4975" w:rsidRDefault="004F49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CCA" w:rsidRDefault="00162CCA" w:rsidP="004F4975">
      <w:pPr>
        <w:spacing w:after="0" w:line="240" w:lineRule="auto"/>
      </w:pPr>
      <w:r>
        <w:separator/>
      </w:r>
    </w:p>
  </w:footnote>
  <w:footnote w:type="continuationSeparator" w:id="0">
    <w:p w:rsidR="00162CCA" w:rsidRDefault="00162CCA" w:rsidP="004F4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76C4A"/>
    <w:multiLevelType w:val="hybridMultilevel"/>
    <w:tmpl w:val="522CE2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42AC7EBF"/>
    <w:multiLevelType w:val="hybridMultilevel"/>
    <w:tmpl w:val="870C7E70"/>
    <w:lvl w:ilvl="0" w:tplc="041B0001">
      <w:start w:val="1"/>
      <w:numFmt w:val="bullet"/>
      <w:lvlText w:val=""/>
      <w:lvlJc w:val="left"/>
      <w:pPr>
        <w:ind w:left="1434" w:hanging="360"/>
      </w:pPr>
      <w:rPr>
        <w:rFonts w:ascii="Symbol" w:hAnsi="Symbol"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2" w15:restartNumberingAfterBreak="0">
    <w:nsid w:val="74164FC9"/>
    <w:multiLevelType w:val="hybridMultilevel"/>
    <w:tmpl w:val="980EB890"/>
    <w:lvl w:ilvl="0" w:tplc="E91C6BCA">
      <w:start w:val="1"/>
      <w:numFmt w:val="lowerLetter"/>
      <w:lvlText w:val="%1)"/>
      <w:lvlJc w:val="left"/>
      <w:pPr>
        <w:ind w:left="928"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BC"/>
    <w:rsid w:val="000059BC"/>
    <w:rsid w:val="000560E7"/>
    <w:rsid w:val="000F1DBC"/>
    <w:rsid w:val="00162CCA"/>
    <w:rsid w:val="004F4975"/>
    <w:rsid w:val="007B56E5"/>
    <w:rsid w:val="008A6F60"/>
    <w:rsid w:val="00BD6738"/>
    <w:rsid w:val="00C12BF4"/>
    <w:rsid w:val="00DB65CE"/>
    <w:rsid w:val="00E775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70193-5582-4C8F-8DFC-1E7C0E17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F1DBC"/>
    <w:pPr>
      <w:widowControl w:val="0"/>
      <w:adjustRightInd w:val="0"/>
      <w:spacing w:after="200" w:line="276" w:lineRule="auto"/>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F1DBC"/>
    <w:pPr>
      <w:widowControl/>
      <w:adjustRightInd/>
      <w:spacing w:after="0" w:line="240" w:lineRule="auto"/>
      <w:ind w:left="720"/>
      <w:contextualSpacing/>
    </w:pPr>
    <w:rPr>
      <w:rFonts w:ascii="Times New Roman" w:hAnsi="Times New Roman"/>
      <w:sz w:val="24"/>
      <w:szCs w:val="24"/>
      <w:lang w:val="cs-CZ" w:eastAsia="cs-CZ"/>
    </w:rPr>
  </w:style>
  <w:style w:type="paragraph" w:styleId="Hlavika">
    <w:name w:val="header"/>
    <w:basedOn w:val="Normlny"/>
    <w:link w:val="HlavikaChar"/>
    <w:uiPriority w:val="99"/>
    <w:unhideWhenUsed/>
    <w:rsid w:val="004F497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F4975"/>
    <w:rPr>
      <w:rFonts w:ascii="Calibri" w:eastAsia="Times New Roman" w:hAnsi="Calibri" w:cs="Times New Roman"/>
    </w:rPr>
  </w:style>
  <w:style w:type="paragraph" w:styleId="Pta">
    <w:name w:val="footer"/>
    <w:basedOn w:val="Normlny"/>
    <w:link w:val="PtaChar"/>
    <w:uiPriority w:val="99"/>
    <w:unhideWhenUsed/>
    <w:rsid w:val="004F4975"/>
    <w:pPr>
      <w:tabs>
        <w:tab w:val="center" w:pos="4536"/>
        <w:tab w:val="right" w:pos="9072"/>
      </w:tabs>
      <w:spacing w:after="0" w:line="240" w:lineRule="auto"/>
    </w:pPr>
  </w:style>
  <w:style w:type="character" w:customStyle="1" w:styleId="PtaChar">
    <w:name w:val="Päta Char"/>
    <w:basedOn w:val="Predvolenpsmoodseku"/>
    <w:link w:val="Pta"/>
    <w:uiPriority w:val="99"/>
    <w:rsid w:val="004F4975"/>
    <w:rPr>
      <w:rFonts w:ascii="Calibri" w:eastAsia="Times New Roman" w:hAnsi="Calibri" w:cs="Times New Roman"/>
    </w:rPr>
  </w:style>
  <w:style w:type="paragraph" w:styleId="Textbubliny">
    <w:name w:val="Balloon Text"/>
    <w:basedOn w:val="Normlny"/>
    <w:link w:val="TextbublinyChar"/>
    <w:uiPriority w:val="99"/>
    <w:semiHidden/>
    <w:unhideWhenUsed/>
    <w:rsid w:val="004F497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49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417901">
      <w:bodyDiv w:val="1"/>
      <w:marLeft w:val="0"/>
      <w:marRight w:val="0"/>
      <w:marTop w:val="0"/>
      <w:marBottom w:val="0"/>
      <w:divBdr>
        <w:top w:val="none" w:sz="0" w:space="0" w:color="auto"/>
        <w:left w:val="none" w:sz="0" w:space="0" w:color="auto"/>
        <w:bottom w:val="none" w:sz="0" w:space="0" w:color="auto"/>
        <w:right w:val="none" w:sz="0" w:space="0" w:color="auto"/>
      </w:divBdr>
    </w:div>
    <w:div w:id="13956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K/TXT/?uri=NIM:202108280&amp;qid=16590114154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23233-3D15-45E4-AEAC-8D0DE5F9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4340</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 SR</dc:creator>
  <cp:keywords/>
  <dc:description/>
  <cp:lastModifiedBy>Nikoleta Fekete</cp:lastModifiedBy>
  <cp:revision>3</cp:revision>
  <cp:lastPrinted>2022-10-26T11:31:00Z</cp:lastPrinted>
  <dcterms:created xsi:type="dcterms:W3CDTF">2022-10-26T11:10:00Z</dcterms:created>
  <dcterms:modified xsi:type="dcterms:W3CDTF">2022-10-26T11:31:00Z</dcterms:modified>
</cp:coreProperties>
</file>