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56ABC" w14:textId="77777777" w:rsidR="00C84AA6" w:rsidRPr="00C84AA6" w:rsidRDefault="00C84AA6" w:rsidP="002352C1">
      <w:pPr>
        <w:pStyle w:val="Default"/>
        <w:jc w:val="center"/>
      </w:pPr>
      <w:r w:rsidRPr="00C84AA6">
        <w:rPr>
          <w:b/>
          <w:bCs/>
        </w:rPr>
        <w:t>Dôvodová správa</w:t>
      </w:r>
    </w:p>
    <w:p w14:paraId="371C76D4" w14:textId="77777777" w:rsidR="00C84AA6" w:rsidRDefault="00C84AA6" w:rsidP="00C84AA6">
      <w:pPr>
        <w:pStyle w:val="Default"/>
        <w:jc w:val="both"/>
        <w:rPr>
          <w:b/>
          <w:bCs/>
        </w:rPr>
      </w:pPr>
    </w:p>
    <w:p w14:paraId="5A077642" w14:textId="77777777" w:rsidR="00C84AA6" w:rsidRPr="00C84AA6" w:rsidRDefault="00C84AA6" w:rsidP="00C84AA6">
      <w:pPr>
        <w:pStyle w:val="Default"/>
        <w:jc w:val="both"/>
        <w:rPr>
          <w:u w:val="single"/>
        </w:rPr>
      </w:pPr>
      <w:r w:rsidRPr="00C84AA6">
        <w:rPr>
          <w:b/>
          <w:bCs/>
          <w:u w:val="single"/>
        </w:rPr>
        <w:t xml:space="preserve">Všeobecná časť </w:t>
      </w:r>
    </w:p>
    <w:p w14:paraId="6B50BA9C" w14:textId="77777777" w:rsidR="00C84AA6" w:rsidRDefault="00C84AA6" w:rsidP="00C84AA6">
      <w:pPr>
        <w:pStyle w:val="Default"/>
        <w:jc w:val="both"/>
      </w:pPr>
    </w:p>
    <w:p w14:paraId="7C23321B" w14:textId="7F3B0EBB" w:rsidR="00C84AA6" w:rsidRPr="007576C8" w:rsidRDefault="00C84AA6" w:rsidP="00D84283">
      <w:pPr>
        <w:pStyle w:val="Default"/>
        <w:spacing w:after="120"/>
        <w:ind w:firstLine="709"/>
        <w:jc w:val="both"/>
      </w:pPr>
      <w:r w:rsidRPr="007576C8">
        <w:t>Návrh zákona</w:t>
      </w:r>
      <w:r w:rsidR="004D3993">
        <w:t xml:space="preserve">, ktorým sa mení </w:t>
      </w:r>
      <w:r w:rsidR="004D3993" w:rsidRPr="004D3993">
        <w:t>a dopĺňa zákon č. 149/2020 Z. z. o mimoriadnych štátnych zárukách a o doplnení niektorých zákonov a ktorým sa mení zákon č. 296/2012</w:t>
      </w:r>
      <w:r w:rsidR="00E936DA">
        <w:t xml:space="preserve"> Z. z.</w:t>
      </w:r>
      <w:r w:rsidR="004D3993" w:rsidRPr="004D3993">
        <w:t xml:space="preserve"> o Európskom mechanizme pre stabilitu a o doplnení niektorých zákonov</w:t>
      </w:r>
      <w:r w:rsidR="004D3993">
        <w:t xml:space="preserve"> </w:t>
      </w:r>
      <w:r w:rsidR="00EC3BE3" w:rsidRPr="007576C8">
        <w:t xml:space="preserve">sa vypracováva </w:t>
      </w:r>
      <w:r w:rsidR="004D3993">
        <w:t xml:space="preserve">a predkladá </w:t>
      </w:r>
      <w:r w:rsidR="00EC3BE3" w:rsidRPr="007576C8">
        <w:t xml:space="preserve">z dôvodu prijatia opatrení Európskej únie (EÚ) v reakcii na hospodársku situáciu </w:t>
      </w:r>
      <w:r w:rsidR="00243912">
        <w:t xml:space="preserve">v </w:t>
      </w:r>
      <w:r w:rsidR="00EC3BE3" w:rsidRPr="007576C8">
        <w:t xml:space="preserve">súvislosti </w:t>
      </w:r>
      <w:r w:rsidR="00243912">
        <w:t>s</w:t>
      </w:r>
      <w:r w:rsidR="00243912" w:rsidRPr="00404F6D">
        <w:t xml:space="preserve"> </w:t>
      </w:r>
      <w:r w:rsidR="00243912">
        <w:t xml:space="preserve">ruskou inváziou </w:t>
      </w:r>
      <w:r w:rsidR="003D3C4D">
        <w:t xml:space="preserve">do </w:t>
      </w:r>
      <w:r w:rsidR="00243912">
        <w:t>Ukrajiny a následne problémy s likviditou, ktorým Ukrajina čelí</w:t>
      </w:r>
      <w:r w:rsidR="00FF2596">
        <w:t xml:space="preserve"> v dôsledku tejto invázie.</w:t>
      </w:r>
    </w:p>
    <w:p w14:paraId="38F4C9E0" w14:textId="18FC4CEC" w:rsidR="00DC7179" w:rsidRDefault="00243912" w:rsidP="00D842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Vojna na Ukrajine má zásadný negatívny dopad na ekonomiku Ukrajiny. Vzhľadom na susedstvo mnohých členských štátov s Ukrajinou, tieto negatívne </w:t>
      </w:r>
      <w:r w:rsidR="00FF2596">
        <w:rPr>
          <w:rFonts w:ascii="Times New Roman" w:hAnsi="Times New Roman" w:cs="Times New Roman"/>
          <w:sz w:val="24"/>
          <w:szCs w:val="24"/>
        </w:rPr>
        <w:t>dopady ovplyvňujú aj krajiny EÚ, vrátane Slovenskej republiky.</w:t>
      </w:r>
      <w:r>
        <w:rPr>
          <w:rFonts w:ascii="Times New Roman" w:hAnsi="Times New Roman" w:cs="Times New Roman"/>
          <w:sz w:val="24"/>
          <w:szCs w:val="24"/>
        </w:rPr>
        <w:t xml:space="preserve"> V reak</w:t>
      </w:r>
      <w:r w:rsidR="00FF2596">
        <w:rPr>
          <w:rFonts w:ascii="Times New Roman" w:hAnsi="Times New Roman" w:cs="Times New Roman"/>
          <w:sz w:val="24"/>
          <w:szCs w:val="24"/>
        </w:rPr>
        <w:t>cii na túto situáciu vydala EÚ r</w:t>
      </w:r>
      <w:r w:rsidR="008C35D2">
        <w:rPr>
          <w:rFonts w:ascii="Times New Roman" w:hAnsi="Times New Roman" w:cs="Times New Roman"/>
          <w:sz w:val="24"/>
          <w:szCs w:val="24"/>
        </w:rPr>
        <w:t xml:space="preserve">ozhodnutie Európskeho </w:t>
      </w:r>
      <w:r w:rsidR="008C35D2" w:rsidRPr="003D3C4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3D3C4D">
        <w:rPr>
          <w:rFonts w:ascii="Times New Roman" w:hAnsi="Times New Roman" w:cs="Times New Roman"/>
          <w:color w:val="000000" w:themeColor="text1"/>
          <w:sz w:val="24"/>
          <w:szCs w:val="24"/>
        </w:rPr>
        <w:t>ar</w:t>
      </w:r>
      <w:r w:rsidR="00E936DA" w:rsidRPr="003D3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lamentu </w:t>
      </w:r>
      <w:r w:rsidR="00E936DA">
        <w:rPr>
          <w:rFonts w:ascii="Times New Roman" w:hAnsi="Times New Roman" w:cs="Times New Roman"/>
          <w:sz w:val="24"/>
          <w:szCs w:val="24"/>
        </w:rPr>
        <w:t xml:space="preserve">a Rady (EÚ) </w:t>
      </w:r>
      <w:r w:rsidR="00F33BF5">
        <w:rPr>
          <w:rFonts w:ascii="Times New Roman" w:hAnsi="Times New Roman" w:cs="Times New Roman"/>
          <w:sz w:val="24"/>
          <w:szCs w:val="24"/>
        </w:rPr>
        <w:t>2022/1628 z 20</w:t>
      </w:r>
      <w:r w:rsidR="00D842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septembra</w:t>
      </w:r>
      <w:r w:rsidR="00FF2596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, ktorým sa poskytuje výnimočná </w:t>
      </w:r>
      <w:proofErr w:type="spellStart"/>
      <w:r w:rsidR="00130939">
        <w:rPr>
          <w:rFonts w:ascii="Times New Roman" w:hAnsi="Times New Roman" w:cs="Times New Roman"/>
          <w:sz w:val="24"/>
          <w:szCs w:val="24"/>
        </w:rPr>
        <w:t>makro</w:t>
      </w:r>
      <w:r>
        <w:rPr>
          <w:rFonts w:ascii="Times New Roman" w:hAnsi="Times New Roman" w:cs="Times New Roman"/>
          <w:sz w:val="24"/>
          <w:szCs w:val="24"/>
        </w:rPr>
        <w:t>finančná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pomoc Ukrajine, posilňuje spoločný rezervný fond zárukami členských štátov a osobitnou tvorbou rezerv na niektoré finančné záväzky týkajúce sa Ukrajiny zaručené podľa rozhodnutia č. 466/2014/EÚ a ktorým sa mení rozhodnut</w:t>
      </w:r>
      <w:r w:rsidR="00FF2596">
        <w:rPr>
          <w:rFonts w:ascii="Times New Roman" w:hAnsi="Times New Roman" w:cs="Times New Roman"/>
          <w:sz w:val="24"/>
          <w:szCs w:val="24"/>
        </w:rPr>
        <w:t>ie (EÚ) 2022/1201</w:t>
      </w:r>
      <w:r w:rsidR="00F33BF5">
        <w:rPr>
          <w:rFonts w:ascii="Times New Roman" w:hAnsi="Times New Roman" w:cs="Times New Roman"/>
          <w:sz w:val="24"/>
          <w:szCs w:val="24"/>
        </w:rPr>
        <w:t xml:space="preserve"> </w:t>
      </w:r>
      <w:r w:rsidR="00F33BF5" w:rsidRPr="00F05DCD">
        <w:rPr>
          <w:rFonts w:ascii="Times New Roman" w:hAnsi="Times New Roman" w:cs="Times New Roman"/>
          <w:sz w:val="24"/>
          <w:szCs w:val="24"/>
        </w:rPr>
        <w:t>(Ú. v. EÚ L 245, 22. 9. 2022)</w:t>
      </w:r>
      <w:r w:rsidR="00130939">
        <w:rPr>
          <w:rFonts w:ascii="Times New Roman" w:hAnsi="Times New Roman" w:cs="Times New Roman"/>
          <w:sz w:val="24"/>
          <w:szCs w:val="24"/>
        </w:rPr>
        <w:t xml:space="preserve"> (ďalej len „rozhodnutie (EÚ) 2022/1628“)</w:t>
      </w:r>
      <w:r w:rsidR="00F33BF5" w:rsidRPr="00F05DCD">
        <w:rPr>
          <w:rFonts w:ascii="Times New Roman" w:hAnsi="Times New Roman" w:cs="Times New Roman"/>
          <w:sz w:val="24"/>
          <w:szCs w:val="24"/>
        </w:rPr>
        <w:t>.  </w:t>
      </w:r>
    </w:p>
    <w:p w14:paraId="45D54661" w14:textId="7D04CEE9" w:rsidR="00C84AA6" w:rsidRPr="00D84283" w:rsidRDefault="00FF2596" w:rsidP="00D842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Poskytnutie výnimočnej finančnej pomoci Ukrajine</w:t>
      </w:r>
      <w:r w:rsidR="00C84AA6" w:rsidRPr="00757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umožní reagovať </w:t>
      </w:r>
      <w:r w:rsidR="00C84AA6" w:rsidRPr="007576C8">
        <w:rPr>
          <w:rFonts w:ascii="Times New Roman" w:hAnsi="Times New Roman" w:cs="Times New Roman"/>
          <w:sz w:val="24"/>
          <w:szCs w:val="24"/>
        </w:rPr>
        <w:t xml:space="preserve">na </w:t>
      </w:r>
      <w:r w:rsidR="00243912">
        <w:rPr>
          <w:rFonts w:ascii="Times New Roman" w:hAnsi="Times New Roman" w:cs="Times New Roman"/>
          <w:sz w:val="24"/>
          <w:szCs w:val="24"/>
        </w:rPr>
        <w:t xml:space="preserve">hospodársku </w:t>
      </w:r>
      <w:r w:rsidR="00C84AA6" w:rsidRPr="007576C8">
        <w:rPr>
          <w:rFonts w:ascii="Times New Roman" w:hAnsi="Times New Roman" w:cs="Times New Roman"/>
          <w:sz w:val="24"/>
          <w:szCs w:val="24"/>
        </w:rPr>
        <w:t>krízu</w:t>
      </w:r>
      <w:r w:rsidR="00243912">
        <w:rPr>
          <w:rFonts w:ascii="Times New Roman" w:hAnsi="Times New Roman" w:cs="Times New Roman"/>
          <w:sz w:val="24"/>
          <w:szCs w:val="24"/>
        </w:rPr>
        <w:t xml:space="preserve"> v súvislosti s ruskou inváziou koordinovane a účinne v duchu solidarity EÚ so susedskými štátmi. Toto opatrenie pomôže pokryť časť likvidnej medzery, ktorej čelí Ukrajina v súvislosti s vojnou a tak zmierni negatívn</w:t>
      </w:r>
      <w:r>
        <w:rPr>
          <w:rFonts w:ascii="Times New Roman" w:hAnsi="Times New Roman" w:cs="Times New Roman"/>
          <w:sz w:val="24"/>
          <w:szCs w:val="24"/>
        </w:rPr>
        <w:t>e finančné a hospodárske dopady, ktorým by v prípade platobnej neschopnosti Ukrajiny boli vystavené aj členské štáty Únie, medzi nimi aj Slovenská republika ako susedský štát.</w:t>
      </w:r>
    </w:p>
    <w:p w14:paraId="1FE5A4CA" w14:textId="15527150" w:rsidR="00C84AA6" w:rsidRPr="007576C8" w:rsidRDefault="00243912" w:rsidP="00D84283">
      <w:pPr>
        <w:pStyle w:val="Default"/>
        <w:spacing w:after="120"/>
        <w:ind w:firstLine="709"/>
        <w:jc w:val="both"/>
      </w:pPr>
      <w:r w:rsidRPr="00243912">
        <w:t>Návrh zákona sa predkladá z dôvodu potreby zavedenia právnej úpravy v SR na poskytnutie, správu</w:t>
      </w:r>
      <w:r w:rsidR="00FF2596">
        <w:t xml:space="preserve"> a realizáciu </w:t>
      </w:r>
      <w:r w:rsidR="00FF2596" w:rsidRPr="004D3993">
        <w:t>mimoriadnych štátnych</w:t>
      </w:r>
      <w:r w:rsidR="00FF2596">
        <w:t xml:space="preserve"> záruk na základe rozhodnutia</w:t>
      </w:r>
      <w:r w:rsidRPr="00243912">
        <w:t xml:space="preserve"> </w:t>
      </w:r>
      <w:r w:rsidR="00F05DCD">
        <w:t>(EÚ) 2022/1628</w:t>
      </w:r>
      <w:r w:rsidR="00FF2596">
        <w:t xml:space="preserve"> a</w:t>
      </w:r>
      <w:r w:rsidR="009C3CB2">
        <w:t> z dôvodu určenia</w:t>
      </w:r>
      <w:r w:rsidR="00FF2596">
        <w:t xml:space="preserve"> orgánov zodpovedných za </w:t>
      </w:r>
      <w:r w:rsidR="00FF2596" w:rsidRPr="00243912">
        <w:t>poskytnutie, správu</w:t>
      </w:r>
      <w:r w:rsidR="00FF2596">
        <w:t xml:space="preserve"> a realizáciu </w:t>
      </w:r>
      <w:r w:rsidR="00FF2596" w:rsidRPr="004D3993">
        <w:t>mimoriadnych štátnych</w:t>
      </w:r>
      <w:r w:rsidR="00FF2596">
        <w:t xml:space="preserve"> záruk</w:t>
      </w:r>
      <w:r w:rsidRPr="00243912">
        <w:t>.</w:t>
      </w:r>
      <w:r w:rsidR="00FE193C">
        <w:t xml:space="preserve"> Návrh zákona zároveň mení určenie výšky záruky Slovenskej republiky voči Európskemu mechanizmu pre stabilitu, pričom sa nahrádza konkrétna suma podľa pôvodného kľúča z roku 2012 v § 2 ods. 1 zákona č. 296/2012 Z. z. o Európskom mechanizme pre stabilitu a o doplnení niektorých zákonov. Pôvodný kľúč pre výpočet záruky Slovenskej republike bol niekoľkokrát menený a teda suma uvádzaná v zákone už nie je aktuálna. Zároveň vstupom ostatných krajín do eurozóny bude tento kľúč aj v budúcnosti menený. Zmenou zákona teda prichádza k zjednoteniu právneho a skutočného stavu a zároveň sa zabezpečí, že nebude potrebné zákon novelizovať pri každej budúcej zmene kľúča.</w:t>
      </w:r>
    </w:p>
    <w:p w14:paraId="4FB5FAA8" w14:textId="053101D7" w:rsidR="00C84AA6" w:rsidRPr="007576C8" w:rsidRDefault="00C84AA6" w:rsidP="00D84283">
      <w:pPr>
        <w:pStyle w:val="Default"/>
        <w:spacing w:after="120"/>
        <w:ind w:firstLine="709"/>
        <w:jc w:val="both"/>
      </w:pPr>
      <w:r w:rsidRPr="007576C8">
        <w:t xml:space="preserve">Návrh zákona je v súlade s Ústavou Slovenskej republiky, ústavnými zákonmi, s nálezmi Ústavného súdu Slovenskej republiky, inými právnymi predpismi Slovenskej republiky, medzinárodnými zmluvami a inými medzinárodnými dokumentmi, ktorými je Slovenská republika viazaná a s právom Európskej únie. </w:t>
      </w:r>
    </w:p>
    <w:p w14:paraId="65242FE2" w14:textId="53C70716" w:rsidR="009C3CB2" w:rsidRPr="003D3C4D" w:rsidRDefault="00C84AA6" w:rsidP="00D84283">
      <w:pPr>
        <w:pStyle w:val="Default"/>
        <w:spacing w:after="120"/>
        <w:ind w:firstLine="709"/>
        <w:jc w:val="both"/>
        <w:rPr>
          <w:color w:val="000000" w:themeColor="text1"/>
        </w:rPr>
      </w:pPr>
      <w:r w:rsidRPr="007576C8">
        <w:t>Návrh zákona nemá vplyv na rozpočet verejnej správy, sociálne vplyvy, vplyvy na životné prostredie, vplyvy na manželstvo, rodičovstvo a rodinu a</w:t>
      </w:r>
      <w:r w:rsidR="00AA49D0">
        <w:t xml:space="preserve"> na informatizáciu spoločnosti, </w:t>
      </w:r>
      <w:r w:rsidRPr="007576C8">
        <w:t xml:space="preserve">služby verejnej správy pre občana, </w:t>
      </w:r>
      <w:bookmarkStart w:id="0" w:name="_GoBack"/>
      <w:r w:rsidR="00AA49D0" w:rsidRPr="003D3C4D">
        <w:rPr>
          <w:color w:val="000000" w:themeColor="text1"/>
        </w:rPr>
        <w:t>ani na</w:t>
      </w:r>
      <w:r w:rsidRPr="003D3C4D">
        <w:rPr>
          <w:color w:val="000000" w:themeColor="text1"/>
        </w:rPr>
        <w:t xml:space="preserve"> podnikateľské prostredie. </w:t>
      </w:r>
    </w:p>
    <w:bookmarkEnd w:id="0"/>
    <w:p w14:paraId="7EAA20CF" w14:textId="77777777" w:rsidR="00250C5B" w:rsidRPr="007576C8" w:rsidRDefault="00C84AA6" w:rsidP="00D84283">
      <w:pPr>
        <w:pStyle w:val="Default"/>
        <w:spacing w:after="120"/>
        <w:ind w:firstLine="709"/>
        <w:jc w:val="both"/>
      </w:pPr>
      <w:r w:rsidRPr="007576C8">
        <w:t>Účinnosť návrhu zákona sa navrhuje dňom vyhlásenia.</w:t>
      </w:r>
    </w:p>
    <w:sectPr w:rsidR="00250C5B" w:rsidRPr="007576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8021B" w14:textId="77777777" w:rsidR="00553602" w:rsidRDefault="00553602" w:rsidP="00553602">
      <w:pPr>
        <w:spacing w:after="0" w:line="240" w:lineRule="auto"/>
      </w:pPr>
      <w:r>
        <w:separator/>
      </w:r>
    </w:p>
  </w:endnote>
  <w:endnote w:type="continuationSeparator" w:id="0">
    <w:p w14:paraId="5C1C16E4" w14:textId="77777777" w:rsidR="00553602" w:rsidRDefault="00553602" w:rsidP="0055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FA3AA" w14:textId="77777777" w:rsidR="00553602" w:rsidRDefault="0055360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EDC45" w14:textId="77777777" w:rsidR="00553602" w:rsidRDefault="0055360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1080F" w14:textId="77777777" w:rsidR="00553602" w:rsidRDefault="005536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318C2" w14:textId="77777777" w:rsidR="00553602" w:rsidRDefault="00553602" w:rsidP="00553602">
      <w:pPr>
        <w:spacing w:after="0" w:line="240" w:lineRule="auto"/>
      </w:pPr>
      <w:r>
        <w:separator/>
      </w:r>
    </w:p>
  </w:footnote>
  <w:footnote w:type="continuationSeparator" w:id="0">
    <w:p w14:paraId="45BF6800" w14:textId="77777777" w:rsidR="00553602" w:rsidRDefault="00553602" w:rsidP="0055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E1122" w14:textId="77777777" w:rsidR="00553602" w:rsidRDefault="0055360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02B3C" w14:textId="77777777" w:rsidR="00553602" w:rsidRDefault="0055360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62EC2" w14:textId="77777777" w:rsidR="00553602" w:rsidRDefault="0055360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A6"/>
    <w:rsid w:val="00130939"/>
    <w:rsid w:val="002352C1"/>
    <w:rsid w:val="00242953"/>
    <w:rsid w:val="00243912"/>
    <w:rsid w:val="00250C5B"/>
    <w:rsid w:val="002B3850"/>
    <w:rsid w:val="002B4312"/>
    <w:rsid w:val="003D3C4D"/>
    <w:rsid w:val="004D3993"/>
    <w:rsid w:val="00526126"/>
    <w:rsid w:val="00551B5E"/>
    <w:rsid w:val="00553602"/>
    <w:rsid w:val="006E0B54"/>
    <w:rsid w:val="007576C8"/>
    <w:rsid w:val="0081266C"/>
    <w:rsid w:val="0082295B"/>
    <w:rsid w:val="008C35D2"/>
    <w:rsid w:val="009C3CB2"/>
    <w:rsid w:val="00A22C9A"/>
    <w:rsid w:val="00AA1047"/>
    <w:rsid w:val="00AA49D0"/>
    <w:rsid w:val="00C75D97"/>
    <w:rsid w:val="00C84AA6"/>
    <w:rsid w:val="00D84283"/>
    <w:rsid w:val="00DC45D4"/>
    <w:rsid w:val="00DC7179"/>
    <w:rsid w:val="00E936DA"/>
    <w:rsid w:val="00EC3BE3"/>
    <w:rsid w:val="00EE0873"/>
    <w:rsid w:val="00F05DCD"/>
    <w:rsid w:val="00F33BF5"/>
    <w:rsid w:val="00FE193C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B2792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84A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2439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391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391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39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391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391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53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3602"/>
  </w:style>
  <w:style w:type="paragraph" w:styleId="Pta">
    <w:name w:val="footer"/>
    <w:basedOn w:val="Normlny"/>
    <w:link w:val="PtaChar"/>
    <w:uiPriority w:val="99"/>
    <w:unhideWhenUsed/>
    <w:rsid w:val="00553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3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2022-09-26T09:11:00Z</dcterms:created>
  <dcterms:modified xsi:type="dcterms:W3CDTF">2022-10-21T09:18:00Z</dcterms:modified>
</cp:coreProperties>
</file>