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46" w:rsidRPr="000C420F" w:rsidRDefault="00AF3046" w:rsidP="00AF3046">
      <w:pPr>
        <w:jc w:val="center"/>
      </w:pPr>
      <w:r w:rsidRPr="000C420F">
        <w:t>Návrh</w:t>
      </w:r>
    </w:p>
    <w:p w:rsidR="00AF3046" w:rsidRPr="000C420F" w:rsidRDefault="00AF3046" w:rsidP="00AF3046"/>
    <w:p w:rsidR="00AF3046" w:rsidRPr="000C420F" w:rsidRDefault="00AF3046" w:rsidP="00AF3046">
      <w:pPr>
        <w:jc w:val="center"/>
        <w:rPr>
          <w:b/>
        </w:rPr>
      </w:pPr>
      <w:r w:rsidRPr="000C420F">
        <w:rPr>
          <w:b/>
        </w:rPr>
        <w:t xml:space="preserve">NARIADENIE VLÁDY </w:t>
      </w:r>
    </w:p>
    <w:p w:rsidR="00AF3046" w:rsidRPr="000C420F" w:rsidRDefault="00AF3046" w:rsidP="00AF3046">
      <w:pPr>
        <w:jc w:val="center"/>
        <w:rPr>
          <w:b/>
        </w:rPr>
      </w:pPr>
      <w:r w:rsidRPr="000C420F">
        <w:rPr>
          <w:b/>
        </w:rPr>
        <w:t>Slovenskej republiky</w:t>
      </w:r>
    </w:p>
    <w:p w:rsidR="00AF3046" w:rsidRPr="000C420F" w:rsidRDefault="00AF3046" w:rsidP="00AF3046">
      <w:pPr>
        <w:jc w:val="center"/>
        <w:rPr>
          <w:b/>
        </w:rPr>
      </w:pPr>
    </w:p>
    <w:p w:rsidR="00AF3046" w:rsidRPr="000C420F" w:rsidRDefault="00AF3046" w:rsidP="00AF3046">
      <w:pPr>
        <w:jc w:val="center"/>
      </w:pPr>
      <w:r w:rsidRPr="000C420F">
        <w:t>z</w:t>
      </w:r>
      <w:r>
        <w:t xml:space="preserve"> ............................2022,</w:t>
      </w:r>
    </w:p>
    <w:p w:rsidR="00AF3046" w:rsidRPr="000C420F" w:rsidRDefault="00AF3046" w:rsidP="00AF3046">
      <w:pPr>
        <w:jc w:val="center"/>
        <w:rPr>
          <w:b/>
        </w:rPr>
      </w:pPr>
    </w:p>
    <w:p w:rsidR="00AF3046" w:rsidRPr="000C420F" w:rsidRDefault="00AF3046" w:rsidP="00AF3046">
      <w:pPr>
        <w:ind w:firstLine="426"/>
        <w:jc w:val="center"/>
        <w:rPr>
          <w:b/>
        </w:rPr>
      </w:pPr>
      <w:r>
        <w:rPr>
          <w:b/>
        </w:rPr>
        <w:t>ktorým sa mení a dopĺňa nariadenie vlády Slovenskej republiky č. 419/2014 Z. z. o limitoch výdavkov na obstaranie osobných automobilov štátnymi rozpočtovými organizáciami a štátnymi príspevkovými organizáciami</w:t>
      </w:r>
    </w:p>
    <w:p w:rsidR="00AF3046" w:rsidRPr="000C420F" w:rsidRDefault="00AF3046" w:rsidP="00AF3046">
      <w:pPr>
        <w:jc w:val="center"/>
        <w:rPr>
          <w:b/>
        </w:rPr>
      </w:pPr>
    </w:p>
    <w:p w:rsidR="00AF3046" w:rsidRPr="000C420F" w:rsidRDefault="00AF3046" w:rsidP="00AF3046">
      <w:pPr>
        <w:jc w:val="center"/>
        <w:rPr>
          <w:b/>
        </w:rPr>
      </w:pPr>
    </w:p>
    <w:p w:rsidR="00AF3046" w:rsidRPr="000C420F" w:rsidRDefault="00AF3046" w:rsidP="00AF3046">
      <w:pPr>
        <w:ind w:firstLine="426"/>
        <w:jc w:val="both"/>
      </w:pPr>
      <w:r w:rsidRPr="000C420F">
        <w:t>Vláda Slovensk</w:t>
      </w:r>
      <w:r>
        <w:t>ej republiky podľa § 26</w:t>
      </w:r>
      <w:r w:rsidRPr="000C420F">
        <w:t xml:space="preserve"> ods. 1</w:t>
      </w:r>
      <w:r>
        <w:t>1 zákona č. 523</w:t>
      </w:r>
      <w:r w:rsidRPr="000C420F">
        <w:t>/2004 Z. z. o</w:t>
      </w:r>
      <w:r>
        <w:t xml:space="preserve"> rozpočtových pravidlách verejnej správy a o zmene a doplnení niektorých zákonov v znení </w:t>
      </w:r>
      <w:r w:rsidR="00CC0B0E">
        <w:t>neskorších predpisov</w:t>
      </w:r>
      <w:r>
        <w:t xml:space="preserve"> </w:t>
      </w:r>
      <w:r w:rsidRPr="000C420F">
        <w:t xml:space="preserve">nariaďuje: </w:t>
      </w:r>
    </w:p>
    <w:p w:rsidR="00AF3046" w:rsidRPr="000C420F" w:rsidRDefault="00AF3046" w:rsidP="00AF3046">
      <w:pPr>
        <w:jc w:val="both"/>
      </w:pPr>
    </w:p>
    <w:p w:rsidR="00AF3046" w:rsidRPr="000C420F" w:rsidRDefault="00AF3046" w:rsidP="00AF3046">
      <w:pPr>
        <w:jc w:val="center"/>
      </w:pPr>
      <w:r>
        <w:t>§ 1</w:t>
      </w:r>
    </w:p>
    <w:p w:rsidR="00AF3046" w:rsidRPr="000C420F" w:rsidRDefault="00AF3046" w:rsidP="00AF3046">
      <w:pPr>
        <w:jc w:val="center"/>
      </w:pPr>
    </w:p>
    <w:p w:rsidR="00AF3046" w:rsidRPr="00B3020A" w:rsidRDefault="00AF3046" w:rsidP="00AF3046">
      <w:pPr>
        <w:jc w:val="both"/>
      </w:pPr>
      <w:r w:rsidRPr="00B3020A">
        <w:t>Limity výdavkov na obstaranie osobných automobilov štátnymi rozpočtovými organizáciami a  štátnymi príspevkovými organizáciami, ktoré sú určené výlučne na prepravu osôb a okruh osôb, na ktoré sa tieto limity vzťahujú, sú ustanovené v prílohe.</w:t>
      </w:r>
    </w:p>
    <w:p w:rsidR="00AF3046" w:rsidRDefault="00AF3046" w:rsidP="00AF3046">
      <w:pPr>
        <w:ind w:firstLine="357"/>
        <w:jc w:val="both"/>
      </w:pPr>
      <w:r>
        <w:t xml:space="preserve">  </w:t>
      </w:r>
    </w:p>
    <w:p w:rsidR="00AF3046" w:rsidRPr="000C420F" w:rsidRDefault="00AF3046" w:rsidP="00AF3046">
      <w:pPr>
        <w:ind w:firstLine="357"/>
        <w:jc w:val="both"/>
      </w:pPr>
    </w:p>
    <w:p w:rsidR="00AF3046" w:rsidRPr="000C420F" w:rsidRDefault="00AF3046" w:rsidP="00AF3046">
      <w:pPr>
        <w:pStyle w:val="Odsekzoznamu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F3046" w:rsidRDefault="00AF3046" w:rsidP="00AF3046">
      <w:pPr>
        <w:rPr>
          <w:color w:val="000000"/>
        </w:rPr>
      </w:pPr>
      <w:r w:rsidRPr="000C420F">
        <w:rPr>
          <w:color w:val="000000"/>
        </w:rPr>
        <w:t>Toto nariadenie vlády nadobúda účinnosť 1. januára 2015.</w:t>
      </w: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rPr>
          <w:color w:val="000000"/>
        </w:rPr>
      </w:pPr>
    </w:p>
    <w:p w:rsidR="00AF3046" w:rsidRDefault="00AF3046" w:rsidP="00AF3046">
      <w:pPr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ind w:left="709"/>
        <w:rPr>
          <w:color w:val="000000"/>
        </w:rPr>
      </w:pPr>
    </w:p>
    <w:p w:rsidR="00AF3046" w:rsidRDefault="00AF3046" w:rsidP="00AF3046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</w:t>
      </w:r>
    </w:p>
    <w:p w:rsidR="00AF3046" w:rsidRDefault="00AF3046" w:rsidP="00AF3046">
      <w:pPr>
        <w:ind w:left="4956" w:firstLine="708"/>
        <w:rPr>
          <w:b/>
          <w:bCs/>
        </w:rPr>
      </w:pPr>
      <w:r>
        <w:rPr>
          <w:b/>
          <w:bCs/>
        </w:rPr>
        <w:t xml:space="preserve">Príloha </w:t>
      </w:r>
    </w:p>
    <w:p w:rsidR="00AF3046" w:rsidRDefault="00AF3046" w:rsidP="00AF3046">
      <w:pPr>
        <w:jc w:val="right"/>
        <w:rPr>
          <w:b/>
          <w:bCs/>
        </w:rPr>
      </w:pPr>
      <w:r>
        <w:rPr>
          <w:b/>
          <w:bCs/>
        </w:rPr>
        <w:t>k nariadeniu vlády č. .../2014 Z. z.</w:t>
      </w:r>
    </w:p>
    <w:p w:rsidR="00AF3046" w:rsidRDefault="00AF3046" w:rsidP="00AF3046">
      <w:pPr>
        <w:pStyle w:val="Nadpis1"/>
      </w:pPr>
    </w:p>
    <w:p w:rsidR="00AF3046" w:rsidRDefault="00AF3046" w:rsidP="00AF3046">
      <w:pPr>
        <w:pStyle w:val="Nadpis1"/>
      </w:pPr>
    </w:p>
    <w:p w:rsidR="00AF3046" w:rsidRPr="00DF3486" w:rsidRDefault="00AF3046" w:rsidP="00AF3046"/>
    <w:p w:rsidR="00AF3046" w:rsidRPr="000C420F" w:rsidRDefault="00AF3046" w:rsidP="00AF3046">
      <w:pPr>
        <w:ind w:firstLine="426"/>
        <w:jc w:val="center"/>
        <w:rPr>
          <w:b/>
        </w:rPr>
      </w:pPr>
      <w:r w:rsidRPr="003B54DB">
        <w:rPr>
          <w:b/>
        </w:rPr>
        <w:t>Limity výdavkov na obstaranie osobných automobilov</w:t>
      </w:r>
      <w:r>
        <w:t xml:space="preserve"> </w:t>
      </w:r>
      <w:r>
        <w:rPr>
          <w:b/>
        </w:rPr>
        <w:t>štátnymi rozpočtovými organizáciami a štátnymi príspevkovými organizáciami</w:t>
      </w:r>
    </w:p>
    <w:p w:rsidR="00AF3046" w:rsidRPr="00DF3486" w:rsidRDefault="00AF3046" w:rsidP="00AF3046">
      <w:pPr>
        <w:pStyle w:val="Nadpis1"/>
      </w:pPr>
    </w:p>
    <w:p w:rsidR="00AF3046" w:rsidRPr="00DF3486" w:rsidRDefault="00AF3046" w:rsidP="00AF3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336"/>
        <w:gridCol w:w="3198"/>
      </w:tblGrid>
      <w:tr w:rsidR="00AF3046" w:rsidRPr="000042F0" w:rsidTr="00983E77">
        <w:tc>
          <w:tcPr>
            <w:tcW w:w="5864" w:type="dxa"/>
            <w:gridSpan w:val="2"/>
            <w:vAlign w:val="center"/>
          </w:tcPr>
          <w:p w:rsidR="00AF3046" w:rsidRPr="000042F0" w:rsidRDefault="00AF3046" w:rsidP="00983E77">
            <w:pPr>
              <w:jc w:val="center"/>
              <w:rPr>
                <w:b/>
              </w:rPr>
            </w:pPr>
            <w:r>
              <w:rPr>
                <w:b/>
              </w:rPr>
              <w:t>Obstarávanie osobných automobilov určených na prepravu</w:t>
            </w:r>
          </w:p>
        </w:tc>
        <w:tc>
          <w:tcPr>
            <w:tcW w:w="3198" w:type="dxa"/>
            <w:vAlign w:val="center"/>
          </w:tcPr>
          <w:p w:rsidR="00AF3046" w:rsidRPr="00B42C16" w:rsidRDefault="00AF3046" w:rsidP="00983E77">
            <w:pPr>
              <w:jc w:val="center"/>
              <w:rPr>
                <w:b/>
              </w:rPr>
            </w:pPr>
            <w:r w:rsidRPr="00B42C16">
              <w:rPr>
                <w:b/>
              </w:rPr>
              <w:t>Limit výdavkov</w:t>
            </w:r>
          </w:p>
          <w:p w:rsidR="00AF3046" w:rsidRPr="000042F0" w:rsidRDefault="00AF3046" w:rsidP="00983E77">
            <w:pPr>
              <w:jc w:val="center"/>
              <w:rPr>
                <w:b/>
              </w:rPr>
            </w:pPr>
            <w:r w:rsidRPr="00B42C16">
              <w:rPr>
                <w:b/>
              </w:rPr>
              <w:t>bez dane z pridanej hodnoty</w:t>
            </w:r>
          </w:p>
          <w:p w:rsidR="00AF3046" w:rsidRPr="000042F0" w:rsidRDefault="00AF3046" w:rsidP="00983E77">
            <w:pPr>
              <w:rPr>
                <w:b/>
              </w:rPr>
            </w:pPr>
          </w:p>
        </w:tc>
      </w:tr>
      <w:tr w:rsidR="00AF3046" w:rsidRPr="000042F0" w:rsidTr="00983E77">
        <w:tc>
          <w:tcPr>
            <w:tcW w:w="528" w:type="dxa"/>
          </w:tcPr>
          <w:p w:rsidR="00AF3046" w:rsidRPr="000042F0" w:rsidRDefault="00AF3046" w:rsidP="00983E77">
            <w:r w:rsidRPr="000042F0">
              <w:t>1.</w:t>
            </w:r>
          </w:p>
        </w:tc>
        <w:tc>
          <w:tcPr>
            <w:tcW w:w="5336" w:type="dxa"/>
            <w:vAlign w:val="center"/>
          </w:tcPr>
          <w:p w:rsidR="00AF3046" w:rsidRPr="00A213FC" w:rsidRDefault="00AF3046" w:rsidP="00260C87">
            <w:pPr>
              <w:jc w:val="both"/>
              <w:rPr>
                <w:u w:val="single"/>
              </w:rPr>
            </w:pPr>
            <w:r>
              <w:t xml:space="preserve">štátnych tajomníkov, </w:t>
            </w:r>
            <w:r w:rsidR="00260C87" w:rsidRPr="00260C87">
              <w:rPr>
                <w:color w:val="FF0000"/>
              </w:rPr>
              <w:t>generálnych tajomníkov</w:t>
            </w:r>
            <w:r w:rsidRPr="00260C87">
              <w:rPr>
                <w:color w:val="FF0000"/>
              </w:rPr>
              <w:t xml:space="preserve"> </w:t>
            </w:r>
            <w:r w:rsidRPr="00BD75F8">
              <w:t>služobných</w:t>
            </w:r>
            <w:r>
              <w:t xml:space="preserve"> </w:t>
            </w:r>
            <w:r w:rsidRPr="000042F0">
              <w:t>úradov ministerstiev, v</w:t>
            </w:r>
            <w:r>
              <w:t>edúceho</w:t>
            </w:r>
            <w:r w:rsidRPr="000042F0">
              <w:t xml:space="preserve"> Úradu vlády Slovenskej republiky</w:t>
            </w:r>
            <w:r>
              <w:t>, riaditeľa Národného bezpečnostného úradu, predsedov</w:t>
            </w:r>
            <w:r w:rsidRPr="000042F0">
              <w:t xml:space="preserve"> ostatných ústredných orgánov štátnej správy</w:t>
            </w:r>
            <w:r>
              <w:t xml:space="preserve">, predsedu Najvyššieho súdu Slovenskej republiky, predsedu Súdnej rady Slovenskej republiky, predsedu Najvyššieho kontrolného úradu, </w:t>
            </w:r>
            <w:r w:rsidRPr="00D132AA">
              <w:t>predsedu Úradu pre reguláciu sieťových odvetví</w:t>
            </w:r>
            <w:r>
              <w:t xml:space="preserve">, verejného ochrancu práv, prezidenta finančnej </w:t>
            </w:r>
            <w:r w:rsidRPr="00D132AA">
              <w:t>správy, prvého námestníka generálneho prokurátora, náčelníka Generálneho štábu Ozbrojených síl Slovenskej republiky</w:t>
            </w:r>
            <w:r>
              <w:t>, vedúceho Kancelárie prezidenta Slovenskej republiky, vedúceho Kancelárie Národnej rady Slovenskej republiky</w:t>
            </w:r>
          </w:p>
        </w:tc>
        <w:tc>
          <w:tcPr>
            <w:tcW w:w="3198" w:type="dxa"/>
            <w:vAlign w:val="center"/>
          </w:tcPr>
          <w:p w:rsidR="00AF3046" w:rsidRPr="000042F0" w:rsidRDefault="00AF3046" w:rsidP="00983E77">
            <w:pPr>
              <w:jc w:val="center"/>
            </w:pPr>
            <w:r w:rsidRPr="000042F0">
              <w:t>48</w:t>
            </w:r>
            <w:r>
              <w:t> </w:t>
            </w:r>
            <w:r w:rsidRPr="000042F0">
              <w:t>000</w:t>
            </w:r>
            <w:r>
              <w:t xml:space="preserve"> eur</w:t>
            </w:r>
          </w:p>
        </w:tc>
      </w:tr>
      <w:tr w:rsidR="00AF3046" w:rsidRPr="000042F0" w:rsidTr="00983E77">
        <w:tc>
          <w:tcPr>
            <w:tcW w:w="528" w:type="dxa"/>
          </w:tcPr>
          <w:p w:rsidR="00AF3046" w:rsidRPr="000042F0" w:rsidRDefault="00AF3046" w:rsidP="00983E77">
            <w:r w:rsidRPr="000042F0">
              <w:t xml:space="preserve">2. </w:t>
            </w:r>
          </w:p>
        </w:tc>
        <w:tc>
          <w:tcPr>
            <w:tcW w:w="5336" w:type="dxa"/>
            <w:vAlign w:val="center"/>
          </w:tcPr>
          <w:p w:rsidR="00AF3046" w:rsidRPr="000042F0" w:rsidRDefault="00AF3046" w:rsidP="00983E77">
            <w:pPr>
              <w:jc w:val="both"/>
            </w:pPr>
            <w:r>
              <w:t xml:space="preserve">podpredsedov </w:t>
            </w:r>
            <w:r w:rsidRPr="000042F0">
              <w:t>ostatných ústredných org</w:t>
            </w:r>
            <w:r>
              <w:t xml:space="preserve">ánov štátnej správy, </w:t>
            </w:r>
            <w:r w:rsidR="00D507D0" w:rsidRPr="00260C87">
              <w:rPr>
                <w:color w:val="FF0000"/>
              </w:rPr>
              <w:t xml:space="preserve">generálnych tajomníkov </w:t>
            </w:r>
            <w:r w:rsidR="00D507D0" w:rsidRPr="00BD75F8">
              <w:t>služobných</w:t>
            </w:r>
            <w:r w:rsidR="00D507D0">
              <w:rPr>
                <w:color w:val="FF0000"/>
              </w:rPr>
              <w:t xml:space="preserve"> </w:t>
            </w:r>
            <w:r w:rsidR="00D507D0" w:rsidRPr="00D507D0">
              <w:t>úradov</w:t>
            </w:r>
            <w:r w:rsidRPr="00D507D0">
              <w:t xml:space="preserve"> </w:t>
            </w:r>
            <w:r>
              <w:t xml:space="preserve">ostatných ústredných orgánov štátnej správy, predsedov krajských súdov, krajských prokurátorov, vedúceho Kancelárie Ústavného súdu Slovenskej republiky, vedúceho Kancelárie Súdnej rady Slovenskej republiky, vedúceho Kancelárie verejného ochrancu </w:t>
            </w:r>
            <w:r w:rsidRPr="00D132AA">
              <w:t>práv, splnomocnencov vlády Slovenskej republiky, námestníka riaditeľa Národného bezpečnostného úradu, ďalších námestníkov generálneho prokurátora, predsedu Úradu na ochranu osobných údajov S</w:t>
            </w:r>
            <w:r>
              <w:t>lovenskej republiky</w:t>
            </w:r>
            <w:r w:rsidRPr="00D132AA">
              <w:t>, predsedu</w:t>
            </w:r>
            <w:r>
              <w:t xml:space="preserve"> </w:t>
            </w:r>
            <w:r w:rsidRPr="00D132AA">
              <w:t>Úradu pre reguláciu elektronických komunikácií a poštových služieb</w:t>
            </w:r>
            <w:r>
              <w:t>,</w:t>
            </w:r>
            <w:r w:rsidRPr="00D132AA">
              <w:t> predsedu Dopravného úradu</w:t>
            </w:r>
            <w:r>
              <w:t>, podpredsedov Ústavného súdu Slovenskej republiky, podpredsedov Najvyššieho súdu Slovenskej republiky, podpredsedov Súdnej rady Slovenskej republiky, podpredsedov Najvyššieho kontrolného úradu</w:t>
            </w:r>
          </w:p>
        </w:tc>
        <w:tc>
          <w:tcPr>
            <w:tcW w:w="3198" w:type="dxa"/>
            <w:vAlign w:val="center"/>
          </w:tcPr>
          <w:p w:rsidR="00AF3046" w:rsidRPr="000042F0" w:rsidRDefault="00AF3046" w:rsidP="00983E77">
            <w:pPr>
              <w:jc w:val="center"/>
            </w:pPr>
            <w:r>
              <w:t>43 000 eur</w:t>
            </w:r>
          </w:p>
        </w:tc>
      </w:tr>
      <w:tr w:rsidR="00AF3046" w:rsidRPr="000042F0" w:rsidTr="00983E77">
        <w:tc>
          <w:tcPr>
            <w:tcW w:w="528" w:type="dxa"/>
          </w:tcPr>
          <w:p w:rsidR="00AF3046" w:rsidRPr="000042F0" w:rsidRDefault="00AF3046" w:rsidP="00983E77">
            <w:r w:rsidRPr="000042F0">
              <w:t xml:space="preserve">3. </w:t>
            </w:r>
          </w:p>
        </w:tc>
        <w:tc>
          <w:tcPr>
            <w:tcW w:w="5336" w:type="dxa"/>
            <w:vAlign w:val="center"/>
          </w:tcPr>
          <w:p w:rsidR="00AF3046" w:rsidRPr="000042F0" w:rsidRDefault="00AF3046" w:rsidP="00887550">
            <w:pPr>
              <w:jc w:val="both"/>
            </w:pPr>
            <w:r>
              <w:t>generálnych riaditeľov a riaditeľov</w:t>
            </w:r>
            <w:r w:rsidRPr="000042F0">
              <w:t xml:space="preserve"> sekcií ministerstiev a ostatných ústredných org</w:t>
            </w:r>
            <w:r>
              <w:t xml:space="preserve">ánov štátnej správy, predsedov okresných súdov, okresných </w:t>
            </w:r>
            <w:r>
              <w:lastRenderedPageBreak/>
              <w:t>prokurátorov, prednostov</w:t>
            </w:r>
            <w:r w:rsidRPr="000042F0">
              <w:t xml:space="preserve"> okresných úradov</w:t>
            </w:r>
            <w:r>
              <w:t xml:space="preserve">, </w:t>
            </w:r>
            <w:r w:rsidRPr="00D132AA">
              <w:t>podpredsedu Úradu na ochranu osobných údajov S</w:t>
            </w:r>
            <w:r>
              <w:t xml:space="preserve">lovenskej republiky, </w:t>
            </w:r>
            <w:r w:rsidRPr="00D132AA">
              <w:t>podpredsedu Úradu pre reguláciu elektronických komunikácií a poštových služieb, podpredsedu Dopravného úradu</w:t>
            </w:r>
            <w:r w:rsidR="00D507D0">
              <w:t xml:space="preserve">, </w:t>
            </w:r>
            <w:r w:rsidR="00D507D0" w:rsidRPr="00D507D0">
              <w:rPr>
                <w:color w:val="FF0000"/>
              </w:rPr>
              <w:t>predsedov, generálnych riaditeľov, riaditeľov a iných vedúcich štátnych rozpočtových organizácií, štátnych príspevkových organizácií a preddavkových organizácií</w:t>
            </w:r>
            <w:r w:rsidR="0078160B">
              <w:rPr>
                <w:color w:val="FF0000"/>
              </w:rPr>
              <w:t xml:space="preserve"> okrem generálneho prokurátora</w:t>
            </w:r>
            <w:r w:rsidR="00D507D0" w:rsidRPr="00D507D0">
              <w:rPr>
                <w:color w:val="FF0000"/>
              </w:rPr>
              <w:t xml:space="preserve"> </w:t>
            </w:r>
          </w:p>
        </w:tc>
        <w:tc>
          <w:tcPr>
            <w:tcW w:w="3198" w:type="dxa"/>
            <w:vAlign w:val="center"/>
          </w:tcPr>
          <w:p w:rsidR="00AF3046" w:rsidRPr="000042F0" w:rsidRDefault="00AF3046" w:rsidP="00983E77">
            <w:pPr>
              <w:jc w:val="center"/>
            </w:pPr>
            <w:r>
              <w:lastRenderedPageBreak/>
              <w:t>30 000 eur</w:t>
            </w:r>
          </w:p>
        </w:tc>
      </w:tr>
      <w:tr w:rsidR="00AF3046" w:rsidRPr="000042F0" w:rsidTr="00983E77">
        <w:tc>
          <w:tcPr>
            <w:tcW w:w="528" w:type="dxa"/>
          </w:tcPr>
          <w:p w:rsidR="00AF3046" w:rsidRPr="000042F0" w:rsidRDefault="00D507D0" w:rsidP="00983E77">
            <w:r>
              <w:t>4</w:t>
            </w:r>
            <w:r w:rsidR="00AF3046" w:rsidRPr="000042F0">
              <w:t xml:space="preserve">. </w:t>
            </w:r>
          </w:p>
        </w:tc>
        <w:tc>
          <w:tcPr>
            <w:tcW w:w="5336" w:type="dxa"/>
            <w:vAlign w:val="center"/>
          </w:tcPr>
          <w:p w:rsidR="00AF3046" w:rsidRPr="000042F0" w:rsidRDefault="00AF3046" w:rsidP="00983E77">
            <w:pPr>
              <w:jc w:val="both"/>
            </w:pPr>
            <w:r>
              <w:t>ostatných zamestnancov</w:t>
            </w:r>
            <w:r w:rsidRPr="000042F0">
              <w:t xml:space="preserve"> štátnych rozpočtových organizácií a štátnych príspevkových organizácií</w:t>
            </w:r>
            <w:r>
              <w:t xml:space="preserve"> </w:t>
            </w:r>
          </w:p>
        </w:tc>
        <w:tc>
          <w:tcPr>
            <w:tcW w:w="3198" w:type="dxa"/>
            <w:vAlign w:val="center"/>
          </w:tcPr>
          <w:p w:rsidR="00AF3046" w:rsidRPr="000042F0" w:rsidRDefault="00A603A0" w:rsidP="00BD75F8">
            <w:pPr>
              <w:jc w:val="center"/>
            </w:pPr>
            <w:r w:rsidRPr="00A603A0">
              <w:rPr>
                <w:color w:val="FF0000"/>
              </w:rPr>
              <w:t>22</w:t>
            </w:r>
            <w:r w:rsidR="00BD75F8" w:rsidRPr="00A603A0">
              <w:rPr>
                <w:color w:val="FF0000"/>
              </w:rPr>
              <w:t xml:space="preserve"> </w:t>
            </w:r>
            <w:r w:rsidR="00AF3046" w:rsidRPr="00A603A0">
              <w:rPr>
                <w:color w:val="FF0000"/>
              </w:rPr>
              <w:t>000 eur</w:t>
            </w:r>
            <w:bookmarkStart w:id="0" w:name="_GoBack"/>
            <w:bookmarkEnd w:id="0"/>
          </w:p>
        </w:tc>
      </w:tr>
    </w:tbl>
    <w:p w:rsidR="00AF3046" w:rsidRDefault="00AF3046" w:rsidP="00AF3046"/>
    <w:p w:rsidR="00AF3046" w:rsidRPr="000C420F" w:rsidRDefault="00AF3046" w:rsidP="00AF3046">
      <w:pPr>
        <w:ind w:left="709"/>
        <w:rPr>
          <w:bCs/>
        </w:rPr>
      </w:pPr>
    </w:p>
    <w:p w:rsidR="00AF3046" w:rsidRDefault="00AF3046" w:rsidP="00AF3046"/>
    <w:p w:rsidR="007C23C4" w:rsidRPr="00AF3046" w:rsidRDefault="007C23C4" w:rsidP="00AF3046"/>
    <w:sectPr w:rsidR="007C23C4" w:rsidRPr="00AF30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4C" w:rsidRDefault="00AE0F4C">
      <w:r>
        <w:separator/>
      </w:r>
    </w:p>
  </w:endnote>
  <w:endnote w:type="continuationSeparator" w:id="0">
    <w:p w:rsidR="00AE0F4C" w:rsidRDefault="00AE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01" w:rsidRDefault="00CC0B0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603A0">
      <w:rPr>
        <w:noProof/>
      </w:rPr>
      <w:t>3</w:t>
    </w:r>
    <w:r>
      <w:fldChar w:fldCharType="end"/>
    </w:r>
  </w:p>
  <w:p w:rsidR="00733A45" w:rsidRDefault="00AE0F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4C" w:rsidRDefault="00AE0F4C">
      <w:r>
        <w:separator/>
      </w:r>
    </w:p>
  </w:footnote>
  <w:footnote w:type="continuationSeparator" w:id="0">
    <w:p w:rsidR="00AE0F4C" w:rsidRDefault="00AE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46"/>
    <w:rsid w:val="00260C87"/>
    <w:rsid w:val="00357A9B"/>
    <w:rsid w:val="0043118A"/>
    <w:rsid w:val="004D372B"/>
    <w:rsid w:val="006179FD"/>
    <w:rsid w:val="00732198"/>
    <w:rsid w:val="0078160B"/>
    <w:rsid w:val="007C23C4"/>
    <w:rsid w:val="00887550"/>
    <w:rsid w:val="00965FD7"/>
    <w:rsid w:val="00A603A0"/>
    <w:rsid w:val="00A77523"/>
    <w:rsid w:val="00AE0F4C"/>
    <w:rsid w:val="00AF3046"/>
    <w:rsid w:val="00B80922"/>
    <w:rsid w:val="00BD75F8"/>
    <w:rsid w:val="00CC0B0E"/>
    <w:rsid w:val="00D507D0"/>
    <w:rsid w:val="00DB0593"/>
    <w:rsid w:val="00E97530"/>
    <w:rsid w:val="00F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5487"/>
  <w15:chartTrackingRefBased/>
  <w15:docId w15:val="{045751FB-0140-4C9E-801F-82FD9750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3046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F3046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F304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F30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304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AF304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1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0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022441510">
              <w:marLeft w:val="25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051">
                  <w:marLeft w:val="0"/>
                  <w:marRight w:val="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641">
                  <w:marLeft w:val="25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40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15501">
              <w:marLeft w:val="25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2423">
                  <w:marLeft w:val="0"/>
                  <w:marRight w:val="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809">
                  <w:marLeft w:val="25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27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11</cp:revision>
  <dcterms:created xsi:type="dcterms:W3CDTF">2022-06-03T10:02:00Z</dcterms:created>
  <dcterms:modified xsi:type="dcterms:W3CDTF">2022-09-29T14:05:00Z</dcterms:modified>
</cp:coreProperties>
</file>