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FB" w:rsidRPr="008723F7" w:rsidRDefault="008E5CFB"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Analýza vplyvov na rozpočet verejnej správy,</w:t>
      </w:r>
    </w:p>
    <w:p w:rsidR="008E5CFB" w:rsidRPr="008723F7" w:rsidRDefault="008E5CFB"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na zamestnanosť vo verejnej správe a financovanie návrhu</w:t>
      </w:r>
    </w:p>
    <w:p w:rsidR="008E5CFB" w:rsidRPr="008723F7" w:rsidRDefault="008E5CFB" w:rsidP="001678B8">
      <w:pPr>
        <w:spacing w:after="0" w:line="240" w:lineRule="auto"/>
        <w:jc w:val="right"/>
        <w:rPr>
          <w:rFonts w:ascii="Times New Roman" w:eastAsia="Times New Roman" w:hAnsi="Times New Roman"/>
          <w:b/>
          <w:bCs/>
          <w:lang w:eastAsia="sk-SK"/>
        </w:rPr>
      </w:pPr>
    </w:p>
    <w:p w:rsidR="008E5CFB" w:rsidRPr="008723F7" w:rsidRDefault="008E5CFB"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2.1 Zhrnutie vplyvov na rozpočet verejnej správy v návrhu</w:t>
      </w:r>
    </w:p>
    <w:p w:rsidR="008E5CFB" w:rsidRPr="008723F7" w:rsidRDefault="008E5CFB"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xml:space="preserve">Tabuľka č. 1 </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2"/>
        <w:gridCol w:w="1267"/>
        <w:gridCol w:w="1267"/>
        <w:gridCol w:w="1267"/>
        <w:gridCol w:w="1267"/>
      </w:tblGrid>
      <w:tr w:rsidR="00F234C7" w:rsidRPr="008723F7" w:rsidTr="00F234C7">
        <w:trPr>
          <w:cantSplit/>
          <w:trHeight w:val="70"/>
          <w:jc w:val="center"/>
        </w:trPr>
        <w:tc>
          <w:tcPr>
            <w:tcW w:w="5942" w:type="dxa"/>
            <w:vMerge w:val="restart"/>
            <w:shd w:val="clear" w:color="auto" w:fill="BFBFBF" w:themeFill="background1" w:themeFillShade="BF"/>
            <w:vAlign w:val="center"/>
          </w:tcPr>
          <w:p w:rsidR="00F234C7" w:rsidRPr="008723F7" w:rsidRDefault="00F234C7" w:rsidP="001678B8">
            <w:pPr>
              <w:spacing w:after="0" w:line="240" w:lineRule="auto"/>
              <w:jc w:val="center"/>
              <w:rPr>
                <w:rFonts w:ascii="Times New Roman" w:eastAsia="Times New Roman" w:hAnsi="Times New Roman"/>
                <w:b/>
                <w:bCs/>
                <w:lang w:eastAsia="sk-SK"/>
              </w:rPr>
            </w:pPr>
            <w:bookmarkStart w:id="0" w:name="OLE_LINK1"/>
            <w:r w:rsidRPr="008723F7">
              <w:rPr>
                <w:rFonts w:ascii="Times New Roman" w:eastAsia="Times New Roman" w:hAnsi="Times New Roman"/>
                <w:b/>
                <w:bCs/>
                <w:lang w:eastAsia="sk-SK"/>
              </w:rPr>
              <w:t>Vplyvy na rozpočet verejnej správy</w:t>
            </w:r>
          </w:p>
        </w:tc>
        <w:tc>
          <w:tcPr>
            <w:tcW w:w="5068" w:type="dxa"/>
            <w:gridSpan w:val="4"/>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 (v eurách)</w:t>
            </w:r>
          </w:p>
        </w:tc>
      </w:tr>
      <w:tr w:rsidR="00F234C7" w:rsidRPr="008723F7" w:rsidTr="00F234C7">
        <w:trPr>
          <w:cantSplit/>
          <w:trHeight w:val="70"/>
          <w:jc w:val="center"/>
        </w:trPr>
        <w:tc>
          <w:tcPr>
            <w:tcW w:w="5942" w:type="dxa"/>
            <w:vMerge/>
            <w:shd w:val="clear" w:color="auto" w:fill="BFBFBF" w:themeFill="background1" w:themeFillShade="BF"/>
            <w:vAlign w:val="center"/>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267" w:type="dxa"/>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267" w:type="dxa"/>
            <w:shd w:val="clear" w:color="auto" w:fill="BFBFBF" w:themeFill="background1" w:themeFillShade="BF"/>
            <w:vAlign w:val="center"/>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267" w:type="dxa"/>
            <w:shd w:val="clear" w:color="auto" w:fill="BFBFBF" w:themeFill="background1" w:themeFillShade="BF"/>
            <w:vAlign w:val="center"/>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267" w:type="dxa"/>
            <w:shd w:val="clear" w:color="auto" w:fill="BFBFBF" w:themeFill="background1" w:themeFillShade="BF"/>
            <w:vAlign w:val="center"/>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r>
      <w:tr w:rsidR="00F234C7" w:rsidRPr="008723F7" w:rsidTr="00F234C7">
        <w:trPr>
          <w:trHeight w:val="70"/>
          <w:jc w:val="center"/>
        </w:trPr>
        <w:tc>
          <w:tcPr>
            <w:tcW w:w="5942" w:type="dxa"/>
            <w:shd w:val="clear" w:color="auto" w:fill="C0C0C0"/>
            <w:noWrap/>
            <w:vAlign w:val="center"/>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Príjmy verejnej správy celkom</w:t>
            </w:r>
          </w:p>
        </w:tc>
        <w:tc>
          <w:tcPr>
            <w:tcW w:w="1267" w:type="dxa"/>
            <w:shd w:val="clear" w:color="auto" w:fill="C0C0C0"/>
          </w:tcPr>
          <w:p w:rsidR="00F234C7" w:rsidRPr="008723F7" w:rsidRDefault="00F234C7" w:rsidP="001678B8">
            <w:pPr>
              <w:spacing w:after="0" w:line="240" w:lineRule="auto"/>
              <w:jc w:val="right"/>
              <w:rPr>
                <w:rFonts w:ascii="Times New Roman" w:hAnsi="Times New Roman"/>
                <w:b/>
                <w:color w:val="000000"/>
              </w:rPr>
            </w:pPr>
            <w:r w:rsidRPr="008723F7">
              <w:rPr>
                <w:rFonts w:ascii="Times New Roman" w:hAnsi="Times New Roman"/>
                <w:b/>
                <w:color w:val="000000"/>
              </w:rPr>
              <w:t>0</w:t>
            </w:r>
          </w:p>
        </w:tc>
        <w:tc>
          <w:tcPr>
            <w:tcW w:w="1267" w:type="dxa"/>
            <w:shd w:val="clear" w:color="auto" w:fill="C0C0C0"/>
            <w:vAlign w:val="bottom"/>
          </w:tcPr>
          <w:p w:rsidR="00F234C7" w:rsidRPr="008723F7" w:rsidRDefault="00F234C7" w:rsidP="001678B8">
            <w:pPr>
              <w:spacing w:after="0" w:line="240" w:lineRule="auto"/>
              <w:jc w:val="right"/>
              <w:rPr>
                <w:rFonts w:ascii="Times New Roman" w:hAnsi="Times New Roman"/>
                <w:b/>
                <w:color w:val="000000"/>
              </w:rPr>
            </w:pPr>
            <w:r w:rsidRPr="008723F7">
              <w:rPr>
                <w:rFonts w:ascii="Times New Roman" w:hAnsi="Times New Roman"/>
                <w:b/>
                <w:color w:val="000000"/>
              </w:rPr>
              <w:t>101 267 519</w:t>
            </w:r>
          </w:p>
        </w:tc>
        <w:tc>
          <w:tcPr>
            <w:tcW w:w="1267" w:type="dxa"/>
            <w:shd w:val="clear" w:color="auto" w:fill="C0C0C0"/>
            <w:vAlign w:val="bottom"/>
          </w:tcPr>
          <w:p w:rsidR="00F234C7" w:rsidRPr="008723F7" w:rsidRDefault="00F234C7" w:rsidP="001678B8">
            <w:pPr>
              <w:spacing w:after="0" w:line="240" w:lineRule="auto"/>
              <w:jc w:val="right"/>
              <w:rPr>
                <w:rFonts w:ascii="Times New Roman" w:hAnsi="Times New Roman"/>
                <w:b/>
                <w:color w:val="000000"/>
              </w:rPr>
            </w:pPr>
            <w:r w:rsidRPr="008723F7">
              <w:rPr>
                <w:rFonts w:ascii="Times New Roman" w:hAnsi="Times New Roman"/>
                <w:b/>
                <w:color w:val="000000"/>
              </w:rPr>
              <w:t>108 223 348</w:t>
            </w:r>
          </w:p>
        </w:tc>
        <w:tc>
          <w:tcPr>
            <w:tcW w:w="1267" w:type="dxa"/>
            <w:shd w:val="clear" w:color="auto" w:fill="C0C0C0"/>
            <w:vAlign w:val="bottom"/>
          </w:tcPr>
          <w:p w:rsidR="00F234C7" w:rsidRPr="008723F7" w:rsidRDefault="00F234C7" w:rsidP="001678B8">
            <w:pPr>
              <w:spacing w:after="0" w:line="240" w:lineRule="auto"/>
              <w:jc w:val="right"/>
              <w:rPr>
                <w:rFonts w:ascii="Times New Roman" w:hAnsi="Times New Roman"/>
                <w:b/>
                <w:color w:val="000000"/>
              </w:rPr>
            </w:pPr>
            <w:r w:rsidRPr="008723F7">
              <w:rPr>
                <w:rFonts w:ascii="Times New Roman" w:hAnsi="Times New Roman"/>
                <w:b/>
                <w:color w:val="000000"/>
              </w:rPr>
              <w:t>106 460 338</w:t>
            </w:r>
          </w:p>
        </w:tc>
      </w:tr>
      <w:tr w:rsidR="00F234C7" w:rsidRPr="008723F7" w:rsidTr="00F234C7">
        <w:trPr>
          <w:trHeight w:val="132"/>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v tom: za každý subjekt verejnej správy zvlášť</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xml:space="preserve">z toho:  </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ŠR</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8723F7" w:rsidRPr="008723F7" w:rsidTr="001B68C7">
        <w:trPr>
          <w:trHeight w:val="125"/>
          <w:jc w:val="center"/>
        </w:trPr>
        <w:tc>
          <w:tcPr>
            <w:tcW w:w="5942" w:type="dxa"/>
            <w:noWrap/>
            <w:vAlign w:val="center"/>
          </w:tcPr>
          <w:p w:rsidR="008723F7" w:rsidRPr="008723F7" w:rsidRDefault="008723F7" w:rsidP="008723F7">
            <w:pPr>
              <w:pStyle w:val="Odsekzoznamu"/>
              <w:numPr>
                <w:ilvl w:val="0"/>
                <w:numId w:val="15"/>
              </w:numPr>
              <w:contextualSpacing/>
              <w:rPr>
                <w:bCs/>
                <w:i/>
                <w:iCs/>
                <w:sz w:val="22"/>
                <w:szCs w:val="22"/>
                <w:lang w:eastAsia="sk-SK"/>
              </w:rPr>
            </w:pPr>
            <w:r w:rsidRPr="008723F7">
              <w:rPr>
                <w:bCs/>
                <w:i/>
                <w:iCs/>
                <w:sz w:val="22"/>
                <w:szCs w:val="22"/>
                <w:lang w:eastAsia="sk-SK"/>
              </w:rPr>
              <w:t>rozpočet MZ SR (príjem zo zvýšenia percenta odvodu na operačné strediská, NCZI)</w:t>
            </w:r>
          </w:p>
        </w:tc>
        <w:tc>
          <w:tcPr>
            <w:tcW w:w="1267" w:type="dxa"/>
          </w:tcPr>
          <w:p w:rsidR="008723F7" w:rsidRPr="008723F7" w:rsidRDefault="008723F7" w:rsidP="008723F7">
            <w:pPr>
              <w:spacing w:after="0" w:line="240" w:lineRule="auto"/>
              <w:jc w:val="right"/>
              <w:rPr>
                <w:rFonts w:ascii="Times New Roman" w:eastAsia="Times New Roman" w:hAnsi="Times New Roman"/>
                <w:lang w:eastAsia="sk-SK"/>
              </w:rPr>
            </w:pPr>
          </w:p>
        </w:tc>
        <w:tc>
          <w:tcPr>
            <w:tcW w:w="1267" w:type="dxa"/>
            <w:noWrap/>
            <w:vAlign w:val="bottom"/>
          </w:tcPr>
          <w:p w:rsidR="008723F7" w:rsidRPr="008723F7" w:rsidRDefault="008723F7" w:rsidP="008723F7">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267" w:type="dxa"/>
            <w:noWrap/>
            <w:vAlign w:val="bottom"/>
          </w:tcPr>
          <w:p w:rsidR="008723F7" w:rsidRPr="008723F7" w:rsidRDefault="008723F7" w:rsidP="008723F7">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267" w:type="dxa"/>
            <w:noWrap/>
            <w:vAlign w:val="bottom"/>
          </w:tcPr>
          <w:p w:rsidR="008723F7" w:rsidRPr="008723F7" w:rsidRDefault="008723F7" w:rsidP="008723F7">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r>
      <w:tr w:rsidR="00F234C7" w:rsidRPr="008723F7" w:rsidTr="00F234C7">
        <w:trPr>
          <w:trHeight w:val="125"/>
          <w:jc w:val="center"/>
        </w:trPr>
        <w:tc>
          <w:tcPr>
            <w:tcW w:w="5942" w:type="dxa"/>
            <w:noWrap/>
            <w:vAlign w:val="center"/>
          </w:tcPr>
          <w:p w:rsidR="00F234C7" w:rsidRPr="008723F7" w:rsidRDefault="00F234C7" w:rsidP="001678B8">
            <w:pPr>
              <w:pStyle w:val="Odsekzoznamu"/>
              <w:numPr>
                <w:ilvl w:val="0"/>
                <w:numId w:val="11"/>
              </w:numPr>
              <w:contextualSpacing/>
              <w:rPr>
                <w:bCs/>
                <w:i/>
                <w:iCs/>
                <w:sz w:val="22"/>
                <w:szCs w:val="22"/>
                <w:lang w:eastAsia="sk-SK"/>
              </w:rPr>
            </w:pPr>
            <w:r w:rsidRPr="008723F7">
              <w:rPr>
                <w:bCs/>
                <w:i/>
                <w:iCs/>
                <w:sz w:val="22"/>
                <w:szCs w:val="22"/>
                <w:lang w:eastAsia="sk-SK"/>
              </w:rPr>
              <w:t>rozpočet MZ SR (príspevok na zdravotnú starostlivosť pre žiadateľov o azyl)</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50 000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50 000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50 000</w:t>
            </w:r>
          </w:p>
        </w:tc>
      </w:tr>
      <w:tr w:rsidR="00F234C7" w:rsidRPr="008723F7" w:rsidTr="00F234C7">
        <w:trPr>
          <w:trHeight w:val="125"/>
          <w:jc w:val="center"/>
        </w:trPr>
        <w:tc>
          <w:tcPr>
            <w:tcW w:w="5942" w:type="dxa"/>
            <w:noWrap/>
            <w:vAlign w:val="center"/>
          </w:tcPr>
          <w:p w:rsidR="00F234C7" w:rsidRPr="008723F7" w:rsidRDefault="00F234C7" w:rsidP="001678B8">
            <w:pPr>
              <w:pStyle w:val="Odsekzoznamu"/>
              <w:numPr>
                <w:ilvl w:val="0"/>
                <w:numId w:val="11"/>
              </w:numPr>
              <w:contextualSpacing/>
              <w:rPr>
                <w:bCs/>
                <w:i/>
                <w:iCs/>
                <w:sz w:val="22"/>
                <w:szCs w:val="22"/>
                <w:lang w:eastAsia="sk-SK"/>
              </w:rPr>
            </w:pPr>
            <w:r w:rsidRPr="008723F7">
              <w:rPr>
                <w:bCs/>
                <w:i/>
                <w:iCs/>
                <w:sz w:val="22"/>
                <w:szCs w:val="22"/>
                <w:lang w:eastAsia="sk-SK"/>
              </w:rPr>
              <w:t>rozpočet MV SR príspevok na zdravotnú starostlivosť pre žiadateľov o azyl)</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50 000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50 000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50 000</w:t>
            </w: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ind w:left="259"/>
              <w:rPr>
                <w:rFonts w:ascii="Times New Roman" w:eastAsia="Times New Roman" w:hAnsi="Times New Roman"/>
                <w:b/>
                <w:bCs/>
                <w:i/>
                <w:iCs/>
                <w:lang w:eastAsia="sk-SK"/>
              </w:rPr>
            </w:pPr>
            <w:r w:rsidRPr="008723F7">
              <w:rPr>
                <w:rFonts w:ascii="Times New Roman" w:eastAsia="Times New Roman" w:hAnsi="Times New Roman"/>
                <w:bCs/>
                <w:i/>
                <w:iCs/>
                <w:lang w:eastAsia="sk-SK"/>
              </w:rPr>
              <w:t>Rozpočtové prostriedky</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ind w:left="259"/>
              <w:rPr>
                <w:rFonts w:ascii="Times New Roman" w:eastAsia="Times New Roman" w:hAnsi="Times New Roman"/>
                <w:bCs/>
                <w:i/>
                <w:iCs/>
                <w:lang w:eastAsia="sk-SK"/>
              </w:rPr>
            </w:pPr>
            <w:r w:rsidRPr="008723F7">
              <w:rPr>
                <w:rFonts w:ascii="Times New Roman" w:eastAsia="Times New Roman" w:hAnsi="Times New Roman"/>
                <w:bCs/>
                <w:i/>
                <w:iCs/>
                <w:lang w:eastAsia="sk-SK"/>
              </w:rPr>
              <w:t>EÚ zdroje</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obce</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vyššie územné celky</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8723F7" w:rsidRPr="008723F7" w:rsidTr="00F234C7">
        <w:trPr>
          <w:trHeight w:val="125"/>
          <w:jc w:val="center"/>
        </w:trPr>
        <w:tc>
          <w:tcPr>
            <w:tcW w:w="5942" w:type="dxa"/>
            <w:noWrap/>
            <w:vAlign w:val="center"/>
          </w:tcPr>
          <w:p w:rsidR="008723F7" w:rsidRPr="008723F7" w:rsidRDefault="008723F7" w:rsidP="008723F7">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ostatné subjekty verejnej správy</w:t>
            </w:r>
          </w:p>
        </w:tc>
        <w:tc>
          <w:tcPr>
            <w:tcW w:w="1267" w:type="dxa"/>
          </w:tcPr>
          <w:p w:rsidR="008723F7" w:rsidRPr="008723F7" w:rsidRDefault="008723F7" w:rsidP="008723F7">
            <w:pPr>
              <w:spacing w:after="0" w:line="240" w:lineRule="auto"/>
              <w:jc w:val="right"/>
              <w:rPr>
                <w:rFonts w:ascii="Times New Roman" w:eastAsia="Times New Roman" w:hAnsi="Times New Roman"/>
                <w:b/>
                <w:bCs/>
                <w:iCs/>
                <w:lang w:eastAsia="sk-SK"/>
              </w:rPr>
            </w:pP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r>
      <w:tr w:rsidR="008723F7" w:rsidRPr="008723F7" w:rsidTr="00F234C7">
        <w:trPr>
          <w:trHeight w:val="125"/>
          <w:jc w:val="center"/>
        </w:trPr>
        <w:tc>
          <w:tcPr>
            <w:tcW w:w="5942" w:type="dxa"/>
            <w:noWrap/>
            <w:vAlign w:val="center"/>
          </w:tcPr>
          <w:p w:rsidR="008723F7" w:rsidRPr="008723F7" w:rsidRDefault="008723F7" w:rsidP="008723F7">
            <w:pPr>
              <w:pStyle w:val="Odsekzoznamu"/>
              <w:numPr>
                <w:ilvl w:val="0"/>
                <w:numId w:val="11"/>
              </w:numPr>
              <w:contextualSpacing/>
              <w:rPr>
                <w:bCs/>
                <w:i/>
                <w:iCs/>
                <w:sz w:val="22"/>
                <w:szCs w:val="22"/>
                <w:lang w:eastAsia="sk-SK"/>
              </w:rPr>
            </w:pPr>
            <w:r w:rsidRPr="008723F7">
              <w:rPr>
                <w:bCs/>
                <w:i/>
                <w:iCs/>
                <w:sz w:val="22"/>
                <w:szCs w:val="22"/>
                <w:lang w:eastAsia="sk-SK"/>
              </w:rPr>
              <w:t>vplyv na rozpočet verejného zdravotného poistenia</w:t>
            </w:r>
          </w:p>
        </w:tc>
        <w:tc>
          <w:tcPr>
            <w:tcW w:w="1267" w:type="dxa"/>
          </w:tcPr>
          <w:p w:rsidR="008723F7" w:rsidRPr="008723F7" w:rsidRDefault="008723F7" w:rsidP="008723F7">
            <w:pPr>
              <w:spacing w:after="0" w:line="240" w:lineRule="auto"/>
              <w:jc w:val="right"/>
              <w:rPr>
                <w:rFonts w:ascii="Times New Roman" w:eastAsia="Times New Roman" w:hAnsi="Times New Roman"/>
                <w:b/>
                <w:bCs/>
                <w:color w:val="000000"/>
                <w:lang w:eastAsia="sk-SK"/>
              </w:rPr>
            </w:pP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r>
      <w:tr w:rsidR="00F234C7" w:rsidRPr="008723F7" w:rsidTr="00F234C7">
        <w:trPr>
          <w:trHeight w:val="125"/>
          <w:jc w:val="center"/>
        </w:trPr>
        <w:tc>
          <w:tcPr>
            <w:tcW w:w="5942" w:type="dxa"/>
            <w:shd w:val="clear" w:color="auto" w:fill="C0C0C0"/>
            <w:noWrap/>
            <w:vAlign w:val="center"/>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verejnej správy celkom</w:t>
            </w:r>
          </w:p>
        </w:tc>
        <w:tc>
          <w:tcPr>
            <w:tcW w:w="1267" w:type="dxa"/>
            <w:shd w:val="clear" w:color="auto" w:fill="C0C0C0"/>
          </w:tcPr>
          <w:p w:rsidR="00F234C7" w:rsidRPr="008723F7" w:rsidRDefault="00F234C7" w:rsidP="001678B8">
            <w:pPr>
              <w:spacing w:after="0" w:line="240" w:lineRule="auto"/>
              <w:jc w:val="right"/>
              <w:rPr>
                <w:rFonts w:ascii="Times New Roman" w:hAnsi="Times New Roman"/>
                <w:b/>
                <w:color w:val="000000"/>
              </w:rPr>
            </w:pPr>
            <w:r w:rsidRPr="008723F7">
              <w:rPr>
                <w:rFonts w:ascii="Times New Roman" w:hAnsi="Times New Roman"/>
                <w:b/>
                <w:color w:val="000000"/>
              </w:rPr>
              <w:t>0</w:t>
            </w:r>
          </w:p>
        </w:tc>
        <w:tc>
          <w:tcPr>
            <w:tcW w:w="1267" w:type="dxa"/>
            <w:shd w:val="clear" w:color="auto" w:fill="C0C0C0"/>
            <w:noWrap/>
            <w:vAlign w:val="bottom"/>
          </w:tcPr>
          <w:p w:rsidR="00F234C7" w:rsidRPr="008723F7" w:rsidRDefault="00F234C7" w:rsidP="001678B8">
            <w:pPr>
              <w:spacing w:after="0" w:line="240" w:lineRule="auto"/>
              <w:jc w:val="right"/>
              <w:rPr>
                <w:rFonts w:ascii="Times New Roman" w:hAnsi="Times New Roman"/>
                <w:b/>
                <w:color w:val="000000"/>
              </w:rPr>
            </w:pPr>
            <w:r w:rsidRPr="008723F7">
              <w:rPr>
                <w:rFonts w:ascii="Times New Roman" w:hAnsi="Times New Roman"/>
                <w:b/>
                <w:color w:val="000000"/>
              </w:rPr>
              <w:t>101 267 519</w:t>
            </w:r>
          </w:p>
        </w:tc>
        <w:tc>
          <w:tcPr>
            <w:tcW w:w="1267" w:type="dxa"/>
            <w:shd w:val="clear" w:color="auto" w:fill="C0C0C0"/>
            <w:noWrap/>
            <w:vAlign w:val="bottom"/>
          </w:tcPr>
          <w:p w:rsidR="00F234C7" w:rsidRPr="008723F7" w:rsidRDefault="00F234C7" w:rsidP="001678B8">
            <w:pPr>
              <w:spacing w:after="0" w:line="240" w:lineRule="auto"/>
              <w:jc w:val="right"/>
              <w:rPr>
                <w:rFonts w:ascii="Times New Roman" w:hAnsi="Times New Roman"/>
                <w:b/>
                <w:color w:val="000000"/>
              </w:rPr>
            </w:pPr>
            <w:r w:rsidRPr="008723F7">
              <w:rPr>
                <w:rFonts w:ascii="Times New Roman" w:hAnsi="Times New Roman"/>
                <w:b/>
                <w:color w:val="000000"/>
              </w:rPr>
              <w:t>108 223 348</w:t>
            </w:r>
          </w:p>
        </w:tc>
        <w:tc>
          <w:tcPr>
            <w:tcW w:w="1267" w:type="dxa"/>
            <w:shd w:val="clear" w:color="auto" w:fill="C0C0C0"/>
            <w:noWrap/>
            <w:vAlign w:val="bottom"/>
          </w:tcPr>
          <w:p w:rsidR="00F234C7" w:rsidRPr="008723F7" w:rsidRDefault="00F234C7" w:rsidP="001678B8">
            <w:pPr>
              <w:spacing w:after="0" w:line="240" w:lineRule="auto"/>
              <w:jc w:val="right"/>
              <w:rPr>
                <w:rFonts w:ascii="Times New Roman" w:hAnsi="Times New Roman"/>
                <w:b/>
                <w:color w:val="000000"/>
              </w:rPr>
            </w:pPr>
            <w:r w:rsidRPr="008723F7">
              <w:rPr>
                <w:rFonts w:ascii="Times New Roman" w:hAnsi="Times New Roman"/>
                <w:b/>
                <w:color w:val="000000"/>
              </w:rPr>
              <w:t>106 460 338</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v tom: za každý subjekt verejnej správy / program zvlášť</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xml:space="preserve">z toho: </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ŠR</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8723F7" w:rsidRPr="008723F7" w:rsidTr="00822800">
        <w:trPr>
          <w:trHeight w:val="70"/>
          <w:jc w:val="center"/>
        </w:trPr>
        <w:tc>
          <w:tcPr>
            <w:tcW w:w="5942" w:type="dxa"/>
            <w:noWrap/>
            <w:vAlign w:val="center"/>
          </w:tcPr>
          <w:p w:rsidR="008723F7" w:rsidRPr="008723F7" w:rsidRDefault="008723F7" w:rsidP="008723F7">
            <w:pPr>
              <w:pStyle w:val="Odsekzoznamu"/>
              <w:numPr>
                <w:ilvl w:val="0"/>
                <w:numId w:val="11"/>
              </w:numPr>
              <w:contextualSpacing/>
              <w:rPr>
                <w:b/>
                <w:bCs/>
                <w:i/>
                <w:iCs/>
                <w:sz w:val="22"/>
                <w:szCs w:val="22"/>
                <w:lang w:eastAsia="sk-SK"/>
              </w:rPr>
            </w:pPr>
            <w:r w:rsidRPr="008723F7">
              <w:rPr>
                <w:bCs/>
                <w:i/>
                <w:iCs/>
                <w:sz w:val="22"/>
                <w:szCs w:val="22"/>
                <w:lang w:eastAsia="sk-SK"/>
              </w:rPr>
              <w:t>rozpočet MZ SR (financovanie bežnej činnosti operačných stredísk, NCZI)</w:t>
            </w:r>
          </w:p>
        </w:tc>
        <w:tc>
          <w:tcPr>
            <w:tcW w:w="1267" w:type="dxa"/>
          </w:tcPr>
          <w:p w:rsidR="008723F7" w:rsidRPr="008723F7" w:rsidRDefault="008723F7" w:rsidP="008723F7">
            <w:pPr>
              <w:spacing w:after="0" w:line="240" w:lineRule="auto"/>
              <w:jc w:val="right"/>
              <w:rPr>
                <w:rFonts w:ascii="Times New Roman" w:eastAsia="Times New Roman" w:hAnsi="Times New Roman"/>
                <w:lang w:eastAsia="sk-SK"/>
              </w:rPr>
            </w:pPr>
          </w:p>
        </w:tc>
        <w:tc>
          <w:tcPr>
            <w:tcW w:w="1267" w:type="dxa"/>
            <w:noWrap/>
            <w:vAlign w:val="bottom"/>
          </w:tcPr>
          <w:p w:rsidR="008723F7" w:rsidRPr="008723F7" w:rsidRDefault="008723F7" w:rsidP="008723F7">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267" w:type="dxa"/>
            <w:noWrap/>
            <w:vAlign w:val="bottom"/>
          </w:tcPr>
          <w:p w:rsidR="008723F7" w:rsidRPr="008723F7" w:rsidRDefault="008723F7" w:rsidP="008723F7">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267" w:type="dxa"/>
            <w:noWrap/>
            <w:vAlign w:val="bottom"/>
          </w:tcPr>
          <w:p w:rsidR="008723F7" w:rsidRPr="008723F7" w:rsidRDefault="008723F7" w:rsidP="008723F7">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r>
      <w:tr w:rsidR="00F234C7" w:rsidRPr="008723F7" w:rsidTr="00F234C7">
        <w:trPr>
          <w:trHeight w:val="70"/>
          <w:jc w:val="center"/>
        </w:trPr>
        <w:tc>
          <w:tcPr>
            <w:tcW w:w="5942" w:type="dxa"/>
            <w:noWrap/>
            <w:vAlign w:val="center"/>
          </w:tcPr>
          <w:p w:rsidR="00F234C7" w:rsidRPr="008723F7" w:rsidRDefault="00F234C7" w:rsidP="001678B8">
            <w:pPr>
              <w:pStyle w:val="Odsekzoznamu"/>
              <w:numPr>
                <w:ilvl w:val="0"/>
                <w:numId w:val="11"/>
              </w:numPr>
              <w:contextualSpacing/>
              <w:rPr>
                <w:bCs/>
                <w:i/>
                <w:iCs/>
                <w:sz w:val="22"/>
                <w:szCs w:val="22"/>
                <w:lang w:eastAsia="sk-SK"/>
              </w:rPr>
            </w:pPr>
            <w:r w:rsidRPr="008723F7">
              <w:rPr>
                <w:bCs/>
                <w:i/>
                <w:iCs/>
                <w:sz w:val="22"/>
                <w:szCs w:val="22"/>
                <w:lang w:eastAsia="sk-SK"/>
              </w:rPr>
              <w:t>rozpočet MZ SR (zdravotná starostlivosť pre žiadateľov o azyl)</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50 000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50 000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50 000</w:t>
            </w:r>
          </w:p>
        </w:tc>
      </w:tr>
      <w:tr w:rsidR="00F234C7" w:rsidRPr="008723F7" w:rsidTr="00F234C7">
        <w:trPr>
          <w:trHeight w:val="70"/>
          <w:jc w:val="center"/>
        </w:trPr>
        <w:tc>
          <w:tcPr>
            <w:tcW w:w="5942" w:type="dxa"/>
            <w:noWrap/>
            <w:vAlign w:val="center"/>
          </w:tcPr>
          <w:p w:rsidR="00F234C7" w:rsidRPr="008723F7" w:rsidRDefault="00F234C7" w:rsidP="001678B8">
            <w:pPr>
              <w:pStyle w:val="Odsekzoznamu"/>
              <w:numPr>
                <w:ilvl w:val="0"/>
                <w:numId w:val="11"/>
              </w:numPr>
              <w:contextualSpacing/>
              <w:rPr>
                <w:bCs/>
                <w:i/>
                <w:iCs/>
                <w:sz w:val="22"/>
                <w:szCs w:val="22"/>
                <w:lang w:eastAsia="sk-SK"/>
              </w:rPr>
            </w:pPr>
            <w:r w:rsidRPr="008723F7">
              <w:rPr>
                <w:bCs/>
                <w:i/>
                <w:iCs/>
                <w:sz w:val="22"/>
                <w:szCs w:val="22"/>
                <w:lang w:eastAsia="sk-SK"/>
              </w:rPr>
              <w:t>rozpočet MV SR (zdravotná starostlivosť pre žiadateľov o azyl)</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50 000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50 000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50 000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ind w:left="259"/>
              <w:rPr>
                <w:rFonts w:ascii="Times New Roman" w:eastAsia="Times New Roman" w:hAnsi="Times New Roman"/>
                <w:b/>
                <w:bCs/>
                <w:i/>
                <w:iCs/>
                <w:lang w:eastAsia="sk-SK"/>
              </w:rPr>
            </w:pPr>
            <w:r w:rsidRPr="008723F7">
              <w:rPr>
                <w:rFonts w:ascii="Times New Roman" w:eastAsia="Times New Roman" w:hAnsi="Times New Roman"/>
                <w:bCs/>
                <w:i/>
                <w:iCs/>
                <w:lang w:eastAsia="sk-SK"/>
              </w:rPr>
              <w:t>Rozpočtové prostriedky</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Cs/>
                <w:i/>
                <w:iCs/>
                <w:lang w:eastAsia="sk-SK"/>
              </w:rPr>
            </w:pPr>
            <w:r w:rsidRPr="008723F7">
              <w:rPr>
                <w:rFonts w:ascii="Times New Roman" w:eastAsia="Times New Roman" w:hAnsi="Times New Roman"/>
                <w:bCs/>
                <w:i/>
                <w:iCs/>
                <w:lang w:eastAsia="sk-SK"/>
              </w:rPr>
              <w:t xml:space="preserve">    EÚ zdroje</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Cs/>
                <w:i/>
                <w:iCs/>
                <w:lang w:eastAsia="sk-SK"/>
              </w:rPr>
            </w:pPr>
            <w:r w:rsidRPr="008723F7">
              <w:rPr>
                <w:rFonts w:ascii="Times New Roman" w:eastAsia="Times New Roman" w:hAnsi="Times New Roman"/>
                <w:bCs/>
                <w:i/>
                <w:iCs/>
                <w:lang w:eastAsia="sk-SK"/>
              </w:rPr>
              <w:t xml:space="preserve">    spolufinancovanie</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obce</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ind w:left="255"/>
              <w:rPr>
                <w:rFonts w:ascii="Times New Roman" w:eastAsia="Times New Roman" w:hAnsi="Times New Roman"/>
                <w:bCs/>
                <w:i/>
                <w:iCs/>
                <w:lang w:eastAsia="sk-SK"/>
              </w:rPr>
            </w:pPr>
            <w:r w:rsidRPr="008723F7">
              <w:rPr>
                <w:rFonts w:ascii="Times New Roman" w:eastAsia="Times New Roman" w:hAnsi="Times New Roman"/>
                <w:bCs/>
                <w:i/>
                <w:iCs/>
                <w:lang w:eastAsia="sk-SK"/>
              </w:rPr>
              <w:t>z toho vplyv nových úloh v zmysle ods. 2 Čl. 6 ústavného zákona č. 493/2011 Z. z. o rozpočtovej zodpovednosti</w:t>
            </w:r>
          </w:p>
        </w:tc>
        <w:tc>
          <w:tcPr>
            <w:tcW w:w="1267" w:type="dxa"/>
          </w:tcPr>
          <w:p w:rsidR="00F234C7" w:rsidRPr="008723F7" w:rsidRDefault="00F234C7" w:rsidP="001678B8">
            <w:pPr>
              <w:spacing w:after="0" w:line="240" w:lineRule="auto"/>
              <w:jc w:val="right"/>
              <w:rPr>
                <w:rFonts w:ascii="Times New Roman" w:eastAsia="Times New Roman" w:hAnsi="Times New Roman"/>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Cs/>
                <w:iCs/>
                <w:lang w:eastAsia="sk-SK"/>
              </w:rPr>
            </w:pPr>
            <w:r w:rsidRPr="008723F7">
              <w:rPr>
                <w:rFonts w:ascii="Times New Roman" w:eastAsia="Times New Roman" w:hAnsi="Times New Roman"/>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Cs/>
                <w:iCs/>
                <w:lang w:eastAsia="sk-SK"/>
              </w:rPr>
            </w:pPr>
            <w:r w:rsidRPr="008723F7">
              <w:rPr>
                <w:rFonts w:ascii="Times New Roman" w:eastAsia="Times New Roman" w:hAnsi="Times New Roman"/>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Cs/>
                <w:iCs/>
                <w:lang w:eastAsia="sk-SK"/>
              </w:rPr>
            </w:pPr>
            <w:r w:rsidRPr="008723F7">
              <w:rPr>
                <w:rFonts w:ascii="Times New Roman" w:eastAsia="Times New Roman" w:hAnsi="Times New Roman"/>
                <w:bCs/>
                <w:iCs/>
                <w:lang w:eastAsia="sk-SK"/>
              </w:rPr>
              <w:t>0</w:t>
            </w: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vyššie územné celky</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125"/>
          <w:jc w:val="center"/>
        </w:trPr>
        <w:tc>
          <w:tcPr>
            <w:tcW w:w="5942" w:type="dxa"/>
            <w:noWrap/>
            <w:vAlign w:val="center"/>
          </w:tcPr>
          <w:p w:rsidR="00F234C7" w:rsidRPr="008723F7" w:rsidRDefault="00F234C7" w:rsidP="001678B8">
            <w:pPr>
              <w:spacing w:after="0" w:line="240" w:lineRule="auto"/>
              <w:ind w:left="255"/>
              <w:rPr>
                <w:rFonts w:ascii="Times New Roman" w:eastAsia="Times New Roman" w:hAnsi="Times New Roman"/>
                <w:b/>
                <w:bCs/>
                <w:i/>
                <w:iCs/>
                <w:lang w:eastAsia="sk-SK"/>
              </w:rPr>
            </w:pPr>
            <w:r w:rsidRPr="008723F7">
              <w:rPr>
                <w:rFonts w:ascii="Times New Roman" w:eastAsia="Times New Roman" w:hAnsi="Times New Roman"/>
                <w:bCs/>
                <w:i/>
                <w:iCs/>
                <w:lang w:eastAsia="sk-SK"/>
              </w:rPr>
              <w:t>z toho vplyv nových úloh v zmysle ods. 2 Čl. 6 ústavného zákona č. 493/2011 Z. z. o rozpočtovej zodpovednosti</w:t>
            </w:r>
          </w:p>
        </w:tc>
        <w:tc>
          <w:tcPr>
            <w:tcW w:w="1267" w:type="dxa"/>
          </w:tcPr>
          <w:p w:rsidR="00F234C7" w:rsidRPr="008723F7" w:rsidRDefault="00F234C7" w:rsidP="001678B8">
            <w:pPr>
              <w:spacing w:after="0" w:line="240" w:lineRule="auto"/>
              <w:jc w:val="right"/>
              <w:rPr>
                <w:rFonts w:ascii="Times New Roman" w:eastAsia="Times New Roman" w:hAnsi="Times New Roman"/>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Cs/>
                <w:iCs/>
                <w:lang w:eastAsia="sk-SK"/>
              </w:rPr>
              <w:t>0</w:t>
            </w:r>
          </w:p>
        </w:tc>
      </w:tr>
      <w:tr w:rsidR="008723F7" w:rsidRPr="008723F7" w:rsidTr="00F234C7">
        <w:trPr>
          <w:trHeight w:val="70"/>
          <w:jc w:val="center"/>
        </w:trPr>
        <w:tc>
          <w:tcPr>
            <w:tcW w:w="5942" w:type="dxa"/>
            <w:noWrap/>
            <w:vAlign w:val="center"/>
          </w:tcPr>
          <w:p w:rsidR="008723F7" w:rsidRPr="008723F7" w:rsidRDefault="008723F7" w:rsidP="008723F7">
            <w:pPr>
              <w:spacing w:after="0" w:line="240" w:lineRule="auto"/>
              <w:rPr>
                <w:rFonts w:ascii="Times New Roman" w:eastAsia="Times New Roman" w:hAnsi="Times New Roman"/>
                <w:b/>
                <w:bCs/>
                <w:lang w:eastAsia="sk-SK"/>
              </w:rPr>
            </w:pPr>
            <w:r w:rsidRPr="008723F7">
              <w:rPr>
                <w:rFonts w:ascii="Times New Roman" w:eastAsia="Times New Roman" w:hAnsi="Times New Roman"/>
                <w:b/>
                <w:bCs/>
                <w:i/>
                <w:iCs/>
                <w:lang w:eastAsia="sk-SK"/>
              </w:rPr>
              <w:t>- vplyv na ostatné subjekty verejnej správy</w:t>
            </w:r>
          </w:p>
        </w:tc>
        <w:tc>
          <w:tcPr>
            <w:tcW w:w="1267" w:type="dxa"/>
          </w:tcPr>
          <w:p w:rsidR="008723F7" w:rsidRPr="008723F7" w:rsidRDefault="008723F7" w:rsidP="008723F7">
            <w:pPr>
              <w:spacing w:after="0" w:line="240" w:lineRule="auto"/>
              <w:jc w:val="right"/>
              <w:rPr>
                <w:rFonts w:ascii="Times New Roman" w:eastAsia="Times New Roman" w:hAnsi="Times New Roman"/>
                <w:b/>
                <w:bCs/>
                <w:iCs/>
                <w:lang w:eastAsia="sk-SK"/>
              </w:rPr>
            </w:pP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r>
      <w:tr w:rsidR="00F234C7" w:rsidRPr="008723F7" w:rsidTr="00F234C7">
        <w:trPr>
          <w:trHeight w:val="70"/>
          <w:jc w:val="center"/>
        </w:trPr>
        <w:tc>
          <w:tcPr>
            <w:tcW w:w="5942" w:type="dxa"/>
            <w:noWrap/>
            <w:vAlign w:val="center"/>
          </w:tcPr>
          <w:p w:rsidR="00F234C7" w:rsidRPr="008723F7" w:rsidRDefault="00F234C7" w:rsidP="001678B8">
            <w:pPr>
              <w:pStyle w:val="Odsekzoznamu"/>
              <w:numPr>
                <w:ilvl w:val="0"/>
                <w:numId w:val="11"/>
              </w:numPr>
              <w:contextualSpacing/>
              <w:rPr>
                <w:bCs/>
                <w:i/>
                <w:iCs/>
                <w:sz w:val="22"/>
                <w:szCs w:val="22"/>
                <w:lang w:eastAsia="sk-SK"/>
              </w:rPr>
            </w:pPr>
            <w:r w:rsidRPr="008723F7">
              <w:rPr>
                <w:bCs/>
                <w:i/>
                <w:iCs/>
                <w:sz w:val="22"/>
                <w:szCs w:val="22"/>
                <w:lang w:eastAsia="sk-SK"/>
              </w:rPr>
              <w:t>vplyv na rozpočet Úradu pre dohľad nad zdravotnou starostlivosťou</w:t>
            </w:r>
          </w:p>
        </w:tc>
        <w:tc>
          <w:tcPr>
            <w:tcW w:w="1267" w:type="dxa"/>
          </w:tcPr>
          <w:p w:rsidR="00F234C7" w:rsidRPr="008723F7" w:rsidRDefault="00F234C7" w:rsidP="001678B8">
            <w:pPr>
              <w:spacing w:after="0" w:line="240" w:lineRule="auto"/>
              <w:jc w:val="right"/>
              <w:rPr>
                <w:rFonts w:ascii="Times New Roman" w:eastAsia="Times New Roman" w:hAnsi="Times New Roman"/>
                <w:b/>
                <w:bCs/>
                <w:color w:val="000000"/>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40 000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40 000</w:t>
            </w:r>
          </w:p>
        </w:tc>
      </w:tr>
      <w:tr w:rsidR="008723F7" w:rsidRPr="008723F7" w:rsidTr="00F234C7">
        <w:trPr>
          <w:trHeight w:val="70"/>
          <w:jc w:val="center"/>
        </w:trPr>
        <w:tc>
          <w:tcPr>
            <w:tcW w:w="5942" w:type="dxa"/>
            <w:noWrap/>
            <w:vAlign w:val="center"/>
          </w:tcPr>
          <w:p w:rsidR="008723F7" w:rsidRPr="008723F7" w:rsidRDefault="008723F7" w:rsidP="008723F7">
            <w:pPr>
              <w:pStyle w:val="Odsekzoznamu"/>
              <w:numPr>
                <w:ilvl w:val="0"/>
                <w:numId w:val="11"/>
              </w:numPr>
              <w:contextualSpacing/>
              <w:rPr>
                <w:bCs/>
                <w:i/>
                <w:iCs/>
                <w:sz w:val="22"/>
                <w:szCs w:val="22"/>
                <w:lang w:eastAsia="sk-SK"/>
              </w:rPr>
            </w:pPr>
            <w:r w:rsidRPr="008723F7">
              <w:rPr>
                <w:bCs/>
                <w:i/>
                <w:iCs/>
                <w:sz w:val="22"/>
                <w:szCs w:val="22"/>
                <w:lang w:eastAsia="sk-SK"/>
              </w:rPr>
              <w:t>vplyv na rozpočet verejného zdravotného poistenia</w:t>
            </w:r>
          </w:p>
        </w:tc>
        <w:tc>
          <w:tcPr>
            <w:tcW w:w="1267" w:type="dxa"/>
          </w:tcPr>
          <w:p w:rsidR="008723F7" w:rsidRPr="008723F7" w:rsidRDefault="008723F7" w:rsidP="008723F7">
            <w:pPr>
              <w:spacing w:after="0" w:line="240" w:lineRule="auto"/>
              <w:jc w:val="right"/>
              <w:rPr>
                <w:rFonts w:ascii="Times New Roman" w:eastAsia="Times New Roman" w:hAnsi="Times New Roman"/>
                <w:b/>
                <w:bCs/>
                <w:color w:val="000000"/>
                <w:lang w:eastAsia="sk-SK"/>
              </w:rPr>
            </w:pP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267" w:type="dxa"/>
            <w:noWrap/>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r>
      <w:tr w:rsidR="00F234C7" w:rsidRPr="008723F7" w:rsidTr="00F234C7">
        <w:trPr>
          <w:trHeight w:val="70"/>
          <w:jc w:val="center"/>
        </w:trPr>
        <w:tc>
          <w:tcPr>
            <w:tcW w:w="5942" w:type="dxa"/>
            <w:shd w:val="clear" w:color="auto" w:fill="BFBFBF" w:themeFill="background1" w:themeFillShade="BF"/>
            <w:noWrap/>
            <w:vAlign w:val="center"/>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xml:space="preserve">Vplyv na počet zamestnancov </w:t>
            </w:r>
          </w:p>
        </w:tc>
        <w:tc>
          <w:tcPr>
            <w:tcW w:w="1267" w:type="dxa"/>
            <w:shd w:val="clear" w:color="auto" w:fill="BFBFBF" w:themeFill="background1" w:themeFillShade="BF"/>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ŠR</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obce</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vyššie územné celky</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ostatné subjekty verejnej správy</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shd w:val="clear" w:color="auto" w:fill="BFBFBF" w:themeFill="background1" w:themeFillShade="BF"/>
            <w:noWrap/>
            <w:vAlign w:val="center"/>
          </w:tcPr>
          <w:p w:rsidR="00F234C7" w:rsidRPr="008723F7" w:rsidRDefault="00F234C7" w:rsidP="001678B8">
            <w:pPr>
              <w:spacing w:after="0" w:line="240" w:lineRule="auto"/>
              <w:rPr>
                <w:rFonts w:ascii="Times New Roman" w:eastAsia="Times New Roman" w:hAnsi="Times New Roman"/>
                <w:b/>
                <w:lang w:eastAsia="sk-SK"/>
              </w:rPr>
            </w:pPr>
            <w:r w:rsidRPr="008723F7">
              <w:rPr>
                <w:rFonts w:ascii="Times New Roman" w:eastAsia="Times New Roman" w:hAnsi="Times New Roman"/>
                <w:b/>
                <w:lang w:eastAsia="sk-SK"/>
              </w:rPr>
              <w:t>Vplyv na mzdové výdavky</w:t>
            </w:r>
          </w:p>
        </w:tc>
        <w:tc>
          <w:tcPr>
            <w:tcW w:w="1267" w:type="dxa"/>
            <w:shd w:val="clear" w:color="auto" w:fill="BFBFBF" w:themeFill="background1" w:themeFillShade="BF"/>
          </w:tcPr>
          <w:p w:rsidR="00F234C7" w:rsidRPr="008723F7" w:rsidRDefault="00F234C7" w:rsidP="001678B8">
            <w:pPr>
              <w:spacing w:after="0" w:line="240" w:lineRule="auto"/>
              <w:jc w:val="right"/>
              <w:rPr>
                <w:rFonts w:ascii="Times New Roman" w:eastAsia="Times New Roman" w:hAnsi="Times New Roman"/>
                <w:b/>
                <w:lang w:eastAsia="sk-SK"/>
              </w:rPr>
            </w:pPr>
            <w:r w:rsidRPr="008723F7">
              <w:rPr>
                <w:rFonts w:ascii="Times New Roman" w:eastAsia="Times New Roman" w:hAnsi="Times New Roman"/>
                <w:b/>
                <w:lang w:eastAsia="sk-SK"/>
              </w:rPr>
              <w:t>0</w:t>
            </w: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lang w:eastAsia="sk-SK"/>
              </w:rPr>
            </w:pPr>
            <w:r w:rsidRPr="008723F7">
              <w:rPr>
                <w:rFonts w:ascii="Times New Roman" w:eastAsia="Times New Roman" w:hAnsi="Times New Roman"/>
                <w:b/>
                <w:lang w:eastAsia="sk-SK"/>
              </w:rPr>
              <w:t>0</w:t>
            </w: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lang w:eastAsia="sk-SK"/>
              </w:rPr>
            </w:pPr>
            <w:r w:rsidRPr="008723F7">
              <w:rPr>
                <w:rFonts w:ascii="Times New Roman" w:eastAsia="Times New Roman" w:hAnsi="Times New Roman"/>
                <w:b/>
                <w:lang w:eastAsia="sk-SK"/>
              </w:rPr>
              <w:t>0</w:t>
            </w: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lang w:eastAsia="sk-SK"/>
              </w:rPr>
            </w:pPr>
            <w:r w:rsidRPr="008723F7">
              <w:rPr>
                <w:rFonts w:ascii="Times New Roman" w:eastAsia="Times New Roman" w:hAnsi="Times New Roman"/>
                <w:b/>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lastRenderedPageBreak/>
              <w:t>- vplyv na ŠR</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obce</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i/>
                <w:iCs/>
                <w:lang w:eastAsia="sk-SK"/>
              </w:rPr>
            </w:pPr>
            <w:r w:rsidRPr="008723F7">
              <w:rPr>
                <w:rFonts w:ascii="Times New Roman" w:eastAsia="Times New Roman" w:hAnsi="Times New Roman"/>
                <w:b/>
                <w:bCs/>
                <w:i/>
                <w:iCs/>
                <w:lang w:eastAsia="sk-SK"/>
              </w:rPr>
              <w:t>- vplyv na vyššie územné celky</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i/>
                <w:iCs/>
                <w:lang w:eastAsia="sk-SK"/>
              </w:rPr>
              <w:t>- vplyv na ostatné subjekty verejnej správy</w:t>
            </w:r>
          </w:p>
        </w:tc>
        <w:tc>
          <w:tcPr>
            <w:tcW w:w="1267" w:type="dxa"/>
          </w:tcPr>
          <w:p w:rsidR="00F234C7" w:rsidRPr="008723F7" w:rsidRDefault="00F234C7" w:rsidP="001678B8">
            <w:pPr>
              <w:spacing w:after="0" w:line="240" w:lineRule="auto"/>
              <w:jc w:val="right"/>
              <w:rPr>
                <w:rFonts w:ascii="Times New Roman" w:eastAsia="Times New Roman" w:hAnsi="Times New Roman"/>
                <w:b/>
                <w:bCs/>
                <w:iCs/>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b/>
                <w:bCs/>
                <w:iCs/>
                <w:lang w:eastAsia="sk-SK"/>
              </w:rPr>
            </w:pPr>
            <w:r w:rsidRPr="008723F7">
              <w:rPr>
                <w:rFonts w:ascii="Times New Roman" w:eastAsia="Times New Roman" w:hAnsi="Times New Roman"/>
                <w:b/>
                <w:bCs/>
                <w:iCs/>
                <w:lang w:eastAsia="sk-SK"/>
              </w:rPr>
              <w:t>0</w:t>
            </w:r>
          </w:p>
        </w:tc>
      </w:tr>
      <w:tr w:rsidR="00F234C7" w:rsidRPr="008723F7" w:rsidTr="00F234C7">
        <w:trPr>
          <w:trHeight w:val="70"/>
          <w:jc w:val="center"/>
        </w:trPr>
        <w:tc>
          <w:tcPr>
            <w:tcW w:w="5942" w:type="dxa"/>
            <w:shd w:val="clear" w:color="auto" w:fill="C0C0C0"/>
            <w:noWrap/>
            <w:vAlign w:val="center"/>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Financovanie zabezpečené v rozpočte</w:t>
            </w:r>
          </w:p>
        </w:tc>
        <w:tc>
          <w:tcPr>
            <w:tcW w:w="1267" w:type="dxa"/>
            <w:shd w:val="clear" w:color="auto" w:fill="C0C0C0"/>
          </w:tcPr>
          <w:p w:rsidR="00F234C7" w:rsidRPr="008723F7" w:rsidRDefault="00F234C7" w:rsidP="001678B8">
            <w:pPr>
              <w:spacing w:after="0" w:line="240" w:lineRule="auto"/>
              <w:jc w:val="right"/>
              <w:rPr>
                <w:rFonts w:ascii="Times New Roman" w:eastAsia="Times New Roman" w:hAnsi="Times New Roman"/>
                <w:b/>
                <w:bCs/>
                <w:lang w:eastAsia="sk-SK"/>
              </w:rPr>
            </w:pPr>
          </w:p>
        </w:tc>
        <w:tc>
          <w:tcPr>
            <w:tcW w:w="1267" w:type="dxa"/>
            <w:shd w:val="clear" w:color="auto" w:fill="C0C0C0"/>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C0C0C0"/>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C0C0C0"/>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r>
      <w:tr w:rsidR="00F234C7" w:rsidRPr="008723F7" w:rsidTr="00F234C7">
        <w:trPr>
          <w:trHeight w:val="70"/>
          <w:jc w:val="center"/>
        </w:trPr>
        <w:tc>
          <w:tcPr>
            <w:tcW w:w="5942" w:type="dxa"/>
            <w:noWrap/>
            <w:vAlign w:val="center"/>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v tom: za každý subjekt verejnej správy / program zvlášť</w:t>
            </w:r>
          </w:p>
        </w:tc>
        <w:tc>
          <w:tcPr>
            <w:tcW w:w="1267" w:type="dxa"/>
          </w:tcPr>
          <w:p w:rsidR="00F234C7" w:rsidRPr="008723F7" w:rsidRDefault="00F234C7" w:rsidP="001678B8">
            <w:pPr>
              <w:spacing w:after="0" w:line="240" w:lineRule="auto"/>
              <w:jc w:val="right"/>
              <w:rPr>
                <w:rFonts w:ascii="Times New Roman" w:eastAsia="Times New Roman" w:hAnsi="Times New Roman"/>
                <w:lang w:eastAsia="sk-SK"/>
              </w:rPr>
            </w:pP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c>
          <w:tcPr>
            <w:tcW w:w="1267" w:type="dxa"/>
            <w:noWrap/>
            <w:vAlign w:val="center"/>
          </w:tcPr>
          <w:p w:rsidR="00F234C7" w:rsidRPr="008723F7" w:rsidRDefault="00F234C7"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w:t>
            </w:r>
          </w:p>
        </w:tc>
      </w:tr>
      <w:tr w:rsidR="00F234C7" w:rsidRPr="008723F7" w:rsidTr="00F234C7">
        <w:trPr>
          <w:trHeight w:val="70"/>
          <w:jc w:val="center"/>
        </w:trPr>
        <w:tc>
          <w:tcPr>
            <w:tcW w:w="5942" w:type="dxa"/>
            <w:shd w:val="clear" w:color="auto" w:fill="BFBFBF" w:themeFill="background1" w:themeFillShade="BF"/>
            <w:noWrap/>
            <w:vAlign w:val="center"/>
          </w:tcPr>
          <w:p w:rsidR="00F234C7" w:rsidRPr="008723F7" w:rsidRDefault="00F234C7" w:rsidP="001678B8">
            <w:pPr>
              <w:spacing w:after="0" w:line="240" w:lineRule="auto"/>
              <w:rPr>
                <w:rFonts w:ascii="Times New Roman" w:eastAsia="Times New Roman" w:hAnsi="Times New Roman"/>
                <w:b/>
                <w:lang w:eastAsia="sk-SK"/>
              </w:rPr>
            </w:pPr>
            <w:r w:rsidRPr="008723F7">
              <w:rPr>
                <w:rFonts w:ascii="Times New Roman" w:eastAsia="Times New Roman" w:hAnsi="Times New Roman"/>
                <w:b/>
                <w:lang w:eastAsia="sk-SK"/>
              </w:rPr>
              <w:t>Iné ako rozpočtové zdroje</w:t>
            </w:r>
          </w:p>
        </w:tc>
        <w:tc>
          <w:tcPr>
            <w:tcW w:w="1267" w:type="dxa"/>
            <w:shd w:val="clear" w:color="auto" w:fill="BFBFBF" w:themeFill="background1" w:themeFillShade="BF"/>
          </w:tcPr>
          <w:p w:rsidR="00F234C7" w:rsidRPr="008723F7" w:rsidRDefault="00F234C7" w:rsidP="001678B8">
            <w:pPr>
              <w:spacing w:after="0" w:line="240" w:lineRule="auto"/>
              <w:jc w:val="right"/>
              <w:rPr>
                <w:rFonts w:ascii="Times New Roman" w:eastAsia="Times New Roman" w:hAnsi="Times New Roman"/>
                <w:b/>
                <w:bCs/>
                <w:lang w:eastAsia="sk-SK"/>
              </w:rPr>
            </w:pP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BFBFBF" w:themeFill="background1" w:themeFillShade="BF"/>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r>
      <w:tr w:rsidR="00F234C7" w:rsidRPr="008723F7" w:rsidTr="00F234C7">
        <w:trPr>
          <w:trHeight w:val="70"/>
          <w:jc w:val="center"/>
        </w:trPr>
        <w:tc>
          <w:tcPr>
            <w:tcW w:w="5942" w:type="dxa"/>
            <w:shd w:val="clear" w:color="auto" w:fill="A6A6A6" w:themeFill="background1" w:themeFillShade="A6"/>
            <w:noWrap/>
            <w:vAlign w:val="center"/>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Rozpočtovo nekrytý vplyv / úspora</w:t>
            </w:r>
          </w:p>
        </w:tc>
        <w:tc>
          <w:tcPr>
            <w:tcW w:w="1267" w:type="dxa"/>
            <w:shd w:val="clear" w:color="auto" w:fill="A6A6A6" w:themeFill="background1" w:themeFillShade="A6"/>
          </w:tcPr>
          <w:p w:rsidR="00F234C7" w:rsidRPr="008723F7" w:rsidRDefault="00F234C7" w:rsidP="001678B8">
            <w:pPr>
              <w:spacing w:after="0" w:line="240" w:lineRule="auto"/>
              <w:jc w:val="right"/>
              <w:rPr>
                <w:rFonts w:ascii="Times New Roman" w:eastAsia="Times New Roman" w:hAnsi="Times New Roman"/>
                <w:b/>
                <w:bCs/>
                <w:lang w:eastAsia="sk-SK"/>
              </w:rPr>
            </w:pPr>
          </w:p>
        </w:tc>
        <w:tc>
          <w:tcPr>
            <w:tcW w:w="1267" w:type="dxa"/>
            <w:shd w:val="clear" w:color="auto" w:fill="A6A6A6" w:themeFill="background1" w:themeFillShade="A6"/>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A6A6A6" w:themeFill="background1" w:themeFillShade="A6"/>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67" w:type="dxa"/>
            <w:shd w:val="clear" w:color="auto" w:fill="A6A6A6" w:themeFill="background1" w:themeFillShade="A6"/>
            <w:noWrap/>
            <w:vAlign w:val="center"/>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r>
      <w:bookmarkEnd w:id="0"/>
    </w:tbl>
    <w:p w:rsidR="008E5CFB" w:rsidRPr="008723F7" w:rsidRDefault="008E5CFB" w:rsidP="001678B8">
      <w:pPr>
        <w:spacing w:after="0" w:line="240" w:lineRule="auto"/>
        <w:rPr>
          <w:rFonts w:ascii="Times New Roman" w:eastAsia="Times New Roman" w:hAnsi="Times New Roman"/>
          <w:b/>
          <w:bCs/>
          <w:lang w:eastAsia="sk-SK"/>
        </w:rPr>
      </w:pPr>
    </w:p>
    <w:p w:rsidR="008E5CFB" w:rsidRPr="008723F7" w:rsidRDefault="008E5CFB" w:rsidP="001678B8">
      <w:pPr>
        <w:spacing w:after="0" w:line="240" w:lineRule="auto"/>
        <w:rPr>
          <w:rFonts w:ascii="Times New Roman" w:eastAsia="Times New Roman" w:hAnsi="Times New Roman"/>
          <w:b/>
          <w:bCs/>
          <w:lang w:eastAsia="sk-SK"/>
        </w:rPr>
      </w:pPr>
    </w:p>
    <w:p w:rsidR="008E5CFB" w:rsidRPr="008723F7" w:rsidRDefault="008E5CFB" w:rsidP="001678B8">
      <w:pPr>
        <w:spacing w:after="0" w:line="240" w:lineRule="auto"/>
        <w:rPr>
          <w:rFonts w:ascii="Times New Roman" w:eastAsia="Times New Roman" w:hAnsi="Times New Roman"/>
          <w:b/>
          <w:bCs/>
          <w:lang w:eastAsia="sk-SK"/>
        </w:rPr>
      </w:pPr>
    </w:p>
    <w:p w:rsidR="008E5CFB" w:rsidRPr="008723F7" w:rsidRDefault="008E5CFB" w:rsidP="001678B8">
      <w:pPr>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2.1.1. Financovanie návrhu - Návrh na riešenie úbytku príjmov alebo zvýšených výdavkov podľa § 33 ods. 1 zákona č. 523/2004 Z. z. o rozpočtových pravidlách verejnej správy:</w:t>
      </w:r>
    </w:p>
    <w:p w:rsidR="008E5CFB" w:rsidRPr="008723F7" w:rsidRDefault="008E5CFB" w:rsidP="001678B8">
      <w:pPr>
        <w:spacing w:after="0" w:line="240" w:lineRule="auto"/>
        <w:jc w:val="both"/>
        <w:rPr>
          <w:rFonts w:ascii="Times New Roman" w:eastAsia="Times New Roman" w:hAnsi="Times New Roman"/>
          <w:b/>
          <w:bCs/>
          <w:lang w:eastAsia="sk-SK"/>
        </w:rPr>
      </w:pPr>
    </w:p>
    <w:p w:rsidR="008E5CFB" w:rsidRPr="008723F7" w:rsidRDefault="008E5CFB" w:rsidP="001678B8">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 xml:space="preserve">Návrh </w:t>
      </w:r>
      <w:r w:rsidR="006356EA" w:rsidRPr="008723F7">
        <w:rPr>
          <w:rFonts w:ascii="Times New Roman" w:eastAsia="Times New Roman" w:hAnsi="Times New Roman"/>
          <w:bCs/>
          <w:lang w:eastAsia="sk-SK"/>
        </w:rPr>
        <w:t>zakladá</w:t>
      </w:r>
      <w:r w:rsidRPr="008723F7">
        <w:rPr>
          <w:rFonts w:ascii="Times New Roman" w:eastAsia="Times New Roman" w:hAnsi="Times New Roman"/>
          <w:bCs/>
          <w:lang w:eastAsia="sk-SK"/>
        </w:rPr>
        <w:t xml:space="preserve"> zvýšenie výdavkov v rozpočte verejnej správy.</w:t>
      </w:r>
      <w:r w:rsidR="006356EA" w:rsidRPr="008723F7">
        <w:rPr>
          <w:rFonts w:ascii="Times New Roman" w:eastAsia="Times New Roman" w:hAnsi="Times New Roman"/>
          <w:bCs/>
          <w:lang w:eastAsia="sk-SK"/>
        </w:rPr>
        <w:t xml:space="preserve"> Zvýšenie výdavkov verejnej správy je v plnej miere kompenzované nárastom príjmov rozpočtu verejnej správy.</w:t>
      </w:r>
    </w:p>
    <w:p w:rsidR="008E5CFB" w:rsidRPr="008723F7" w:rsidRDefault="008E5CFB" w:rsidP="001678B8">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bCs/>
          <w:lang w:eastAsia="sk-SK"/>
        </w:rPr>
      </w:pPr>
    </w:p>
    <w:p w:rsidR="004D3297" w:rsidRPr="008723F7" w:rsidRDefault="004D3297" w:rsidP="001678B8">
      <w:pPr>
        <w:spacing w:after="0" w:line="240" w:lineRule="auto"/>
        <w:rPr>
          <w:rFonts w:ascii="Times New Roman" w:eastAsia="Times New Roman" w:hAnsi="Times New Roman"/>
          <w:b/>
          <w:bCs/>
          <w:lang w:eastAsia="sk-SK"/>
        </w:rPr>
      </w:pPr>
    </w:p>
    <w:p w:rsidR="008E5CFB" w:rsidRPr="008723F7" w:rsidRDefault="008E5CFB"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2.2. Popis a charakteristika návrhu</w:t>
      </w:r>
    </w:p>
    <w:p w:rsidR="008E5CFB" w:rsidRPr="008723F7" w:rsidRDefault="008E5CFB"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2.2.1. Popis návrhu:</w:t>
      </w:r>
    </w:p>
    <w:p w:rsidR="008E5CFB" w:rsidRPr="008723F7" w:rsidRDefault="008E5CFB" w:rsidP="001678B8">
      <w:pPr>
        <w:spacing w:after="0" w:line="240" w:lineRule="auto"/>
        <w:jc w:val="both"/>
        <w:rPr>
          <w:rFonts w:ascii="Times New Roman" w:eastAsia="Times New Roman" w:hAnsi="Times New Roman"/>
          <w:b/>
          <w:bCs/>
          <w:lang w:eastAsia="sk-SK"/>
        </w:rPr>
      </w:pPr>
    </w:p>
    <w:p w:rsidR="008E5CFB" w:rsidRPr="008723F7" w:rsidRDefault="008E5CFB" w:rsidP="001678B8">
      <w:pPr>
        <w:spacing w:after="0" w:line="240" w:lineRule="auto"/>
        <w:jc w:val="both"/>
        <w:rPr>
          <w:rFonts w:ascii="Times New Roman" w:hAnsi="Times New Roman"/>
          <w:u w:val="single"/>
        </w:rPr>
      </w:pPr>
      <w:r w:rsidRPr="008723F7">
        <w:rPr>
          <w:rFonts w:ascii="Times New Roman" w:hAnsi="Times New Roman"/>
          <w:u w:val="single"/>
        </w:rPr>
        <w:t>K navrhovaným úpravám v opatrení:</w:t>
      </w:r>
    </w:p>
    <w:p w:rsidR="008E5CFB" w:rsidRPr="008723F7" w:rsidRDefault="008E5CFB" w:rsidP="001678B8">
      <w:pPr>
        <w:spacing w:after="0" w:line="240" w:lineRule="auto"/>
        <w:ind w:firstLine="720"/>
        <w:jc w:val="both"/>
        <w:rPr>
          <w:rFonts w:ascii="Times New Roman" w:hAnsi="Times New Roman"/>
        </w:rPr>
      </w:pPr>
    </w:p>
    <w:p w:rsidR="008E5CFB" w:rsidRPr="008723F7" w:rsidRDefault="008E5CFB" w:rsidP="001678B8">
      <w:pPr>
        <w:spacing w:after="0" w:line="240" w:lineRule="auto"/>
        <w:rPr>
          <w:rFonts w:ascii="Times New Roman" w:hAnsi="Times New Roman"/>
        </w:rPr>
      </w:pPr>
    </w:p>
    <w:p w:rsidR="008E5CFB" w:rsidRPr="008723F7" w:rsidRDefault="008E5CFB" w:rsidP="001678B8">
      <w:pPr>
        <w:pStyle w:val="Odsekzoznamu"/>
        <w:numPr>
          <w:ilvl w:val="0"/>
          <w:numId w:val="13"/>
        </w:numPr>
        <w:contextualSpacing/>
        <w:rPr>
          <w:b/>
          <w:bCs/>
          <w:sz w:val="22"/>
          <w:szCs w:val="22"/>
        </w:rPr>
      </w:pPr>
      <w:r w:rsidRPr="008723F7">
        <w:rPr>
          <w:b/>
          <w:bCs/>
          <w:sz w:val="22"/>
          <w:szCs w:val="22"/>
        </w:rPr>
        <w:t>Zavedenie mesačného minimálneho základu zamestnanca</w:t>
      </w:r>
    </w:p>
    <w:p w:rsidR="008E5CFB" w:rsidRPr="008723F7" w:rsidRDefault="008E5CFB" w:rsidP="001678B8">
      <w:pPr>
        <w:spacing w:after="0" w:line="240" w:lineRule="auto"/>
        <w:rPr>
          <w:rFonts w:ascii="Times New Roman" w:hAnsi="Times New Roman"/>
        </w:rPr>
      </w:pPr>
    </w:p>
    <w:p w:rsidR="004D3297" w:rsidRPr="008723F7" w:rsidRDefault="004D3297" w:rsidP="001678B8">
      <w:pPr>
        <w:spacing w:after="0" w:line="240" w:lineRule="auto"/>
        <w:jc w:val="both"/>
        <w:rPr>
          <w:rFonts w:ascii="Times New Roman" w:hAnsi="Times New Roman"/>
        </w:rPr>
      </w:pPr>
      <w:r w:rsidRPr="008723F7">
        <w:rPr>
          <w:rFonts w:ascii="Times New Roman" w:hAnsi="Times New Roman"/>
        </w:rPr>
        <w:t>Na rozdiel do ostatných skupín platiteľov poistného (osoby samostatne zárobkovo činné a dobrovoľne nezamestnané osoby) neexistuje u zamestnanca žiaden minimálny vymeriavací základ.</w:t>
      </w:r>
    </w:p>
    <w:p w:rsidR="004D3297" w:rsidRPr="008723F7" w:rsidRDefault="004D3297" w:rsidP="001678B8">
      <w:pPr>
        <w:spacing w:after="0" w:line="240" w:lineRule="auto"/>
        <w:jc w:val="both"/>
        <w:rPr>
          <w:rFonts w:ascii="Times New Roman" w:hAnsi="Times New Roman"/>
        </w:rPr>
      </w:pPr>
      <w:r w:rsidRPr="008723F7">
        <w:rPr>
          <w:rFonts w:ascii="Times New Roman" w:hAnsi="Times New Roman"/>
        </w:rPr>
        <w:t>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v plnom rozsahu (ak by nemali žiaden úväzok a boli by dobrovoľne nezamestnaní, vznikla by im povinnosť platiť poistné na úrovni minimálnej výšky odvodu, čo je pre rok 2022 suma 79,31 eur).</w:t>
      </w:r>
    </w:p>
    <w:p w:rsidR="004D3297" w:rsidRPr="008723F7" w:rsidRDefault="004D3297" w:rsidP="001678B8">
      <w:pPr>
        <w:spacing w:after="0" w:line="240" w:lineRule="auto"/>
        <w:jc w:val="both"/>
        <w:rPr>
          <w:rFonts w:ascii="Times New Roman" w:hAnsi="Times New Roman"/>
        </w:rPr>
      </w:pPr>
    </w:p>
    <w:p w:rsidR="004D3297" w:rsidRPr="008723F7" w:rsidRDefault="004D3297" w:rsidP="001678B8">
      <w:pPr>
        <w:spacing w:after="0" w:line="240" w:lineRule="auto"/>
        <w:jc w:val="both"/>
        <w:rPr>
          <w:rFonts w:ascii="Times New Roman" w:hAnsi="Times New Roman"/>
        </w:rPr>
      </w:pPr>
      <w:r w:rsidRPr="008723F7">
        <w:rPr>
          <w:rFonts w:ascii="Times New Roman" w:hAnsi="Times New Roman"/>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4D3297" w:rsidRPr="008723F7" w:rsidRDefault="004D3297" w:rsidP="001678B8">
      <w:pPr>
        <w:spacing w:after="0" w:line="240" w:lineRule="auto"/>
        <w:jc w:val="both"/>
        <w:rPr>
          <w:rFonts w:ascii="Times New Roman" w:hAnsi="Times New Roman"/>
        </w:rPr>
      </w:pPr>
    </w:p>
    <w:p w:rsidR="004D3297" w:rsidRPr="008723F7" w:rsidRDefault="004D3297" w:rsidP="001678B8">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4D3297" w:rsidRPr="008723F7" w:rsidRDefault="004D3297" w:rsidP="001678B8">
      <w:pPr>
        <w:spacing w:after="0" w:line="240" w:lineRule="auto"/>
        <w:jc w:val="both"/>
        <w:rPr>
          <w:rFonts w:ascii="Times New Roman" w:hAnsi="Times New Roman"/>
        </w:rPr>
      </w:pPr>
      <w:r w:rsidRPr="008723F7">
        <w:rPr>
          <w:rFonts w:ascii="Times New Roman" w:hAnsi="Times New Roman"/>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zákona č. 580/2004 z. z. (napr. študenti, dôchodcovia, osoby na rodičovskej dovolenke, osoby evidované na úrade práce atď.) Na poistencov štátu sa vyššie uvedená povinnosť doplatku do minimálneho odvodu vzťahovať nebude a teda v tejto </w:t>
      </w:r>
      <w:r w:rsidRPr="008723F7">
        <w:rPr>
          <w:rFonts w:ascii="Times New Roman" w:hAnsi="Times New Roman"/>
        </w:rPr>
        <w:lastRenderedPageBreak/>
        <w:t xml:space="preserve">oblasti zákon nebude postihovať nízkopríjmové skupiny osôb. Výnimka z tohto pravidla existuje, ak poistenci štátu majú príjem vyšší ako 15-násobok životného minima. </w:t>
      </w:r>
    </w:p>
    <w:p w:rsidR="008E5CFB" w:rsidRPr="008723F7" w:rsidRDefault="008E5CFB" w:rsidP="001678B8">
      <w:pPr>
        <w:spacing w:after="0" w:line="240" w:lineRule="auto"/>
        <w:jc w:val="both"/>
        <w:rPr>
          <w:rFonts w:ascii="Times New Roman" w:hAnsi="Times New Roman"/>
        </w:rPr>
      </w:pPr>
    </w:p>
    <w:p w:rsidR="00E005E4" w:rsidRPr="008723F7" w:rsidRDefault="00E005E4" w:rsidP="001678B8">
      <w:pPr>
        <w:spacing w:after="0" w:line="240" w:lineRule="auto"/>
        <w:jc w:val="both"/>
        <w:rPr>
          <w:rFonts w:ascii="Times New Roman" w:hAnsi="Times New Roman"/>
        </w:rPr>
      </w:pPr>
    </w:p>
    <w:p w:rsidR="008E5CFB" w:rsidRPr="008723F7" w:rsidRDefault="00D47350" w:rsidP="001678B8">
      <w:pPr>
        <w:pStyle w:val="Odsekzoznamu"/>
        <w:numPr>
          <w:ilvl w:val="0"/>
          <w:numId w:val="13"/>
        </w:numPr>
        <w:contextualSpacing/>
        <w:jc w:val="both"/>
        <w:rPr>
          <w:b/>
          <w:bCs/>
          <w:sz w:val="22"/>
          <w:szCs w:val="22"/>
        </w:rPr>
      </w:pPr>
      <w:r w:rsidRPr="008723F7">
        <w:rPr>
          <w:b/>
          <w:bCs/>
          <w:sz w:val="22"/>
          <w:szCs w:val="22"/>
        </w:rPr>
        <w:t>Úprava</w:t>
      </w:r>
      <w:r w:rsidR="008E5CFB" w:rsidRPr="008723F7">
        <w:rPr>
          <w:b/>
          <w:bCs/>
          <w:sz w:val="22"/>
          <w:szCs w:val="22"/>
        </w:rPr>
        <w:t xml:space="preserve"> obmedzenia prístupu k zdravotnej starostlivosti pre dlžníkov </w:t>
      </w:r>
    </w:p>
    <w:p w:rsidR="008E5CFB" w:rsidRPr="008723F7" w:rsidRDefault="008E5CFB" w:rsidP="001678B8">
      <w:pPr>
        <w:spacing w:after="0" w:line="240" w:lineRule="auto"/>
        <w:jc w:val="both"/>
        <w:rPr>
          <w:rFonts w:ascii="Times New Roman" w:hAnsi="Times New Roman"/>
        </w:rPr>
      </w:pPr>
    </w:p>
    <w:p w:rsidR="00D47350" w:rsidRPr="008723F7" w:rsidRDefault="00D47350" w:rsidP="001678B8">
      <w:pPr>
        <w:spacing w:after="0" w:line="240" w:lineRule="auto"/>
        <w:rPr>
          <w:rFonts w:ascii="Times New Roman" w:hAnsi="Times New Roman"/>
        </w:rPr>
      </w:pPr>
      <w:r w:rsidRPr="008723F7">
        <w:rPr>
          <w:rFonts w:ascii="Times New Roman" w:hAnsi="Times New Roman"/>
        </w:rPr>
        <w:t>Úprava</w:t>
      </w:r>
      <w:r w:rsidR="008E5CFB" w:rsidRPr="008723F7">
        <w:rPr>
          <w:rFonts w:ascii="Times New Roman" w:hAnsi="Times New Roman"/>
        </w:rPr>
        <w:t xml:space="preserve"> obmedzenia prístupu k zdravotnej starostlivosti pre dlžníkov</w:t>
      </w:r>
      <w:r w:rsidRPr="008723F7">
        <w:rPr>
          <w:rFonts w:ascii="Times New Roman" w:hAnsi="Times New Roman"/>
        </w:rPr>
        <w:t xml:space="preserve"> spočíva v rozšírení zdravotnej starostlivosti pre p</w:t>
      </w:r>
      <w:r w:rsidR="008E5CFB" w:rsidRPr="008723F7">
        <w:rPr>
          <w:rFonts w:ascii="Times New Roman" w:hAnsi="Times New Roman"/>
        </w:rPr>
        <w:t xml:space="preserve"> </w:t>
      </w:r>
      <w:r w:rsidRPr="008723F7">
        <w:rPr>
          <w:rFonts w:ascii="Times New Roman" w:hAnsi="Times New Roman"/>
        </w:rPr>
        <w:t xml:space="preserve">poistencov, ktorí je dlžníkom podľa § 25a ods. 1 a nespĺňa podmienky podľa § 9 ods. 2 písm. a) až h), a po novom bude mať právo na úhradu </w:t>
      </w:r>
    </w:p>
    <w:p w:rsidR="00D47350" w:rsidRPr="008723F7" w:rsidRDefault="00D47350" w:rsidP="001678B8">
      <w:pPr>
        <w:pStyle w:val="Odsekzoznamu"/>
        <w:numPr>
          <w:ilvl w:val="0"/>
          <w:numId w:val="16"/>
        </w:numPr>
        <w:contextualSpacing/>
        <w:rPr>
          <w:sz w:val="22"/>
          <w:szCs w:val="22"/>
        </w:rPr>
      </w:pPr>
      <w:r w:rsidRPr="008723F7">
        <w:rPr>
          <w:sz w:val="22"/>
          <w:szCs w:val="22"/>
        </w:rPr>
        <w:t>zdravotnej starostlivosti poskytovanej v súvislosti s tehotenstvom,</w:t>
      </w:r>
    </w:p>
    <w:p w:rsidR="00D47350" w:rsidRPr="008723F7" w:rsidRDefault="00D47350" w:rsidP="001678B8">
      <w:pPr>
        <w:pStyle w:val="Odsekzoznamu"/>
        <w:numPr>
          <w:ilvl w:val="0"/>
          <w:numId w:val="16"/>
        </w:numPr>
        <w:contextualSpacing/>
        <w:rPr>
          <w:sz w:val="22"/>
          <w:szCs w:val="22"/>
        </w:rPr>
      </w:pPr>
      <w:r w:rsidRPr="008723F7">
        <w:rPr>
          <w:sz w:val="22"/>
          <w:szCs w:val="22"/>
        </w:rPr>
        <w:t>očkovania za účelom prevencie infekčných ochorení ako aj liečbu infekčného ochorenia,</w:t>
      </w:r>
    </w:p>
    <w:p w:rsidR="00D47350" w:rsidRPr="008723F7" w:rsidRDefault="00A97D9D" w:rsidP="001678B8">
      <w:pPr>
        <w:pStyle w:val="Odsekzoznamu"/>
        <w:numPr>
          <w:ilvl w:val="0"/>
          <w:numId w:val="16"/>
        </w:numPr>
        <w:contextualSpacing/>
        <w:rPr>
          <w:sz w:val="22"/>
          <w:szCs w:val="22"/>
        </w:rPr>
      </w:pPr>
      <w:r w:rsidRPr="008723F7">
        <w:rPr>
          <w:sz w:val="22"/>
          <w:szCs w:val="22"/>
        </w:rPr>
        <w:t xml:space="preserve">liečby </w:t>
      </w:r>
      <w:r w:rsidR="00D47350" w:rsidRPr="008723F7">
        <w:rPr>
          <w:sz w:val="22"/>
          <w:szCs w:val="22"/>
        </w:rPr>
        <w:t>chronického ochorenia, ktoré má bez liečby za následok ťažké a nevratné zmeny zdravia vedúce k predčasnému úmrtiu, ak ide o osoby podľa § 11 ods. 7.“.</w:t>
      </w:r>
    </w:p>
    <w:p w:rsidR="008E5CFB" w:rsidRPr="008723F7" w:rsidRDefault="008E5CFB" w:rsidP="001678B8">
      <w:pPr>
        <w:spacing w:after="0" w:line="240" w:lineRule="auto"/>
        <w:jc w:val="both"/>
        <w:rPr>
          <w:rFonts w:ascii="Times New Roman" w:hAnsi="Times New Roman"/>
        </w:rPr>
      </w:pPr>
    </w:p>
    <w:p w:rsidR="008E5CFB" w:rsidRPr="008723F7" w:rsidRDefault="00D47350" w:rsidP="001678B8">
      <w:pPr>
        <w:spacing w:after="0" w:line="240" w:lineRule="auto"/>
        <w:jc w:val="both"/>
        <w:rPr>
          <w:rFonts w:ascii="Times New Roman" w:hAnsi="Times New Roman"/>
        </w:rPr>
      </w:pPr>
      <w:r w:rsidRPr="008723F7">
        <w:rPr>
          <w:rFonts w:ascii="Times New Roman" w:hAnsi="Times New Roman"/>
        </w:rPr>
        <w:t xml:space="preserve">Nepredpokladáme, že by takáto úprava mala vplyv na pokles úspešnosti výberu poistného. </w:t>
      </w: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Prípadný dopad na výdavkovej strane sa nepredpokladá, nakoľko zdravotná starostlivosť, ktorá nebola dočasne poskytovaná dlžníkom by napokon vždy mala byť poskytnutá, či už po úhrade dlhu, alebo po tom, ako sa z odkladnej zdravotnej starostlivosti stane neodkladná, často aj vo vyššej sume, ako by stála v čase, kým neodkladnou nebola (akútna zdravotná starostlivosť je vždy drahšia, ako včasná liečba ochorenia).</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Z vyššie uvedených dôvodov preto v tejto časti nepredpokladáme pozitívny ani negatívny dopad na rozpočet verejného zdravotného poistenia.</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pStyle w:val="Odsekzoznamu"/>
        <w:numPr>
          <w:ilvl w:val="0"/>
          <w:numId w:val="13"/>
        </w:numPr>
        <w:contextualSpacing/>
        <w:jc w:val="both"/>
        <w:rPr>
          <w:b/>
          <w:sz w:val="22"/>
          <w:szCs w:val="22"/>
        </w:rPr>
      </w:pPr>
      <w:r w:rsidRPr="008723F7">
        <w:rPr>
          <w:b/>
          <w:sz w:val="22"/>
          <w:szCs w:val="22"/>
        </w:rPr>
        <w:t>Zmena spôsobu uhrádzania zdravotnej starostlivosti pre žiadateľov o azyl a ďalšie osoby</w:t>
      </w:r>
    </w:p>
    <w:p w:rsidR="008E5CFB" w:rsidRPr="008723F7" w:rsidRDefault="008E5CFB" w:rsidP="001678B8">
      <w:pPr>
        <w:spacing w:after="0" w:line="240" w:lineRule="auto"/>
        <w:jc w:val="both"/>
        <w:rPr>
          <w:rFonts w:ascii="Times New Roman" w:hAnsi="Times New Roman"/>
          <w:b/>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Skupina osôb, ktorá zahŕňa žiadateľov o azyl, žiadateľov o poskytnutie dočasného útočiska a osoby v programe asistovaného dobrovoľného návratu do krajiny pôvodu,  má nárok na poskytnutie neodkladnej zdravotnej starostlivosti aj v súčasnosti. Návrh nezakladá rozšírenie tohto rozsahu, iba zmenu subjektu, ktorý má túto zdravotnú starostlivosť uhrádzať – namiesto Ministerstva vnútra SR to má byť Ministerstvo zdravotníctva SR.</w:t>
      </w: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Z uvedeného dôvodu nepredpokladáme dopad na štátny rozpočet, iba presun finančných prostriedkov, vyčlenených na tento účel z kapitoly MV SR do kapitoly MZ SR.</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rPr>
          <w:rFonts w:ascii="Times New Roman" w:hAnsi="Times New Roman"/>
        </w:rPr>
      </w:pPr>
    </w:p>
    <w:p w:rsidR="008E5CFB" w:rsidRPr="008723F7" w:rsidRDefault="008E5CFB" w:rsidP="001678B8">
      <w:pPr>
        <w:pStyle w:val="Odsekzoznamu"/>
        <w:numPr>
          <w:ilvl w:val="0"/>
          <w:numId w:val="13"/>
        </w:numPr>
        <w:contextualSpacing/>
        <w:rPr>
          <w:b/>
          <w:sz w:val="22"/>
          <w:szCs w:val="22"/>
        </w:rPr>
      </w:pPr>
      <w:r w:rsidRPr="008723F7">
        <w:rPr>
          <w:b/>
          <w:sz w:val="22"/>
          <w:szCs w:val="22"/>
        </w:rPr>
        <w:t>Nárok predsedu Úradu pre dohľad nad zdravotnou starostlivosťou na paušálnu náhradu na pokrytie nevyhnutných výdavkov.</w:t>
      </w:r>
    </w:p>
    <w:p w:rsidR="008E5CFB" w:rsidRPr="008723F7" w:rsidRDefault="008E5CFB" w:rsidP="001678B8">
      <w:pPr>
        <w:spacing w:after="0" w:line="240" w:lineRule="auto"/>
        <w:rPr>
          <w:rFonts w:ascii="Times New Roman" w:hAnsi="Times New Roman"/>
          <w:b/>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Navrhuje sa v zákone ustanoviť nárok predsedu ÚDZS na mesačnú paušálnu náhradu na pokrytie nevyhnutných výdavkov za služby a iných osobných výdavkov súvisiacich s vykonávaním funkcie v sume maximálne 50 % platu, obdobne, ako je to u iných vysokých ústavných činiteľov.</w:t>
      </w:r>
    </w:p>
    <w:p w:rsidR="008E5CFB" w:rsidRPr="008723F7" w:rsidRDefault="008E5CFB" w:rsidP="001678B8">
      <w:pPr>
        <w:spacing w:after="0" w:line="240" w:lineRule="auto"/>
        <w:rPr>
          <w:rFonts w:ascii="Times New Roman" w:hAnsi="Times New Roman"/>
          <w:b/>
        </w:rPr>
      </w:pPr>
    </w:p>
    <w:p w:rsidR="008E5CFB" w:rsidRPr="008723F7" w:rsidRDefault="008E5CFB" w:rsidP="001678B8">
      <w:pPr>
        <w:pStyle w:val="Odsekzoznamu"/>
        <w:numPr>
          <w:ilvl w:val="0"/>
          <w:numId w:val="13"/>
        </w:numPr>
        <w:contextualSpacing/>
        <w:rPr>
          <w:b/>
          <w:sz w:val="22"/>
          <w:szCs w:val="22"/>
        </w:rPr>
      </w:pPr>
      <w:r w:rsidRPr="008723F7">
        <w:rPr>
          <w:b/>
          <w:sz w:val="22"/>
          <w:szCs w:val="22"/>
        </w:rPr>
        <w:t>Zvýšenie pokút uložených zdravotným poisťovniam</w:t>
      </w:r>
    </w:p>
    <w:p w:rsidR="008E5CFB" w:rsidRPr="008723F7" w:rsidRDefault="008E5CFB" w:rsidP="001678B8">
      <w:pPr>
        <w:spacing w:after="0" w:line="240" w:lineRule="auto"/>
        <w:rPr>
          <w:rFonts w:ascii="Times New Roman" w:hAnsi="Times New Roman"/>
          <w:b/>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Návrh zákona zavádza opakovanú sankciu v prípadoch kedy zdravotná poisťovňa opakovane poruší tú istú zákonnú povinnosť. Návrh má slúžiť ako preventívna funkcia. </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pStyle w:val="Odsekzoznamu"/>
        <w:numPr>
          <w:ilvl w:val="0"/>
          <w:numId w:val="13"/>
        </w:numPr>
        <w:contextualSpacing/>
        <w:jc w:val="both"/>
        <w:rPr>
          <w:b/>
          <w:sz w:val="22"/>
          <w:szCs w:val="22"/>
        </w:rPr>
      </w:pPr>
      <w:r w:rsidRPr="008723F7">
        <w:rPr>
          <w:b/>
          <w:sz w:val="22"/>
          <w:szCs w:val="22"/>
        </w:rPr>
        <w:t>Zvýšenie percenta príspevkov, odvádzaných zdravotnými poisťovňami</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Navrhuje sa zvýšenie príspevkov zdravotných poisťovní na činnosti operačných stredísk tiesňového volania záchrannej zdravotnej služby zo súčasnej sadzby 0,35% na sadzbu 0,45%.</w:t>
      </w: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Navrhuje sa zvýšenie príspevkov na správu a rozvoj národného zdravotníckeho informačného systému zo súčasnej sadzby 0,41% na sadzbu 0,55%.</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pStyle w:val="Odsekzoznamu"/>
        <w:numPr>
          <w:ilvl w:val="0"/>
          <w:numId w:val="13"/>
        </w:numPr>
        <w:jc w:val="both"/>
        <w:rPr>
          <w:b/>
          <w:sz w:val="22"/>
          <w:szCs w:val="22"/>
        </w:rPr>
      </w:pPr>
      <w:r w:rsidRPr="008723F7">
        <w:rPr>
          <w:b/>
          <w:sz w:val="22"/>
          <w:szCs w:val="22"/>
        </w:rPr>
        <w:lastRenderedPageBreak/>
        <w:t>Regulácia zisku zdravotných poisťovní</w:t>
      </w:r>
    </w:p>
    <w:p w:rsidR="00E83285" w:rsidRPr="008723F7" w:rsidRDefault="00E83285"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Cieľom návrhu je </w:t>
      </w:r>
      <w:proofErr w:type="spellStart"/>
      <w:r w:rsidRPr="008723F7">
        <w:rPr>
          <w:rFonts w:ascii="Times New Roman" w:hAnsi="Times New Roman"/>
        </w:rPr>
        <w:t>zaregulovať</w:t>
      </w:r>
      <w:proofErr w:type="spellEnd"/>
      <w:r w:rsidRPr="008723F7">
        <w:rPr>
          <w:rFonts w:ascii="Times New Roman" w:hAnsi="Times New Roman"/>
        </w:rPr>
        <w:t xml:space="preserve"> maximálnu hodnotu kladného hospodárskeho výsledku, ktorú si budú môcť akcionári zdravotnej poisťovne vyplatiť vo forme dividend tak, aby na jednej strane neboli odčerpávané zdroje verejného zdravotného poistenia mimo systém v miere vyššej, ako je primeraná odmena za správu verejných zdrojov a výkon zdravotného poistenia a na druhej strane, aby potencionálna odmena, ktorú môže získať akcionár zdravotnej poisťovne vo forme dividendy pokrývala náklady, spojené s výkonom týchto činností a bola motivujúca.</w:t>
      </w:r>
    </w:p>
    <w:p w:rsidR="008E5CFB" w:rsidRPr="008723F7" w:rsidRDefault="008E5CFB" w:rsidP="001678B8">
      <w:pPr>
        <w:spacing w:after="0" w:line="240" w:lineRule="auto"/>
        <w:jc w:val="both"/>
        <w:rPr>
          <w:rFonts w:ascii="Times New Roman" w:hAnsi="Times New Roman"/>
        </w:rPr>
      </w:pPr>
    </w:p>
    <w:p w:rsidR="008E5CFB" w:rsidRPr="008723F7" w:rsidRDefault="00F42A90" w:rsidP="001678B8">
      <w:pPr>
        <w:pStyle w:val="Odsekzoznamu"/>
        <w:numPr>
          <w:ilvl w:val="0"/>
          <w:numId w:val="13"/>
        </w:numPr>
        <w:jc w:val="both"/>
        <w:rPr>
          <w:b/>
          <w:sz w:val="22"/>
          <w:szCs w:val="22"/>
          <w:lang w:eastAsia="sk-SK"/>
        </w:rPr>
      </w:pPr>
      <w:r w:rsidRPr="008723F7">
        <w:rPr>
          <w:b/>
          <w:sz w:val="22"/>
          <w:szCs w:val="22"/>
          <w:lang w:eastAsia="sk-SK"/>
        </w:rPr>
        <w:t>Platba za poistencov štátu</w:t>
      </w:r>
    </w:p>
    <w:p w:rsidR="008723F7" w:rsidRPr="008723F7" w:rsidRDefault="008723F7" w:rsidP="001678B8">
      <w:pPr>
        <w:spacing w:after="0" w:line="240" w:lineRule="auto"/>
        <w:rPr>
          <w:rFonts w:ascii="Times New Roman" w:hAnsi="Times New Roman"/>
        </w:rPr>
      </w:pPr>
    </w:p>
    <w:p w:rsidR="004D3297" w:rsidRPr="008723F7" w:rsidRDefault="00F42A90" w:rsidP="008723F7">
      <w:pPr>
        <w:spacing w:after="0" w:line="240" w:lineRule="auto"/>
        <w:jc w:val="both"/>
        <w:rPr>
          <w:rFonts w:ascii="Times New Roman" w:hAnsi="Times New Roman"/>
        </w:rPr>
      </w:pPr>
      <w:r w:rsidRPr="008723F7">
        <w:rPr>
          <w:rFonts w:ascii="Times New Roman" w:hAnsi="Times New Roman"/>
        </w:rPr>
        <w:t xml:space="preserve">Navrhuje sa, aby </w:t>
      </w:r>
      <w:r w:rsidR="00E005E4" w:rsidRPr="008723F7">
        <w:rPr>
          <w:rFonts w:ascii="Times New Roman" w:hAnsi="Times New Roman"/>
        </w:rPr>
        <w:t>podiel platby za poistencov štátu na HDP vzrás</w:t>
      </w:r>
      <w:r w:rsidRPr="008723F7">
        <w:rPr>
          <w:rFonts w:ascii="Times New Roman" w:hAnsi="Times New Roman"/>
        </w:rPr>
        <w:t>tol</w:t>
      </w:r>
      <w:r w:rsidR="00E005E4" w:rsidRPr="008723F7">
        <w:rPr>
          <w:rFonts w:ascii="Times New Roman" w:hAnsi="Times New Roman"/>
        </w:rPr>
        <w:t xml:space="preserve"> z 1,37% HDP v roku 2021 na 1,9% HDP. Došlo by tak k výraznému nárastu zdrojov verejného zdravotného poistenia, pričom tento nárast </w:t>
      </w:r>
      <w:r w:rsidRPr="008723F7">
        <w:rPr>
          <w:rFonts w:ascii="Times New Roman" w:hAnsi="Times New Roman"/>
        </w:rPr>
        <w:t xml:space="preserve">by sa </w:t>
      </w:r>
      <w:r w:rsidR="00E005E4" w:rsidRPr="008723F7">
        <w:rPr>
          <w:rFonts w:ascii="Times New Roman" w:hAnsi="Times New Roman"/>
        </w:rPr>
        <w:t>premiet</w:t>
      </w:r>
      <w:r w:rsidRPr="008723F7">
        <w:rPr>
          <w:rFonts w:ascii="Times New Roman" w:hAnsi="Times New Roman"/>
        </w:rPr>
        <w:t xml:space="preserve">ol </w:t>
      </w:r>
      <w:r w:rsidR="00E005E4" w:rsidRPr="008723F7">
        <w:rPr>
          <w:rFonts w:ascii="Times New Roman" w:hAnsi="Times New Roman"/>
        </w:rPr>
        <w:t xml:space="preserve">do vývoja výdavkov zdravotného poistenia, </w:t>
      </w:r>
      <w:r w:rsidRPr="008723F7">
        <w:rPr>
          <w:rFonts w:ascii="Times New Roman" w:hAnsi="Times New Roman"/>
        </w:rPr>
        <w:t xml:space="preserve">čím by sa mohol znížiť </w:t>
      </w:r>
      <w:r w:rsidR="00E005E4" w:rsidRPr="008723F7">
        <w:rPr>
          <w:rFonts w:ascii="Times New Roman" w:hAnsi="Times New Roman"/>
        </w:rPr>
        <w:t xml:space="preserve">vývoj deficitu poskytovateľov zdravotnej starostlivosti. </w:t>
      </w:r>
      <w:r w:rsidRPr="008723F7">
        <w:rPr>
          <w:rFonts w:ascii="Times New Roman" w:hAnsi="Times New Roman"/>
        </w:rPr>
        <w:t>N</w:t>
      </w:r>
      <w:r w:rsidR="00E005E4" w:rsidRPr="008723F7">
        <w:rPr>
          <w:rFonts w:ascii="Times New Roman" w:hAnsi="Times New Roman"/>
        </w:rPr>
        <w:t>árast zdrojov v zdravotníctve b</w:t>
      </w:r>
      <w:r w:rsidRPr="008723F7">
        <w:rPr>
          <w:rFonts w:ascii="Times New Roman" w:hAnsi="Times New Roman"/>
        </w:rPr>
        <w:t xml:space="preserve">y mal byť pokrytý znížením výdavkov </w:t>
      </w:r>
      <w:r w:rsidR="00E005E4" w:rsidRPr="008723F7">
        <w:rPr>
          <w:rFonts w:ascii="Times New Roman" w:hAnsi="Times New Roman"/>
        </w:rPr>
        <w:t>v iný</w:t>
      </w:r>
      <w:r w:rsidRPr="008723F7">
        <w:rPr>
          <w:rFonts w:ascii="Times New Roman" w:hAnsi="Times New Roman"/>
        </w:rPr>
        <w:t xml:space="preserve">ch sektoroch verejnej správy a nemal by </w:t>
      </w:r>
      <w:r w:rsidR="00E005E4" w:rsidRPr="008723F7">
        <w:rPr>
          <w:rFonts w:ascii="Times New Roman" w:hAnsi="Times New Roman"/>
        </w:rPr>
        <w:t>vplývať na saldo hospodárenia verejných financií.</w:t>
      </w:r>
      <w:r w:rsidR="00A97D9D" w:rsidRPr="008723F7">
        <w:rPr>
          <w:rFonts w:ascii="Times New Roman" w:hAnsi="Times New Roman"/>
        </w:rPr>
        <w:t xml:space="preserve"> Toto opatrenie zlepší finančnú situáciu poskytovateľov zdravotnej starostlivosti vrátane tých verejných v zdravotnom sektore. Dlhodobým problémom zdravotného systému je opakovane deficitné hospodárenie viacerých verejných subjektov vrátane VŠZP a niektorých poskytovateľov zdravotnej starostlivosti, preto je nutné systém dofinancovať. </w:t>
      </w:r>
    </w:p>
    <w:p w:rsidR="00A97D9D" w:rsidRPr="008723F7" w:rsidRDefault="00A97D9D"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2.2.2. Charakteristika návrhu:</w:t>
      </w:r>
    </w:p>
    <w:p w:rsidR="008E5CFB" w:rsidRPr="008723F7" w:rsidRDefault="008E5CFB"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rPr>
          <w:rFonts w:ascii="Times New Roman" w:eastAsia="Times New Roman" w:hAnsi="Times New Roman"/>
          <w:lang w:eastAsia="sk-SK"/>
        </w:rPr>
      </w:pPr>
      <w:r w:rsidRPr="008723F7">
        <w:rPr>
          <w:rFonts w:ascii="Times New Roman" w:eastAsia="Times New Roman" w:hAnsi="Times New Roman"/>
          <w:b/>
          <w:bdr w:val="single" w:sz="4" w:space="0" w:color="auto"/>
          <w:lang w:eastAsia="sk-SK"/>
        </w:rPr>
        <w:t xml:space="preserve">     </w:t>
      </w:r>
      <w:r w:rsidRPr="008723F7">
        <w:rPr>
          <w:rFonts w:ascii="Times New Roman" w:eastAsia="Times New Roman" w:hAnsi="Times New Roman"/>
          <w:b/>
          <w:lang w:eastAsia="sk-SK"/>
        </w:rPr>
        <w:t xml:space="preserve">  </w:t>
      </w:r>
      <w:r w:rsidRPr="008723F7">
        <w:rPr>
          <w:rFonts w:ascii="Times New Roman" w:eastAsia="Times New Roman" w:hAnsi="Times New Roman"/>
          <w:lang w:eastAsia="sk-SK"/>
        </w:rPr>
        <w:t>zmena sadzby</w:t>
      </w:r>
    </w:p>
    <w:p w:rsidR="008E5CFB" w:rsidRPr="008723F7" w:rsidRDefault="008E5CFB" w:rsidP="001678B8">
      <w:pPr>
        <w:spacing w:after="0" w:line="240" w:lineRule="auto"/>
        <w:rPr>
          <w:rFonts w:ascii="Times New Roman" w:eastAsia="Times New Roman" w:hAnsi="Times New Roman"/>
          <w:lang w:eastAsia="sk-SK"/>
        </w:rPr>
      </w:pPr>
      <w:r w:rsidRPr="008723F7">
        <w:rPr>
          <w:rFonts w:ascii="Times New Roman" w:eastAsia="Times New Roman" w:hAnsi="Times New Roman"/>
          <w:bdr w:val="single" w:sz="4" w:space="0" w:color="auto"/>
          <w:lang w:eastAsia="sk-SK"/>
        </w:rPr>
        <w:t xml:space="preserve">     </w:t>
      </w:r>
      <w:r w:rsidRPr="008723F7">
        <w:rPr>
          <w:rFonts w:ascii="Times New Roman" w:eastAsia="Times New Roman" w:hAnsi="Times New Roman"/>
          <w:lang w:eastAsia="sk-SK"/>
        </w:rPr>
        <w:t xml:space="preserve">  zmena v nároku</w:t>
      </w:r>
    </w:p>
    <w:p w:rsidR="008E5CFB" w:rsidRPr="008723F7" w:rsidRDefault="008E5CFB" w:rsidP="001678B8">
      <w:pPr>
        <w:spacing w:after="0" w:line="240" w:lineRule="auto"/>
        <w:rPr>
          <w:rFonts w:ascii="Times New Roman" w:eastAsia="Times New Roman" w:hAnsi="Times New Roman"/>
          <w:lang w:eastAsia="sk-SK"/>
        </w:rPr>
      </w:pPr>
      <w:r w:rsidRPr="008723F7">
        <w:rPr>
          <w:rFonts w:ascii="Times New Roman" w:eastAsia="Times New Roman" w:hAnsi="Times New Roman"/>
          <w:bdr w:val="single" w:sz="4" w:space="0" w:color="auto"/>
          <w:lang w:eastAsia="sk-SK"/>
        </w:rPr>
        <w:t xml:space="preserve">     </w:t>
      </w:r>
      <w:r w:rsidRPr="008723F7">
        <w:rPr>
          <w:rFonts w:ascii="Times New Roman" w:eastAsia="Times New Roman" w:hAnsi="Times New Roman"/>
          <w:lang w:eastAsia="sk-SK"/>
        </w:rPr>
        <w:t xml:space="preserve">  nová služba alebo nariadenie (alebo ich zrušenie)</w:t>
      </w:r>
    </w:p>
    <w:p w:rsidR="008E5CFB" w:rsidRPr="008723F7" w:rsidRDefault="008E5CFB" w:rsidP="001678B8">
      <w:pPr>
        <w:spacing w:after="0" w:line="240" w:lineRule="auto"/>
        <w:rPr>
          <w:rFonts w:ascii="Times New Roman" w:eastAsia="Times New Roman" w:hAnsi="Times New Roman"/>
          <w:lang w:eastAsia="sk-SK"/>
        </w:rPr>
      </w:pPr>
      <w:r w:rsidRPr="008723F7">
        <w:rPr>
          <w:rFonts w:ascii="Times New Roman" w:eastAsia="Times New Roman" w:hAnsi="Times New Roman"/>
          <w:bdr w:val="single" w:sz="4" w:space="0" w:color="auto"/>
          <w:lang w:eastAsia="sk-SK"/>
        </w:rPr>
        <w:t xml:space="preserve"> X </w:t>
      </w:r>
      <w:r w:rsidRPr="008723F7">
        <w:rPr>
          <w:rFonts w:ascii="Times New Roman" w:eastAsia="Times New Roman" w:hAnsi="Times New Roman"/>
          <w:lang w:eastAsia="sk-SK"/>
        </w:rPr>
        <w:t xml:space="preserve">  kombinovaný návrh</w:t>
      </w:r>
    </w:p>
    <w:p w:rsidR="008E5CFB" w:rsidRPr="008723F7" w:rsidRDefault="008E5CFB" w:rsidP="001678B8">
      <w:pPr>
        <w:spacing w:after="0" w:line="240" w:lineRule="auto"/>
        <w:rPr>
          <w:rFonts w:ascii="Times New Roman" w:eastAsia="Times New Roman" w:hAnsi="Times New Roman"/>
          <w:lang w:eastAsia="sk-SK"/>
        </w:rPr>
      </w:pPr>
      <w:r w:rsidRPr="008723F7">
        <w:rPr>
          <w:rFonts w:ascii="Times New Roman" w:eastAsia="Times New Roman" w:hAnsi="Times New Roman"/>
          <w:bdr w:val="single" w:sz="4" w:space="0" w:color="auto"/>
          <w:lang w:eastAsia="sk-SK"/>
        </w:rPr>
        <w:t xml:space="preserve">     </w:t>
      </w:r>
      <w:r w:rsidRPr="008723F7">
        <w:rPr>
          <w:rFonts w:ascii="Times New Roman" w:eastAsia="Times New Roman" w:hAnsi="Times New Roman"/>
          <w:lang w:eastAsia="sk-SK"/>
        </w:rPr>
        <w:t xml:space="preserve">  iné </w:t>
      </w:r>
    </w:p>
    <w:p w:rsidR="008E5CFB" w:rsidRPr="008723F7" w:rsidRDefault="008E5CFB"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2.2.3. Predpoklady vývoja objemu aktivít:</w:t>
      </w:r>
    </w:p>
    <w:p w:rsidR="008E5CFB" w:rsidRPr="008723F7" w:rsidRDefault="008E5CFB"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ind w:firstLine="708"/>
        <w:jc w:val="both"/>
        <w:rPr>
          <w:rFonts w:ascii="Times New Roman" w:eastAsia="Times New Roman" w:hAnsi="Times New Roman"/>
          <w:lang w:eastAsia="sk-SK"/>
        </w:rPr>
      </w:pPr>
      <w:r w:rsidRPr="008723F7">
        <w:rPr>
          <w:rFonts w:ascii="Times New Roman" w:eastAsia="Times New Roman" w:hAnsi="Times New Roman"/>
          <w:lang w:eastAsia="sk-SK"/>
        </w:rPr>
        <w:t>Jasne popíšte, v prípade potreby použite nižšie uvedenú tabuľku. Uveďte aj odhady základov daní a/alebo poplatkov, ak sa ich táto zmena týka.</w:t>
      </w:r>
    </w:p>
    <w:p w:rsidR="008E5CFB" w:rsidRPr="008723F7" w:rsidRDefault="008E5CFB"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E5CFB" w:rsidRPr="008723F7" w:rsidTr="006356EA">
        <w:trPr>
          <w:cantSplit/>
          <w:trHeight w:val="70"/>
        </w:trPr>
        <w:tc>
          <w:tcPr>
            <w:tcW w:w="4530" w:type="dxa"/>
            <w:vMerge w:val="restart"/>
            <w:shd w:val="clear" w:color="auto" w:fill="BFBFBF" w:themeFill="background1" w:themeFillShade="BF"/>
            <w:vAlign w:val="center"/>
          </w:tcPr>
          <w:p w:rsidR="008E5CFB" w:rsidRPr="008723F7" w:rsidRDefault="008E5CFB" w:rsidP="001678B8">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Objem aktivít</w:t>
            </w:r>
          </w:p>
        </w:tc>
        <w:tc>
          <w:tcPr>
            <w:tcW w:w="1134" w:type="dxa"/>
            <w:gridSpan w:val="4"/>
            <w:shd w:val="clear" w:color="auto" w:fill="BFBFBF" w:themeFill="background1" w:themeFillShade="BF"/>
            <w:vAlign w:val="center"/>
          </w:tcPr>
          <w:p w:rsidR="008E5CFB" w:rsidRPr="008723F7" w:rsidRDefault="008E5CFB" w:rsidP="001678B8">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Odhadované objemy</w:t>
            </w:r>
          </w:p>
        </w:tc>
      </w:tr>
      <w:tr w:rsidR="008E5CFB" w:rsidRPr="008723F7" w:rsidTr="006356EA">
        <w:trPr>
          <w:cantSplit/>
          <w:trHeight w:val="70"/>
        </w:trPr>
        <w:tc>
          <w:tcPr>
            <w:tcW w:w="4530" w:type="dxa"/>
            <w:vMerge/>
            <w:shd w:val="clear" w:color="auto" w:fill="BFBFBF" w:themeFill="background1" w:themeFillShade="BF"/>
          </w:tcPr>
          <w:p w:rsidR="008E5CFB" w:rsidRPr="008723F7" w:rsidRDefault="008E5CFB" w:rsidP="001678B8">
            <w:pPr>
              <w:autoSpaceDE w:val="0"/>
              <w:autoSpaceDN w:val="0"/>
              <w:adjustRightInd w:val="0"/>
              <w:spacing w:after="0" w:line="240" w:lineRule="auto"/>
              <w:jc w:val="center"/>
              <w:rPr>
                <w:rFonts w:ascii="Times New Roman" w:eastAsia="Times New Roman" w:hAnsi="Times New Roman"/>
                <w:b/>
                <w:bCs/>
                <w:lang w:eastAsia="sk-SK"/>
              </w:rPr>
            </w:pPr>
          </w:p>
        </w:tc>
        <w:tc>
          <w:tcPr>
            <w:tcW w:w="1134" w:type="dxa"/>
            <w:shd w:val="clear" w:color="auto" w:fill="BFBFBF" w:themeFill="background1" w:themeFillShade="BF"/>
            <w:vAlign w:val="center"/>
          </w:tcPr>
          <w:p w:rsidR="008E5CFB" w:rsidRPr="008723F7" w:rsidRDefault="008E5CFB" w:rsidP="001678B8">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w:t>
            </w:r>
            <w:r w:rsidR="00F234C7" w:rsidRPr="008723F7">
              <w:rPr>
                <w:rFonts w:ascii="Times New Roman" w:eastAsia="Times New Roman" w:hAnsi="Times New Roman"/>
                <w:b/>
                <w:bCs/>
                <w:lang w:eastAsia="sk-SK"/>
              </w:rPr>
              <w:t>2</w:t>
            </w:r>
          </w:p>
        </w:tc>
        <w:tc>
          <w:tcPr>
            <w:tcW w:w="1134" w:type="dxa"/>
            <w:shd w:val="clear" w:color="auto" w:fill="BFBFBF" w:themeFill="background1" w:themeFillShade="BF"/>
            <w:vAlign w:val="center"/>
          </w:tcPr>
          <w:p w:rsidR="008E5CFB" w:rsidRPr="008723F7" w:rsidRDefault="008E5CFB" w:rsidP="001678B8">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w:t>
            </w:r>
            <w:r w:rsidR="00F234C7" w:rsidRPr="008723F7">
              <w:rPr>
                <w:rFonts w:ascii="Times New Roman" w:eastAsia="Times New Roman" w:hAnsi="Times New Roman"/>
                <w:b/>
                <w:bCs/>
                <w:lang w:eastAsia="sk-SK"/>
              </w:rPr>
              <w:t>3</w:t>
            </w:r>
          </w:p>
        </w:tc>
        <w:tc>
          <w:tcPr>
            <w:tcW w:w="1134" w:type="dxa"/>
            <w:shd w:val="clear" w:color="auto" w:fill="BFBFBF" w:themeFill="background1" w:themeFillShade="BF"/>
            <w:vAlign w:val="center"/>
          </w:tcPr>
          <w:p w:rsidR="008E5CFB" w:rsidRPr="008723F7" w:rsidRDefault="008E5CFB" w:rsidP="001678B8">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w:t>
            </w:r>
            <w:r w:rsidR="00F234C7" w:rsidRPr="008723F7">
              <w:rPr>
                <w:rFonts w:ascii="Times New Roman" w:eastAsia="Times New Roman" w:hAnsi="Times New Roman"/>
                <w:b/>
                <w:bCs/>
                <w:lang w:eastAsia="sk-SK"/>
              </w:rPr>
              <w:t>4</w:t>
            </w:r>
          </w:p>
        </w:tc>
        <w:tc>
          <w:tcPr>
            <w:tcW w:w="1134" w:type="dxa"/>
            <w:shd w:val="clear" w:color="auto" w:fill="BFBFBF" w:themeFill="background1" w:themeFillShade="BF"/>
            <w:vAlign w:val="center"/>
          </w:tcPr>
          <w:p w:rsidR="008E5CFB" w:rsidRPr="008723F7" w:rsidRDefault="008E5CFB" w:rsidP="001678B8">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w:t>
            </w:r>
            <w:r w:rsidR="00F234C7" w:rsidRPr="008723F7">
              <w:rPr>
                <w:rFonts w:ascii="Times New Roman" w:eastAsia="Times New Roman" w:hAnsi="Times New Roman"/>
                <w:b/>
                <w:bCs/>
                <w:lang w:eastAsia="sk-SK"/>
              </w:rPr>
              <w:t>5</w:t>
            </w:r>
          </w:p>
        </w:tc>
      </w:tr>
      <w:tr w:rsidR="008E5CFB" w:rsidRPr="008723F7" w:rsidTr="006356EA">
        <w:trPr>
          <w:trHeight w:val="70"/>
        </w:trPr>
        <w:tc>
          <w:tcPr>
            <w:tcW w:w="4530" w:type="dxa"/>
          </w:tcPr>
          <w:p w:rsidR="008E5CFB" w:rsidRPr="008723F7" w:rsidRDefault="008E5CFB" w:rsidP="001678B8">
            <w:pPr>
              <w:autoSpaceDE w:val="0"/>
              <w:autoSpaceDN w:val="0"/>
              <w:adjustRightInd w:val="0"/>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Indikátor ABC</w:t>
            </w: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r>
      <w:tr w:rsidR="008E5CFB" w:rsidRPr="008723F7" w:rsidTr="006356EA">
        <w:trPr>
          <w:trHeight w:val="70"/>
        </w:trPr>
        <w:tc>
          <w:tcPr>
            <w:tcW w:w="4530" w:type="dxa"/>
          </w:tcPr>
          <w:p w:rsidR="008E5CFB" w:rsidRPr="008723F7" w:rsidRDefault="008E5CFB" w:rsidP="001678B8">
            <w:pPr>
              <w:autoSpaceDE w:val="0"/>
              <w:autoSpaceDN w:val="0"/>
              <w:adjustRightInd w:val="0"/>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Indikátor KLM</w:t>
            </w: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r>
      <w:tr w:rsidR="008E5CFB" w:rsidRPr="008723F7" w:rsidTr="006356EA">
        <w:trPr>
          <w:trHeight w:val="70"/>
        </w:trPr>
        <w:tc>
          <w:tcPr>
            <w:tcW w:w="4530" w:type="dxa"/>
          </w:tcPr>
          <w:p w:rsidR="008E5CFB" w:rsidRPr="008723F7" w:rsidRDefault="008E5CFB" w:rsidP="001678B8">
            <w:pPr>
              <w:autoSpaceDE w:val="0"/>
              <w:autoSpaceDN w:val="0"/>
              <w:adjustRightInd w:val="0"/>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Indikátor XYZ</w:t>
            </w: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CFB" w:rsidRPr="008723F7" w:rsidRDefault="008E5CFB" w:rsidP="001678B8">
            <w:pPr>
              <w:autoSpaceDE w:val="0"/>
              <w:autoSpaceDN w:val="0"/>
              <w:adjustRightInd w:val="0"/>
              <w:spacing w:after="0" w:line="240" w:lineRule="auto"/>
              <w:jc w:val="right"/>
              <w:rPr>
                <w:rFonts w:ascii="Times New Roman" w:eastAsia="Times New Roman" w:hAnsi="Times New Roman"/>
                <w:color w:val="000000"/>
                <w:lang w:eastAsia="sk-SK"/>
              </w:rPr>
            </w:pPr>
          </w:p>
        </w:tc>
      </w:tr>
    </w:tbl>
    <w:p w:rsidR="008E5CFB" w:rsidRPr="008723F7" w:rsidRDefault="008E5CFB"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ind w:firstLine="709"/>
        <w:rPr>
          <w:rFonts w:ascii="Times New Roman" w:eastAsia="Times New Roman" w:hAnsi="Times New Roman"/>
          <w:lang w:eastAsia="sk-SK"/>
        </w:rPr>
      </w:pPr>
      <w:r w:rsidRPr="008723F7">
        <w:rPr>
          <w:rFonts w:ascii="Times New Roman" w:eastAsia="Times New Roman" w:hAnsi="Times New Roman"/>
          <w:lang w:eastAsia="sk-SK"/>
        </w:rPr>
        <w:t>Predloženým návrhom zmeny zákona nedochádza k zmene vývoja objemu aktivít.</w:t>
      </w:r>
    </w:p>
    <w:p w:rsidR="008E5CFB" w:rsidRPr="008723F7" w:rsidRDefault="008E5CFB"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rPr>
          <w:rFonts w:ascii="Times New Roman" w:eastAsia="Times New Roman" w:hAnsi="Times New Roman"/>
          <w:lang w:eastAsia="sk-SK"/>
        </w:rPr>
      </w:pPr>
    </w:p>
    <w:p w:rsidR="008E5CFB" w:rsidRPr="008723F7" w:rsidRDefault="008E5CFB"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2.2.4. Výpočty vplyvov na verejné financie</w:t>
      </w:r>
    </w:p>
    <w:p w:rsidR="008E5CFB" w:rsidRPr="008723F7" w:rsidRDefault="008E5CFB" w:rsidP="001678B8">
      <w:pPr>
        <w:spacing w:after="0" w:line="240" w:lineRule="auto"/>
        <w:jc w:val="both"/>
        <w:rPr>
          <w:rFonts w:ascii="Times New Roman" w:eastAsia="Times New Roman" w:hAnsi="Times New Roman"/>
          <w:lang w:eastAsia="sk-SK"/>
        </w:rPr>
      </w:pPr>
    </w:p>
    <w:p w:rsidR="008E5CFB" w:rsidRPr="008723F7" w:rsidRDefault="008E5CFB" w:rsidP="001678B8">
      <w:pPr>
        <w:spacing w:after="0" w:line="240" w:lineRule="auto"/>
        <w:ind w:firstLine="708"/>
        <w:jc w:val="both"/>
        <w:rPr>
          <w:rFonts w:ascii="Times New Roman" w:hAnsi="Times New Roman"/>
          <w:bCs/>
        </w:rPr>
      </w:pPr>
      <w:r w:rsidRPr="008723F7">
        <w:rPr>
          <w:rFonts w:ascii="Times New Roman" w:hAnsi="Times New Roman"/>
          <w:bCs/>
        </w:rPr>
        <w:t xml:space="preserve">Zistený dopad  </w:t>
      </w:r>
      <w:r w:rsidR="00A97D9D" w:rsidRPr="008723F7">
        <w:rPr>
          <w:rFonts w:ascii="Times New Roman" w:hAnsi="Times New Roman"/>
          <w:bCs/>
        </w:rPr>
        <w:t xml:space="preserve">odpočítateľnej položky v zdravotnom poistení </w:t>
      </w:r>
      <w:r w:rsidRPr="008723F7">
        <w:rPr>
          <w:rFonts w:ascii="Times New Roman" w:hAnsi="Times New Roman"/>
          <w:bCs/>
        </w:rPr>
        <w:t xml:space="preserve">v eur za predošlé obdobia bol nasledovný </w:t>
      </w:r>
    </w:p>
    <w:tbl>
      <w:tblPr>
        <w:tblW w:w="10207" w:type="dxa"/>
        <w:tblInd w:w="-998" w:type="dxa"/>
        <w:tblCellMar>
          <w:left w:w="70" w:type="dxa"/>
          <w:right w:w="70" w:type="dxa"/>
        </w:tblCellMar>
        <w:tblLook w:val="04A0" w:firstRow="1" w:lastRow="0" w:firstColumn="1" w:lastColumn="0" w:noHBand="0" w:noVBand="1"/>
      </w:tblPr>
      <w:tblGrid>
        <w:gridCol w:w="3403"/>
        <w:gridCol w:w="1559"/>
        <w:gridCol w:w="1560"/>
        <w:gridCol w:w="1134"/>
        <w:gridCol w:w="1417"/>
        <w:gridCol w:w="1134"/>
      </w:tblGrid>
      <w:tr w:rsidR="008E5CFB" w:rsidRPr="008723F7" w:rsidTr="006356EA">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rok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2017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2021</w:t>
            </w:r>
          </w:p>
        </w:tc>
      </w:tr>
      <w:tr w:rsidR="008E5CFB" w:rsidRPr="008723F7" w:rsidTr="006356EA">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preddavky</w:t>
            </w:r>
          </w:p>
        </w:tc>
        <w:tc>
          <w:tcPr>
            <w:tcW w:w="1559"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41 183 155</w:t>
            </w:r>
          </w:p>
        </w:tc>
        <w:tc>
          <w:tcPr>
            <w:tcW w:w="1560"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7 131 652</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4 393 487</w:t>
            </w:r>
          </w:p>
        </w:tc>
        <w:tc>
          <w:tcPr>
            <w:tcW w:w="1417"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2 654 472</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2 188 089</w:t>
            </w:r>
          </w:p>
        </w:tc>
      </w:tr>
      <w:tr w:rsidR="008E5CFB" w:rsidRPr="008723F7" w:rsidTr="006356EA">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RZP za predchádzajúci  rok</w:t>
            </w:r>
          </w:p>
        </w:tc>
        <w:tc>
          <w:tcPr>
            <w:tcW w:w="1559"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137 293 020</w:t>
            </w:r>
          </w:p>
        </w:tc>
        <w:tc>
          <w:tcPr>
            <w:tcW w:w="1560"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104 090 028</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24 485 102</w:t>
            </w:r>
          </w:p>
        </w:tc>
        <w:tc>
          <w:tcPr>
            <w:tcW w:w="1417"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19 539 236</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18 790 150</w:t>
            </w:r>
          </w:p>
        </w:tc>
      </w:tr>
      <w:tr w:rsidR="008E5CFB" w:rsidRPr="008723F7" w:rsidTr="006356EA">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dopad celkom</w:t>
            </w:r>
          </w:p>
        </w:tc>
        <w:tc>
          <w:tcPr>
            <w:tcW w:w="1559"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178 476 175</w:t>
            </w:r>
          </w:p>
        </w:tc>
        <w:tc>
          <w:tcPr>
            <w:tcW w:w="1560"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111 221 679</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28 878 589</w:t>
            </w:r>
          </w:p>
        </w:tc>
        <w:tc>
          <w:tcPr>
            <w:tcW w:w="1417"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22 193 708</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20 978 239</w:t>
            </w:r>
          </w:p>
        </w:tc>
      </w:tr>
      <w:tr w:rsidR="008E5CFB" w:rsidRPr="008723F7" w:rsidTr="006356EA">
        <w:trPr>
          <w:trHeight w:val="300"/>
        </w:trPr>
        <w:tc>
          <w:tcPr>
            <w:tcW w:w="3403"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p>
        </w:tc>
        <w:tc>
          <w:tcPr>
            <w:tcW w:w="1559"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p>
        </w:tc>
        <w:tc>
          <w:tcPr>
            <w:tcW w:w="1560"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lang w:eastAsia="sk-SK"/>
              </w:rPr>
            </w:pPr>
          </w:p>
        </w:tc>
        <w:tc>
          <w:tcPr>
            <w:tcW w:w="1134"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lang w:eastAsia="sk-SK"/>
              </w:rPr>
            </w:pPr>
          </w:p>
        </w:tc>
        <w:tc>
          <w:tcPr>
            <w:tcW w:w="1417"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lang w:eastAsia="sk-SK"/>
              </w:rPr>
            </w:pPr>
          </w:p>
        </w:tc>
        <w:tc>
          <w:tcPr>
            <w:tcW w:w="1134"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lang w:eastAsia="sk-SK"/>
              </w:rPr>
            </w:pPr>
          </w:p>
        </w:tc>
      </w:tr>
    </w:tbl>
    <w:p w:rsidR="008E5CFB" w:rsidRPr="008723F7" w:rsidRDefault="008E5CFB" w:rsidP="001678B8">
      <w:pPr>
        <w:spacing w:after="0" w:line="240" w:lineRule="auto"/>
        <w:ind w:firstLine="851"/>
        <w:jc w:val="both"/>
        <w:rPr>
          <w:rFonts w:ascii="Times New Roman" w:hAnsi="Times New Roman"/>
        </w:rPr>
      </w:pPr>
      <w:r w:rsidRPr="008723F7">
        <w:rPr>
          <w:rFonts w:ascii="Times New Roman" w:hAnsi="Times New Roman"/>
        </w:rPr>
        <w:t>Odhad v eur za nasledujúce obdobia:</w:t>
      </w:r>
    </w:p>
    <w:tbl>
      <w:tblPr>
        <w:tblW w:w="9782" w:type="dxa"/>
        <w:tblInd w:w="-998" w:type="dxa"/>
        <w:tblCellMar>
          <w:left w:w="70" w:type="dxa"/>
          <w:right w:w="70" w:type="dxa"/>
        </w:tblCellMar>
        <w:tblLook w:val="04A0" w:firstRow="1" w:lastRow="0" w:firstColumn="1" w:lastColumn="0" w:noHBand="0" w:noVBand="1"/>
      </w:tblPr>
      <w:tblGrid>
        <w:gridCol w:w="3970"/>
        <w:gridCol w:w="1559"/>
        <w:gridCol w:w="1418"/>
        <w:gridCol w:w="1417"/>
        <w:gridCol w:w="1418"/>
      </w:tblGrid>
      <w:tr w:rsidR="008E5CFB" w:rsidRPr="008723F7" w:rsidTr="006356EA">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rok</w:t>
            </w:r>
          </w:p>
        </w:tc>
        <w:tc>
          <w:tcPr>
            <w:tcW w:w="1559" w:type="dxa"/>
            <w:tcBorders>
              <w:top w:val="single" w:sz="4" w:space="0" w:color="auto"/>
              <w:left w:val="nil"/>
              <w:bottom w:val="single" w:sz="4" w:space="0" w:color="auto"/>
              <w:right w:val="single" w:sz="4" w:space="0" w:color="auto"/>
            </w:tcBorders>
            <w:shd w:val="clear" w:color="auto" w:fill="auto"/>
            <w:vAlign w:val="bottom"/>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r>
      <w:tr w:rsidR="008E5CFB" w:rsidRPr="008723F7" w:rsidTr="006356EA">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preddavky</w:t>
            </w:r>
          </w:p>
        </w:tc>
        <w:tc>
          <w:tcPr>
            <w:tcW w:w="1559" w:type="dxa"/>
            <w:tcBorders>
              <w:top w:val="nil"/>
              <w:left w:val="nil"/>
              <w:bottom w:val="single" w:sz="4" w:space="0" w:color="auto"/>
              <w:right w:val="single" w:sz="4" w:space="0" w:color="auto"/>
            </w:tcBorders>
            <w:shd w:val="clear" w:color="auto" w:fill="auto"/>
            <w:vAlign w:val="bottom"/>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1 400 000</w:t>
            </w:r>
          </w:p>
        </w:tc>
        <w:tc>
          <w:tcPr>
            <w:tcW w:w="1418" w:type="dxa"/>
            <w:tcBorders>
              <w:top w:val="nil"/>
              <w:left w:val="nil"/>
              <w:bottom w:val="single" w:sz="4" w:space="0" w:color="auto"/>
              <w:right w:val="single" w:sz="4" w:space="0" w:color="auto"/>
            </w:tcBorders>
            <w:shd w:val="clear" w:color="000000" w:fill="FFFF00"/>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1 000 000</w:t>
            </w:r>
          </w:p>
        </w:tc>
        <w:tc>
          <w:tcPr>
            <w:tcW w:w="1417" w:type="dxa"/>
            <w:tcBorders>
              <w:top w:val="nil"/>
              <w:left w:val="nil"/>
              <w:bottom w:val="single" w:sz="4" w:space="0" w:color="auto"/>
              <w:right w:val="single" w:sz="4" w:space="0" w:color="auto"/>
            </w:tcBorders>
            <w:shd w:val="clear" w:color="000000" w:fill="FFFF00"/>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500 000</w:t>
            </w:r>
          </w:p>
        </w:tc>
        <w:tc>
          <w:tcPr>
            <w:tcW w:w="1418" w:type="dxa"/>
            <w:tcBorders>
              <w:top w:val="nil"/>
              <w:left w:val="nil"/>
              <w:bottom w:val="single" w:sz="4" w:space="0" w:color="auto"/>
              <w:right w:val="single" w:sz="4" w:space="0" w:color="auto"/>
            </w:tcBorders>
            <w:shd w:val="clear" w:color="000000" w:fill="FFFF00"/>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200 000</w:t>
            </w:r>
          </w:p>
        </w:tc>
      </w:tr>
      <w:tr w:rsidR="008E5CFB" w:rsidRPr="008723F7" w:rsidTr="006356EA">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RZP za predchádzajúci  rok</w:t>
            </w:r>
          </w:p>
        </w:tc>
        <w:tc>
          <w:tcPr>
            <w:tcW w:w="1559" w:type="dxa"/>
            <w:tcBorders>
              <w:top w:val="nil"/>
              <w:left w:val="nil"/>
              <w:bottom w:val="single" w:sz="4" w:space="0" w:color="auto"/>
              <w:right w:val="single" w:sz="4" w:space="0" w:color="auto"/>
            </w:tcBorders>
            <w:shd w:val="clear" w:color="auto" w:fill="auto"/>
            <w:vAlign w:val="bottom"/>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14 000 000</w:t>
            </w:r>
          </w:p>
        </w:tc>
        <w:tc>
          <w:tcPr>
            <w:tcW w:w="1418"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10 000 000</w:t>
            </w:r>
          </w:p>
        </w:tc>
        <w:tc>
          <w:tcPr>
            <w:tcW w:w="1417" w:type="dxa"/>
            <w:tcBorders>
              <w:top w:val="nil"/>
              <w:left w:val="nil"/>
              <w:bottom w:val="single" w:sz="4" w:space="0" w:color="auto"/>
              <w:right w:val="single" w:sz="4" w:space="0" w:color="auto"/>
            </w:tcBorders>
            <w:shd w:val="clear" w:color="000000" w:fill="FFFF00"/>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5 000 000</w:t>
            </w:r>
          </w:p>
        </w:tc>
        <w:tc>
          <w:tcPr>
            <w:tcW w:w="1418" w:type="dxa"/>
            <w:tcBorders>
              <w:top w:val="nil"/>
              <w:left w:val="nil"/>
              <w:bottom w:val="single" w:sz="4" w:space="0" w:color="auto"/>
              <w:right w:val="single" w:sz="4" w:space="0" w:color="auto"/>
            </w:tcBorders>
            <w:shd w:val="clear" w:color="000000" w:fill="FFFF00"/>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1 000 000</w:t>
            </w:r>
          </w:p>
        </w:tc>
      </w:tr>
      <w:tr w:rsidR="008E5CFB" w:rsidRPr="008723F7" w:rsidTr="006356EA">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dopad celkom</w:t>
            </w:r>
          </w:p>
        </w:tc>
        <w:tc>
          <w:tcPr>
            <w:tcW w:w="1559" w:type="dxa"/>
            <w:tcBorders>
              <w:top w:val="nil"/>
              <w:left w:val="nil"/>
              <w:bottom w:val="single" w:sz="4" w:space="0" w:color="auto"/>
              <w:right w:val="single" w:sz="4" w:space="0" w:color="auto"/>
            </w:tcBorders>
            <w:shd w:val="clear" w:color="auto" w:fill="auto"/>
            <w:vAlign w:val="bottom"/>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15 400 000</w:t>
            </w:r>
          </w:p>
        </w:tc>
        <w:tc>
          <w:tcPr>
            <w:tcW w:w="1418"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11 000 000</w:t>
            </w:r>
          </w:p>
        </w:tc>
        <w:tc>
          <w:tcPr>
            <w:tcW w:w="1417"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5 500 000</w:t>
            </w:r>
          </w:p>
        </w:tc>
        <w:tc>
          <w:tcPr>
            <w:tcW w:w="1418"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1 200 000</w:t>
            </w:r>
          </w:p>
        </w:tc>
      </w:tr>
      <w:tr w:rsidR="008E5CFB" w:rsidRPr="008723F7" w:rsidTr="006356EA">
        <w:trPr>
          <w:trHeight w:val="300"/>
        </w:trPr>
        <w:tc>
          <w:tcPr>
            <w:tcW w:w="3970"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*odhad</w:t>
            </w:r>
          </w:p>
        </w:tc>
        <w:tc>
          <w:tcPr>
            <w:tcW w:w="1559" w:type="dxa"/>
            <w:tcBorders>
              <w:top w:val="nil"/>
              <w:left w:val="nil"/>
              <w:bottom w:val="nil"/>
              <w:right w:val="nil"/>
            </w:tcBorders>
          </w:tcPr>
          <w:p w:rsidR="008E5CFB" w:rsidRPr="008723F7" w:rsidRDefault="008E5CFB" w:rsidP="001678B8">
            <w:pPr>
              <w:spacing w:after="0" w:line="240" w:lineRule="auto"/>
              <w:jc w:val="both"/>
              <w:rPr>
                <w:rFonts w:ascii="Times New Roman" w:eastAsia="Times New Roman" w:hAnsi="Times New Roman"/>
                <w:color w:val="000000"/>
                <w:lang w:eastAsia="sk-SK"/>
              </w:rPr>
            </w:pPr>
          </w:p>
        </w:tc>
        <w:tc>
          <w:tcPr>
            <w:tcW w:w="1418"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p>
        </w:tc>
        <w:tc>
          <w:tcPr>
            <w:tcW w:w="1417"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lang w:eastAsia="sk-SK"/>
              </w:rPr>
            </w:pPr>
          </w:p>
        </w:tc>
        <w:tc>
          <w:tcPr>
            <w:tcW w:w="1418" w:type="dxa"/>
            <w:tcBorders>
              <w:top w:val="nil"/>
              <w:left w:val="nil"/>
              <w:bottom w:val="nil"/>
              <w:right w:val="nil"/>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lang w:eastAsia="sk-SK"/>
              </w:rPr>
            </w:pPr>
          </w:p>
        </w:tc>
      </w:tr>
    </w:tbl>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pStyle w:val="Odsekzoznamu"/>
        <w:numPr>
          <w:ilvl w:val="0"/>
          <w:numId w:val="14"/>
        </w:numPr>
        <w:contextualSpacing/>
        <w:jc w:val="both"/>
        <w:rPr>
          <w:b/>
          <w:bCs/>
          <w:sz w:val="22"/>
          <w:szCs w:val="22"/>
        </w:rPr>
      </w:pPr>
      <w:r w:rsidRPr="008723F7">
        <w:rPr>
          <w:b/>
          <w:bCs/>
          <w:sz w:val="22"/>
          <w:szCs w:val="22"/>
        </w:rPr>
        <w:t>Zavedenie mesačného minimálneho základu zamestnanca</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Je reálny predpoklad, že časť poistencov, ktorí v súčasnosti využívajú prácu na skrátené úväzky prehodnotí svoj status (jednak osoby, ktorým by sa nová zmena finančne neoplatila kvôli navýšeniu odvodu na úroveň ich príjmu, jednak osoby, ktoré tento inštitút využívali zo špekulatívnych dôvodov s cieľom vyhnúť sa povinnosti platiť odvody v plnej výške) a teda pri odhade pozitívneho dopadu na príjem zdravotných poisťovní je treba zohľadniť aj túto skutočnosť. Je teda potrebné odhad pozitívneho dopadu znížiť o tieto osoby – odhad, je, že by sa táto zmena statusu mohla týkať 40% osôb.</w:t>
      </w: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Nasledujúca analýza vychádza z údajov, ktoré poskytli zdravotné poisťovne.</w:t>
      </w:r>
    </w:p>
    <w:p w:rsidR="008E5CFB" w:rsidRPr="008723F7" w:rsidRDefault="008E5CFB" w:rsidP="001678B8">
      <w:pPr>
        <w:spacing w:after="0" w:line="240" w:lineRule="auto"/>
        <w:jc w:val="both"/>
        <w:rPr>
          <w:rFonts w:ascii="Times New Roman" w:hAnsi="Times New Roman"/>
        </w:rPr>
      </w:pPr>
    </w:p>
    <w:p w:rsidR="00A97D9D" w:rsidRPr="008723F7" w:rsidRDefault="00A97D9D" w:rsidP="001678B8">
      <w:pPr>
        <w:spacing w:after="0" w:line="240" w:lineRule="auto"/>
        <w:jc w:val="both"/>
        <w:rPr>
          <w:rFonts w:ascii="Times New Roman" w:hAnsi="Times New Roman"/>
        </w:rPr>
      </w:pPr>
      <w:r w:rsidRPr="008723F7">
        <w:rPr>
          <w:rFonts w:ascii="Times New Roman" w:hAnsi="Times New Roman"/>
        </w:rPr>
        <w:t>Negatívny dopad môže vzniknúť pri osobách s príjmom vyšším ako životné minimum (234,42 eur) a zároveň nižším ako 329 eur, kde negatívny dopad na príjem zamestnanca predstavuje sumu od 0,02 eur mesačne (osoby s príjmom 328 eur) do 9,32 eur mesačne (osoba s príjmom 235 eur); negatívny vplyv zaniká pre nízkopríjmové skupiny s príjmom od 329 eur mesačne (odvod zamestnávateľa už pokrýva celú sumu minimálneho odvodu).</w:t>
      </w:r>
    </w:p>
    <w:p w:rsidR="00A97D9D" w:rsidRPr="008723F7" w:rsidRDefault="00A97D9D" w:rsidP="001678B8">
      <w:pPr>
        <w:spacing w:after="0" w:line="240" w:lineRule="auto"/>
        <w:jc w:val="both"/>
        <w:rPr>
          <w:rFonts w:ascii="Times New Roman" w:hAnsi="Times New Roman"/>
        </w:rPr>
      </w:pPr>
      <w:r w:rsidRPr="008723F7">
        <w:rPr>
          <w:rFonts w:ascii="Times New Roman" w:hAnsi="Times New Roman"/>
        </w:rPr>
        <w:t>Podľa údajov od zdravotných poisťovní za 1. štvrťrok roku 2022 bol počet zamestnancov s príjmom do výšky životného minima 85 - 95 tis. osôb. Za predpokladu, že osoby s reálne nízkym príjmom z tejto skupiny budú zároveň poistencami štátu, by v tejto skupine osôb nemali byť zaznamenané negatívne vplyvy na sociálne ohrozené skupiny.</w:t>
      </w:r>
    </w:p>
    <w:p w:rsidR="00A97D9D" w:rsidRPr="008723F7" w:rsidRDefault="00A97D9D" w:rsidP="001678B8">
      <w:pPr>
        <w:spacing w:after="0" w:line="240" w:lineRule="auto"/>
        <w:jc w:val="both"/>
        <w:rPr>
          <w:rFonts w:ascii="Times New Roman" w:hAnsi="Times New Roman"/>
        </w:rPr>
      </w:pPr>
      <w:r w:rsidRPr="008723F7">
        <w:rPr>
          <w:rFonts w:ascii="Times New Roman" w:hAnsi="Times New Roman"/>
        </w:rPr>
        <w:t>Podľa údajov od zdravotných poisťovní  by mala skupina osôb s príjmami v intervale od 234 eur do 329 eur predstavovať cca 35 tis. osôb. Osoby z tejto skupiny by zaznamenali negatívny dopade na ich príjmy vo výške 4,66 eur / mesačne (priemerný dopad z tabuľky nižšie).</w:t>
      </w:r>
    </w:p>
    <w:p w:rsidR="00A97D9D" w:rsidRPr="008723F7" w:rsidRDefault="00A97D9D"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Počet zamestnancov s vymeriavacím základom nižším ako </w:t>
      </w:r>
      <w:r w:rsidR="00A97D9D" w:rsidRPr="008723F7">
        <w:rPr>
          <w:rFonts w:ascii="Times New Roman" w:hAnsi="Times New Roman"/>
        </w:rPr>
        <w:t>životné minimum</w:t>
      </w:r>
      <w:r w:rsidRPr="008723F7">
        <w:rPr>
          <w:rFonts w:ascii="Times New Roman" w:hAnsi="Times New Roman"/>
        </w:rPr>
        <w:t xml:space="preserve"> (bez poistencov štátu): </w:t>
      </w:r>
      <w:r w:rsidR="00A97D9D" w:rsidRPr="008723F7">
        <w:rPr>
          <w:rFonts w:ascii="Times New Roman" w:hAnsi="Times New Roman"/>
        </w:rPr>
        <w:t>95 000</w:t>
      </w:r>
      <w:r w:rsidRPr="008723F7">
        <w:rPr>
          <w:rFonts w:ascii="Times New Roman" w:hAnsi="Times New Roman"/>
        </w:rPr>
        <w:t xml:space="preserve"> osôb</w:t>
      </w: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Úhrn skutočných vymeriavacích základov týchto osôb za 1 mesiac: </w:t>
      </w:r>
      <w:r w:rsidR="00C112E5" w:rsidRPr="008723F7">
        <w:rPr>
          <w:rFonts w:ascii="Times New Roman" w:hAnsi="Times New Roman"/>
        </w:rPr>
        <w:t>1 200 000</w:t>
      </w:r>
      <w:r w:rsidR="00A97D9D" w:rsidRPr="008723F7">
        <w:rPr>
          <w:rFonts w:ascii="Times New Roman" w:hAnsi="Times New Roman"/>
        </w:rPr>
        <w:t>‬</w:t>
      </w:r>
      <w:r w:rsidRPr="008723F7">
        <w:rPr>
          <w:rFonts w:ascii="Times New Roman" w:hAnsi="Times New Roman"/>
        </w:rPr>
        <w:t>eur.</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Úhrn vymeriavacích základov týchto osôb, ak je vymeriavací základ minimálna mzda: </w:t>
      </w:r>
      <w:r w:rsidR="00A97D9D" w:rsidRPr="008723F7">
        <w:rPr>
          <w:rFonts w:ascii="Times New Roman" w:hAnsi="Times New Roman"/>
        </w:rPr>
        <w:t xml:space="preserve"> 234,42 </w:t>
      </w:r>
      <w:r w:rsidRPr="008723F7">
        <w:rPr>
          <w:rFonts w:ascii="Times New Roman" w:hAnsi="Times New Roman"/>
        </w:rPr>
        <w:t xml:space="preserve">eur x </w:t>
      </w:r>
      <w:r w:rsidR="00A97D9D" w:rsidRPr="008723F7">
        <w:rPr>
          <w:rFonts w:ascii="Times New Roman" w:hAnsi="Times New Roman"/>
        </w:rPr>
        <w:t>95 000</w:t>
      </w:r>
      <w:r w:rsidRPr="008723F7">
        <w:rPr>
          <w:rFonts w:ascii="Times New Roman" w:hAnsi="Times New Roman"/>
        </w:rPr>
        <w:t xml:space="preserve"> = </w:t>
      </w:r>
      <w:r w:rsidR="00A97D9D" w:rsidRPr="008723F7">
        <w:rPr>
          <w:rFonts w:ascii="Times New Roman" w:hAnsi="Times New Roman"/>
        </w:rPr>
        <w:t>22 269 900</w:t>
      </w:r>
      <w:r w:rsidRPr="008723F7">
        <w:rPr>
          <w:rFonts w:ascii="Times New Roman" w:hAnsi="Times New Roman"/>
        </w:rPr>
        <w:t>eur</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Zníženie o 40%: </w:t>
      </w:r>
      <w:r w:rsidR="00C112E5" w:rsidRPr="008723F7">
        <w:rPr>
          <w:rFonts w:ascii="Times New Roman" w:hAnsi="Times New Roman"/>
        </w:rPr>
        <w:t xml:space="preserve"> 234,42 </w:t>
      </w:r>
      <w:r w:rsidRPr="008723F7">
        <w:rPr>
          <w:rFonts w:ascii="Times New Roman" w:hAnsi="Times New Roman"/>
        </w:rPr>
        <w:t>eur x (</w:t>
      </w:r>
      <w:r w:rsidR="00C112E5" w:rsidRPr="008723F7">
        <w:rPr>
          <w:rFonts w:ascii="Times New Roman" w:hAnsi="Times New Roman"/>
        </w:rPr>
        <w:t>95 000</w:t>
      </w:r>
      <w:r w:rsidRPr="008723F7">
        <w:rPr>
          <w:rFonts w:ascii="Times New Roman" w:hAnsi="Times New Roman"/>
        </w:rPr>
        <w:t xml:space="preserve"> – (40% z </w:t>
      </w:r>
      <w:r w:rsidR="00C112E5" w:rsidRPr="008723F7">
        <w:rPr>
          <w:rFonts w:ascii="Times New Roman" w:hAnsi="Times New Roman"/>
        </w:rPr>
        <w:t>95 000</w:t>
      </w:r>
      <w:r w:rsidRPr="008723F7">
        <w:rPr>
          <w:rFonts w:ascii="Times New Roman" w:hAnsi="Times New Roman"/>
        </w:rPr>
        <w:t xml:space="preserve">)) = </w:t>
      </w:r>
      <w:r w:rsidR="00C112E5" w:rsidRPr="008723F7">
        <w:rPr>
          <w:rFonts w:ascii="Times New Roman" w:hAnsi="Times New Roman"/>
        </w:rPr>
        <w:t>13 361 940</w:t>
      </w:r>
      <w:r w:rsidRPr="008723F7">
        <w:rPr>
          <w:rFonts w:ascii="Times New Roman" w:hAnsi="Times New Roman"/>
        </w:rPr>
        <w:t>eur</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Navýšenie vymeriavacích základov za 1 mesiac: </w:t>
      </w:r>
      <w:r w:rsidR="00C112E5" w:rsidRPr="008723F7">
        <w:rPr>
          <w:rFonts w:ascii="Times New Roman" w:hAnsi="Times New Roman"/>
        </w:rPr>
        <w:t>13 361 940</w:t>
      </w:r>
      <w:r w:rsidRPr="008723F7">
        <w:rPr>
          <w:rFonts w:ascii="Times New Roman" w:hAnsi="Times New Roman"/>
        </w:rPr>
        <w:t xml:space="preserve">eur – </w:t>
      </w:r>
      <w:r w:rsidR="00C112E5" w:rsidRPr="008723F7">
        <w:rPr>
          <w:rFonts w:ascii="Times New Roman" w:hAnsi="Times New Roman"/>
        </w:rPr>
        <w:t>1 200 000</w:t>
      </w:r>
      <w:r w:rsidRPr="008723F7">
        <w:rPr>
          <w:rFonts w:ascii="Times New Roman" w:hAnsi="Times New Roman"/>
        </w:rPr>
        <w:t xml:space="preserve">eur = </w:t>
      </w:r>
      <w:r w:rsidR="00C112E5" w:rsidRPr="008723F7">
        <w:rPr>
          <w:rFonts w:ascii="Times New Roman" w:hAnsi="Times New Roman"/>
        </w:rPr>
        <w:t>12 161 940</w:t>
      </w:r>
      <w:r w:rsidRPr="008723F7">
        <w:rPr>
          <w:rFonts w:ascii="Times New Roman" w:hAnsi="Times New Roman"/>
        </w:rPr>
        <w:t>eur</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Navýšenie príjmov verejného zdravotného poistenia za 1 mesiac: 14% z </w:t>
      </w:r>
      <w:r w:rsidR="00C112E5" w:rsidRPr="008723F7">
        <w:rPr>
          <w:rFonts w:ascii="Times New Roman" w:hAnsi="Times New Roman"/>
        </w:rPr>
        <w:t>12 161 940</w:t>
      </w:r>
      <w:r w:rsidRPr="008723F7">
        <w:rPr>
          <w:rFonts w:ascii="Times New Roman" w:hAnsi="Times New Roman"/>
        </w:rPr>
        <w:t xml:space="preserve">eur = </w:t>
      </w:r>
      <w:r w:rsidR="00C112E5" w:rsidRPr="008723F7">
        <w:rPr>
          <w:rFonts w:ascii="Times New Roman" w:hAnsi="Times New Roman"/>
        </w:rPr>
        <w:t>1 702 671,6</w:t>
      </w:r>
      <w:r w:rsidRPr="008723F7">
        <w:rPr>
          <w:rFonts w:ascii="Times New Roman" w:hAnsi="Times New Roman"/>
        </w:rPr>
        <w:t>eur</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Navýšenie príjmov verejného zdravotného poistenia za 1 rok: </w:t>
      </w:r>
      <w:r w:rsidR="00C112E5" w:rsidRPr="008723F7">
        <w:rPr>
          <w:rFonts w:ascii="Times New Roman" w:hAnsi="Times New Roman"/>
        </w:rPr>
        <w:t>1 702 671,6</w:t>
      </w:r>
      <w:r w:rsidRPr="008723F7">
        <w:rPr>
          <w:rFonts w:ascii="Times New Roman" w:hAnsi="Times New Roman"/>
        </w:rPr>
        <w:t xml:space="preserve">eur x 12 = </w:t>
      </w:r>
      <w:r w:rsidR="00C112E5" w:rsidRPr="008723F7">
        <w:rPr>
          <w:rFonts w:ascii="Times New Roman" w:hAnsi="Times New Roman"/>
        </w:rPr>
        <w:t>20 432 059,2</w:t>
      </w:r>
      <w:r w:rsidRPr="008723F7">
        <w:rPr>
          <w:rFonts w:ascii="Times New Roman" w:hAnsi="Times New Roman"/>
        </w:rPr>
        <w:t>eur.</w:t>
      </w:r>
    </w:p>
    <w:p w:rsidR="008E5CFB" w:rsidRPr="008723F7" w:rsidRDefault="008E5CFB" w:rsidP="001678B8">
      <w:pPr>
        <w:spacing w:after="0" w:line="240" w:lineRule="auto"/>
        <w:jc w:val="both"/>
        <w:rPr>
          <w:rFonts w:ascii="Times New Roman" w:hAnsi="Times New Roman"/>
        </w:rPr>
      </w:pPr>
    </w:p>
    <w:p w:rsidR="00C112E5" w:rsidRPr="008723F7" w:rsidDel="00C112E5" w:rsidRDefault="008E5CFB" w:rsidP="001678B8">
      <w:pPr>
        <w:spacing w:after="0" w:line="240" w:lineRule="auto"/>
        <w:jc w:val="both"/>
        <w:rPr>
          <w:rFonts w:ascii="Times New Roman" w:hAnsi="Times New Roman"/>
        </w:rPr>
      </w:pPr>
      <w:r w:rsidRPr="008723F7">
        <w:rPr>
          <w:rFonts w:ascii="Times New Roman" w:hAnsi="Times New Roman"/>
        </w:rPr>
        <w:t>Tento dopad odhadujeme aj na ďalšie roky, navýšený o odhadovanú infláciu podľa poslednej makroekonomickej prognózy MF SR</w:t>
      </w:r>
      <w:r w:rsidR="00C112E5" w:rsidRPr="008723F7">
        <w:rPr>
          <w:rFonts w:ascii="Times New Roman" w:hAnsi="Times New Roman"/>
        </w:rPr>
        <w:t xml:space="preserve"> - </w:t>
      </w:r>
    </w:p>
    <w:tbl>
      <w:tblPr>
        <w:tblW w:w="3540" w:type="dxa"/>
        <w:tblCellMar>
          <w:left w:w="70" w:type="dxa"/>
          <w:right w:w="70" w:type="dxa"/>
        </w:tblCellMar>
        <w:tblLook w:val="04A0" w:firstRow="1" w:lastRow="0" w:firstColumn="1" w:lastColumn="0" w:noHBand="0" w:noVBand="1"/>
      </w:tblPr>
      <w:tblGrid>
        <w:gridCol w:w="1180"/>
        <w:gridCol w:w="1180"/>
        <w:gridCol w:w="1180"/>
      </w:tblGrid>
      <w:tr w:rsidR="00C112E5" w:rsidRPr="008723F7" w:rsidTr="00C112E5">
        <w:trPr>
          <w:trHeight w:val="315"/>
        </w:trPr>
        <w:tc>
          <w:tcPr>
            <w:tcW w:w="1180" w:type="dxa"/>
            <w:tcBorders>
              <w:top w:val="nil"/>
              <w:left w:val="nil"/>
              <w:bottom w:val="nil"/>
              <w:right w:val="nil"/>
            </w:tcBorders>
            <w:shd w:val="clear" w:color="auto" w:fill="auto"/>
            <w:noWrap/>
            <w:vAlign w:val="bottom"/>
            <w:hideMark/>
          </w:tcPr>
          <w:p w:rsidR="00C112E5" w:rsidRPr="008723F7" w:rsidRDefault="00C112E5"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4,2</w:t>
            </w:r>
          </w:p>
        </w:tc>
        <w:tc>
          <w:tcPr>
            <w:tcW w:w="1180" w:type="dxa"/>
            <w:tcBorders>
              <w:top w:val="nil"/>
              <w:left w:val="nil"/>
              <w:bottom w:val="nil"/>
              <w:right w:val="nil"/>
            </w:tcBorders>
            <w:shd w:val="clear" w:color="auto" w:fill="auto"/>
            <w:noWrap/>
            <w:vAlign w:val="bottom"/>
            <w:hideMark/>
          </w:tcPr>
          <w:p w:rsidR="00C112E5" w:rsidRPr="008723F7" w:rsidRDefault="00C112E5"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2,2</w:t>
            </w:r>
          </w:p>
        </w:tc>
        <w:tc>
          <w:tcPr>
            <w:tcW w:w="1180" w:type="dxa"/>
            <w:tcBorders>
              <w:top w:val="nil"/>
              <w:left w:val="nil"/>
              <w:bottom w:val="nil"/>
              <w:right w:val="single" w:sz="4" w:space="0" w:color="auto"/>
            </w:tcBorders>
            <w:shd w:val="clear" w:color="auto" w:fill="auto"/>
            <w:noWrap/>
            <w:vAlign w:val="bottom"/>
            <w:hideMark/>
          </w:tcPr>
          <w:p w:rsidR="00C112E5" w:rsidRPr="008723F7" w:rsidRDefault="00C112E5"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1,5</w:t>
            </w:r>
          </w:p>
        </w:tc>
      </w:tr>
      <w:tr w:rsidR="00C112E5" w:rsidRPr="008723F7" w:rsidTr="00C112E5">
        <w:trPr>
          <w:trHeight w:val="315"/>
        </w:trPr>
        <w:tc>
          <w:tcPr>
            <w:tcW w:w="1180" w:type="dxa"/>
            <w:tcBorders>
              <w:top w:val="nil"/>
              <w:left w:val="nil"/>
              <w:bottom w:val="nil"/>
              <w:right w:val="nil"/>
            </w:tcBorders>
            <w:shd w:val="clear" w:color="auto" w:fill="auto"/>
            <w:noWrap/>
            <w:vAlign w:val="bottom"/>
          </w:tcPr>
          <w:p w:rsidR="00C112E5" w:rsidRPr="008723F7" w:rsidRDefault="00C112E5"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2022</w:t>
            </w:r>
          </w:p>
        </w:tc>
        <w:tc>
          <w:tcPr>
            <w:tcW w:w="1180" w:type="dxa"/>
            <w:tcBorders>
              <w:top w:val="nil"/>
              <w:left w:val="nil"/>
              <w:bottom w:val="nil"/>
              <w:right w:val="nil"/>
            </w:tcBorders>
            <w:shd w:val="clear" w:color="auto" w:fill="auto"/>
            <w:noWrap/>
            <w:vAlign w:val="bottom"/>
          </w:tcPr>
          <w:p w:rsidR="00C112E5" w:rsidRPr="008723F7" w:rsidRDefault="00C112E5"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2023</w:t>
            </w:r>
          </w:p>
        </w:tc>
        <w:tc>
          <w:tcPr>
            <w:tcW w:w="1180" w:type="dxa"/>
            <w:tcBorders>
              <w:top w:val="nil"/>
              <w:left w:val="nil"/>
              <w:bottom w:val="nil"/>
              <w:right w:val="single" w:sz="4" w:space="0" w:color="auto"/>
            </w:tcBorders>
            <w:shd w:val="clear" w:color="auto" w:fill="auto"/>
            <w:noWrap/>
            <w:vAlign w:val="bottom"/>
          </w:tcPr>
          <w:p w:rsidR="00C112E5" w:rsidRPr="008723F7" w:rsidRDefault="00C112E5"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2024</w:t>
            </w:r>
          </w:p>
        </w:tc>
      </w:tr>
    </w:tbl>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 xml:space="preserve"> </w:t>
      </w:r>
    </w:p>
    <w:tbl>
      <w:tblPr>
        <w:tblW w:w="5949" w:type="dxa"/>
        <w:tblCellMar>
          <w:left w:w="70" w:type="dxa"/>
          <w:right w:w="70" w:type="dxa"/>
        </w:tblCellMar>
        <w:tblLook w:val="04A0" w:firstRow="1" w:lastRow="0" w:firstColumn="1" w:lastColumn="0" w:noHBand="0" w:noVBand="1"/>
      </w:tblPr>
      <w:tblGrid>
        <w:gridCol w:w="846"/>
        <w:gridCol w:w="1701"/>
        <w:gridCol w:w="1460"/>
        <w:gridCol w:w="1460"/>
        <w:gridCol w:w="1460"/>
      </w:tblGrid>
      <w:tr w:rsidR="008E5CFB" w:rsidRPr="008723F7" w:rsidTr="006356E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8E5CFB" w:rsidRPr="008723F7" w:rsidTr="006356EA">
        <w:trPr>
          <w:trHeight w:val="33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suma</w:t>
            </w:r>
          </w:p>
        </w:tc>
        <w:tc>
          <w:tcPr>
            <w:tcW w:w="1701"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w:t>
            </w:r>
            <w:r w:rsidR="00C112E5" w:rsidRPr="008723F7">
              <w:rPr>
                <w:rFonts w:ascii="Times New Roman" w:eastAsia="Times New Roman" w:hAnsi="Times New Roman"/>
                <w:color w:val="000000"/>
                <w:lang w:eastAsia="sk-SK"/>
              </w:rPr>
              <w:t>21 290 205,47 </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w:t>
            </w:r>
            <w:r w:rsidR="00C112E5" w:rsidRPr="008723F7">
              <w:rPr>
                <w:rFonts w:ascii="Times New Roman" w:eastAsia="Times New Roman" w:hAnsi="Times New Roman"/>
                <w:color w:val="000000"/>
                <w:lang w:eastAsia="sk-SK"/>
              </w:rPr>
              <w:t>21 758 589,99 </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w:t>
            </w:r>
            <w:r w:rsidR="00C112E5" w:rsidRPr="008723F7">
              <w:rPr>
                <w:rFonts w:ascii="Times New Roman" w:eastAsia="Times New Roman" w:hAnsi="Times New Roman"/>
                <w:color w:val="000000"/>
                <w:lang w:eastAsia="sk-SK"/>
              </w:rPr>
              <w:t>22 084 968,84 </w:t>
            </w:r>
          </w:p>
        </w:tc>
        <w:tc>
          <w:tcPr>
            <w:tcW w:w="1134" w:type="dxa"/>
            <w:tcBorders>
              <w:top w:val="nil"/>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w:t>
            </w:r>
            <w:r w:rsidR="00C112E5" w:rsidRPr="008723F7">
              <w:rPr>
                <w:rFonts w:ascii="Times New Roman" w:eastAsia="Times New Roman" w:hAnsi="Times New Roman"/>
                <w:color w:val="000000"/>
                <w:lang w:eastAsia="sk-SK"/>
              </w:rPr>
              <w:t>22 482 498,28 </w:t>
            </w:r>
          </w:p>
        </w:tc>
      </w:tr>
    </w:tbl>
    <w:p w:rsidR="008E5CFB" w:rsidRPr="008723F7" w:rsidRDefault="008E5CFB" w:rsidP="001678B8">
      <w:pPr>
        <w:spacing w:after="0" w:line="240" w:lineRule="auto"/>
        <w:jc w:val="both"/>
        <w:rPr>
          <w:rFonts w:ascii="Times New Roman" w:hAnsi="Times New Roman"/>
        </w:rPr>
      </w:pPr>
    </w:p>
    <w:p w:rsidR="00D47350" w:rsidRPr="008723F7" w:rsidRDefault="00D47350" w:rsidP="001678B8">
      <w:pPr>
        <w:spacing w:after="0" w:line="240" w:lineRule="auto"/>
        <w:jc w:val="both"/>
        <w:rPr>
          <w:rFonts w:ascii="Times New Roman" w:hAnsi="Times New Roman"/>
        </w:rPr>
      </w:pPr>
      <w:r w:rsidRPr="008723F7">
        <w:rPr>
          <w:rFonts w:ascii="Times New Roman" w:hAnsi="Times New Roman"/>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D47350" w:rsidRPr="008723F7" w:rsidRDefault="00D47350" w:rsidP="001678B8">
      <w:pPr>
        <w:spacing w:after="0" w:line="240" w:lineRule="auto"/>
        <w:jc w:val="both"/>
        <w:rPr>
          <w:rFonts w:ascii="Times New Roman" w:hAnsi="Times New Roman"/>
        </w:rPr>
      </w:pPr>
    </w:p>
    <w:p w:rsidR="00D47350" w:rsidRPr="008723F7" w:rsidRDefault="00D47350" w:rsidP="001678B8">
      <w:pPr>
        <w:spacing w:after="0" w:line="240" w:lineRule="auto"/>
        <w:jc w:val="both"/>
        <w:rPr>
          <w:rFonts w:ascii="Times New Roman" w:hAnsi="Times New Roman"/>
        </w:rPr>
      </w:pPr>
      <w:r w:rsidRPr="008723F7">
        <w:rPr>
          <w:rFonts w:ascii="Times New Roman" w:hAnsi="Times New Roman"/>
        </w:rPr>
        <w:t xml:space="preserve">Príklad dopadu </w:t>
      </w:r>
    </w:p>
    <w:tbl>
      <w:tblPr>
        <w:tblW w:w="4720" w:type="dxa"/>
        <w:tblCellMar>
          <w:left w:w="70" w:type="dxa"/>
          <w:right w:w="70" w:type="dxa"/>
        </w:tblCellMar>
        <w:tblLook w:val="04A0" w:firstRow="1" w:lastRow="0" w:firstColumn="1" w:lastColumn="0" w:noHBand="0" w:noVBand="1"/>
      </w:tblPr>
      <w:tblGrid>
        <w:gridCol w:w="1920"/>
        <w:gridCol w:w="1320"/>
        <w:gridCol w:w="1480"/>
      </w:tblGrid>
      <w:tr w:rsidR="00D47350" w:rsidRPr="008723F7" w:rsidTr="00C112E5">
        <w:trPr>
          <w:trHeight w:val="300"/>
        </w:trPr>
        <w:tc>
          <w:tcPr>
            <w:tcW w:w="1920" w:type="dxa"/>
            <w:tcBorders>
              <w:top w:val="nil"/>
              <w:left w:val="nil"/>
              <w:bottom w:val="nil"/>
              <w:right w:val="nil"/>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životné minimum</w:t>
            </w:r>
          </w:p>
        </w:tc>
        <w:tc>
          <w:tcPr>
            <w:tcW w:w="1320" w:type="dxa"/>
            <w:tcBorders>
              <w:top w:val="nil"/>
              <w:left w:val="nil"/>
              <w:bottom w:val="nil"/>
              <w:right w:val="nil"/>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234,42</w:t>
            </w:r>
          </w:p>
        </w:tc>
        <w:tc>
          <w:tcPr>
            <w:tcW w:w="1480" w:type="dxa"/>
            <w:tcBorders>
              <w:top w:val="nil"/>
              <w:left w:val="nil"/>
              <w:bottom w:val="nil"/>
              <w:right w:val="nil"/>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k 1. 1. 2023</w:t>
            </w:r>
          </w:p>
        </w:tc>
      </w:tr>
      <w:tr w:rsidR="00D47350" w:rsidRPr="008723F7" w:rsidTr="00C112E5">
        <w:trPr>
          <w:trHeight w:val="300"/>
        </w:trPr>
        <w:tc>
          <w:tcPr>
            <w:tcW w:w="1920" w:type="dxa"/>
            <w:tcBorders>
              <w:top w:val="nil"/>
              <w:left w:val="nil"/>
              <w:bottom w:val="nil"/>
              <w:right w:val="nil"/>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b/>
                <w:bCs/>
                <w:color w:val="000000"/>
                <w:lang w:eastAsia="sk-SK"/>
              </w:rPr>
            </w:pPr>
            <w:proofErr w:type="spellStart"/>
            <w:r w:rsidRPr="008723F7">
              <w:rPr>
                <w:rFonts w:ascii="Times New Roman" w:eastAsia="Times New Roman" w:hAnsi="Times New Roman"/>
                <w:b/>
                <w:bCs/>
                <w:color w:val="000000"/>
                <w:lang w:eastAsia="sk-SK"/>
              </w:rPr>
              <w:t>odp</w:t>
            </w:r>
            <w:proofErr w:type="spellEnd"/>
            <w:r w:rsidRPr="008723F7">
              <w:rPr>
                <w:rFonts w:ascii="Times New Roman" w:eastAsia="Times New Roman" w:hAnsi="Times New Roman"/>
                <w:b/>
                <w:bCs/>
                <w:color w:val="000000"/>
                <w:lang w:eastAsia="sk-SK"/>
              </w:rPr>
              <w:t>. položka</w:t>
            </w:r>
          </w:p>
        </w:tc>
        <w:tc>
          <w:tcPr>
            <w:tcW w:w="1320" w:type="dxa"/>
            <w:tcBorders>
              <w:top w:val="nil"/>
              <w:left w:val="nil"/>
              <w:bottom w:val="nil"/>
              <w:right w:val="nil"/>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380,00</w:t>
            </w:r>
          </w:p>
        </w:tc>
        <w:tc>
          <w:tcPr>
            <w:tcW w:w="1480" w:type="dxa"/>
            <w:tcBorders>
              <w:top w:val="nil"/>
              <w:left w:val="nil"/>
              <w:bottom w:val="nil"/>
              <w:right w:val="nil"/>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p>
        </w:tc>
      </w:tr>
    </w:tbl>
    <w:p w:rsidR="00D47350" w:rsidRPr="008723F7" w:rsidRDefault="00D47350" w:rsidP="001678B8">
      <w:pPr>
        <w:spacing w:after="0" w:line="240" w:lineRule="auto"/>
        <w:jc w:val="both"/>
        <w:rPr>
          <w:rFonts w:ascii="Times New Roman" w:hAnsi="Times New Roman"/>
        </w:rPr>
      </w:pPr>
    </w:p>
    <w:p w:rsidR="00D47350" w:rsidRPr="008723F7" w:rsidRDefault="00D47350" w:rsidP="001678B8">
      <w:pPr>
        <w:spacing w:after="0" w:line="240" w:lineRule="auto"/>
        <w:rPr>
          <w:rFonts w:ascii="Times New Roman" w:hAnsi="Times New Roman"/>
        </w:rPr>
      </w:pPr>
      <w:r w:rsidRPr="008723F7">
        <w:rPr>
          <w:rFonts w:ascii="Times New Roman" w:hAnsi="Times New Roman"/>
        </w:rPr>
        <w:t xml:space="preserve"> </w:t>
      </w:r>
    </w:p>
    <w:tbl>
      <w:tblPr>
        <w:tblW w:w="9552" w:type="dxa"/>
        <w:tblInd w:w="-5" w:type="dxa"/>
        <w:tblCellMar>
          <w:left w:w="70" w:type="dxa"/>
          <w:right w:w="70" w:type="dxa"/>
        </w:tblCellMar>
        <w:tblLook w:val="04A0" w:firstRow="1" w:lastRow="0" w:firstColumn="1" w:lastColumn="0" w:noHBand="0" w:noVBand="1"/>
      </w:tblPr>
      <w:tblGrid>
        <w:gridCol w:w="983"/>
        <w:gridCol w:w="1317"/>
        <w:gridCol w:w="1445"/>
        <w:gridCol w:w="1381"/>
        <w:gridCol w:w="1449"/>
        <w:gridCol w:w="1417"/>
        <w:gridCol w:w="1560"/>
      </w:tblGrid>
      <w:tr w:rsidR="00D47350" w:rsidRPr="008723F7" w:rsidTr="00C112E5">
        <w:trPr>
          <w:trHeight w:val="300"/>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mzda </w:t>
            </w:r>
            <w:r w:rsidRPr="008723F7">
              <w:rPr>
                <w:rFonts w:ascii="Times New Roman" w:eastAsia="Times New Roman" w:hAnsi="Times New Roman"/>
                <w:b/>
                <w:bCs/>
                <w:color w:val="000000"/>
                <w:lang w:eastAsia="sk-SK"/>
              </w:rPr>
              <w:br/>
              <w:t>(eur)</w:t>
            </w:r>
          </w:p>
        </w:tc>
        <w:tc>
          <w:tcPr>
            <w:tcW w:w="276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súčasnosť</w:t>
            </w:r>
          </w:p>
        </w:tc>
        <w:tc>
          <w:tcPr>
            <w:tcW w:w="2830" w:type="dxa"/>
            <w:gridSpan w:val="2"/>
            <w:tcBorders>
              <w:top w:val="single" w:sz="8" w:space="0" w:color="auto"/>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nový návrh</w:t>
            </w:r>
          </w:p>
        </w:tc>
        <w:tc>
          <w:tcPr>
            <w:tcW w:w="297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nový dopad</w:t>
            </w:r>
          </w:p>
        </w:tc>
      </w:tr>
      <w:tr w:rsidR="00D47350" w:rsidRPr="008723F7" w:rsidTr="00C112E5">
        <w:trPr>
          <w:trHeight w:val="315"/>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D47350" w:rsidRPr="008723F7" w:rsidRDefault="00D47350" w:rsidP="001678B8">
            <w:pPr>
              <w:spacing w:after="0" w:line="240" w:lineRule="auto"/>
              <w:rPr>
                <w:rFonts w:ascii="Times New Roman" w:eastAsia="Times New Roman" w:hAnsi="Times New Roman"/>
                <w:b/>
                <w:bCs/>
                <w:color w:val="000000"/>
                <w:lang w:eastAsia="sk-SK"/>
              </w:rPr>
            </w:pPr>
          </w:p>
        </w:tc>
        <w:tc>
          <w:tcPr>
            <w:tcW w:w="1317" w:type="dxa"/>
            <w:tcBorders>
              <w:top w:val="nil"/>
              <w:left w:val="nil"/>
              <w:bottom w:val="single" w:sz="8" w:space="0" w:color="auto"/>
              <w:right w:val="single" w:sz="4" w:space="0" w:color="auto"/>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zamestnanec – odvod 4%</w:t>
            </w:r>
          </w:p>
        </w:tc>
        <w:tc>
          <w:tcPr>
            <w:tcW w:w="1445" w:type="dxa"/>
            <w:tcBorders>
              <w:top w:val="nil"/>
              <w:left w:val="nil"/>
              <w:bottom w:val="single" w:sz="8" w:space="0" w:color="auto"/>
              <w:right w:val="single" w:sz="8" w:space="0" w:color="auto"/>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zamestnávateľ – odvod 10%</w:t>
            </w:r>
          </w:p>
        </w:tc>
        <w:tc>
          <w:tcPr>
            <w:tcW w:w="1381" w:type="dxa"/>
            <w:tcBorders>
              <w:top w:val="nil"/>
              <w:left w:val="nil"/>
              <w:bottom w:val="single" w:sz="8" w:space="0" w:color="auto"/>
              <w:right w:val="single" w:sz="4" w:space="0" w:color="auto"/>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zamestnanec – 4%</w:t>
            </w:r>
          </w:p>
        </w:tc>
        <w:tc>
          <w:tcPr>
            <w:tcW w:w="1449" w:type="dxa"/>
            <w:tcBorders>
              <w:top w:val="nil"/>
              <w:left w:val="nil"/>
              <w:bottom w:val="single" w:sz="8" w:space="0" w:color="auto"/>
              <w:right w:val="single" w:sz="4" w:space="0" w:color="auto"/>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zamestnávateľ – 10%</w:t>
            </w:r>
          </w:p>
        </w:tc>
        <w:tc>
          <w:tcPr>
            <w:tcW w:w="1417" w:type="dxa"/>
            <w:tcBorders>
              <w:top w:val="nil"/>
              <w:left w:val="nil"/>
              <w:bottom w:val="single" w:sz="8" w:space="0" w:color="auto"/>
              <w:right w:val="single" w:sz="4" w:space="0" w:color="auto"/>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zamestnanec (rozdiel nový návrh a súčasnosť)</w:t>
            </w:r>
          </w:p>
        </w:tc>
        <w:tc>
          <w:tcPr>
            <w:tcW w:w="1560" w:type="dxa"/>
            <w:tcBorders>
              <w:top w:val="nil"/>
              <w:left w:val="nil"/>
              <w:bottom w:val="single" w:sz="8" w:space="0" w:color="auto"/>
              <w:right w:val="single" w:sz="8" w:space="0" w:color="auto"/>
            </w:tcBorders>
            <w:shd w:val="clear" w:color="auto" w:fill="auto"/>
            <w:noWrap/>
            <w:vAlign w:val="bottom"/>
            <w:hideMark/>
          </w:tcPr>
          <w:p w:rsidR="00D47350" w:rsidRPr="008723F7" w:rsidRDefault="00D47350"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zamestnávateľ (rozdiel nový návrh a súčasnosť)</w:t>
            </w:r>
          </w:p>
        </w:tc>
      </w:tr>
      <w:tr w:rsidR="00D47350" w:rsidRPr="008723F7" w:rsidTr="00C112E5">
        <w:trPr>
          <w:trHeight w:val="30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31,82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31,82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70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80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90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100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22,82</w:t>
            </w:r>
          </w:p>
        </w:tc>
        <w:tc>
          <w:tcPr>
            <w:tcW w:w="1560"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12,82</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218</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21,80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11,02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21,80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11,02</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219</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21,90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10,92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21,90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10,92</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220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10,82</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9,82</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234</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9,42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9,42</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235</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23,50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9,32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23,50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9,32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240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8,82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250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7,82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260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270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280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290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lastRenderedPageBreak/>
              <w:t>300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303</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30,30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30,30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2,52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304</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30,40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30,40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2,42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305</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30,50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30,50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306</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30,60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30,60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2,22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310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0,82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32,00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0,82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325</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32,50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0,32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32,50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0,32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326</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32,60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0,22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32,60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0,22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327</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32,70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0,12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32,70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0,12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328</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32,80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0,02</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32,80</w:t>
            </w:r>
          </w:p>
        </w:tc>
        <w:tc>
          <w:tcPr>
            <w:tcW w:w="1417" w:type="dxa"/>
            <w:tcBorders>
              <w:top w:val="nil"/>
              <w:left w:val="nil"/>
              <w:bottom w:val="single" w:sz="4" w:space="0" w:color="auto"/>
              <w:right w:val="single" w:sz="4"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0,02</w:t>
            </w:r>
          </w:p>
        </w:tc>
        <w:tc>
          <w:tcPr>
            <w:tcW w:w="1560" w:type="dxa"/>
            <w:tcBorders>
              <w:top w:val="nil"/>
              <w:left w:val="nil"/>
              <w:bottom w:val="single" w:sz="4" w:space="0" w:color="auto"/>
              <w:right w:val="single" w:sz="8" w:space="0" w:color="auto"/>
            </w:tcBorders>
            <w:shd w:val="clear" w:color="000000" w:fill="FFFF00"/>
            <w:noWrap/>
            <w:vAlign w:val="bottom"/>
            <w:hideMark/>
          </w:tcPr>
          <w:p w:rsidR="00D47350" w:rsidRPr="008723F7" w:rsidRDefault="00D47350"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329</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32,90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32,90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330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33,00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33,00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350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380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450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8,40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45,00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8,40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500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14,40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14,40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550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20,40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55,00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20,40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55,00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600</w:t>
            </w:r>
          </w:p>
        </w:tc>
        <w:tc>
          <w:tcPr>
            <w:tcW w:w="13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45"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49"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D47350" w:rsidRPr="008723F7" w:rsidTr="00C112E5">
        <w:trPr>
          <w:trHeight w:val="315"/>
        </w:trPr>
        <w:tc>
          <w:tcPr>
            <w:tcW w:w="983" w:type="dxa"/>
            <w:tcBorders>
              <w:top w:val="nil"/>
              <w:left w:val="single" w:sz="8" w:space="0" w:color="auto"/>
              <w:bottom w:val="single" w:sz="8" w:space="0" w:color="auto"/>
              <w:right w:val="single" w:sz="4" w:space="0" w:color="auto"/>
            </w:tcBorders>
            <w:shd w:val="clear" w:color="auto" w:fill="auto"/>
            <w:noWrap/>
            <w:vAlign w:val="bottom"/>
            <w:hideMark/>
          </w:tcPr>
          <w:p w:rsidR="00D47350" w:rsidRPr="008723F7" w:rsidRDefault="00D47350" w:rsidP="001678B8">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650</w:t>
            </w:r>
          </w:p>
        </w:tc>
        <w:tc>
          <w:tcPr>
            <w:tcW w:w="1317" w:type="dxa"/>
            <w:tcBorders>
              <w:top w:val="nil"/>
              <w:left w:val="nil"/>
              <w:bottom w:val="single" w:sz="8"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45" w:type="dxa"/>
            <w:tcBorders>
              <w:top w:val="nil"/>
              <w:left w:val="nil"/>
              <w:bottom w:val="single" w:sz="8"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65,00</w:t>
            </w:r>
          </w:p>
        </w:tc>
        <w:tc>
          <w:tcPr>
            <w:tcW w:w="1381" w:type="dxa"/>
            <w:tcBorders>
              <w:top w:val="nil"/>
              <w:left w:val="nil"/>
              <w:bottom w:val="single" w:sz="4"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49" w:type="dxa"/>
            <w:tcBorders>
              <w:top w:val="nil"/>
              <w:left w:val="nil"/>
              <w:bottom w:val="single" w:sz="8"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65,00</w:t>
            </w:r>
          </w:p>
        </w:tc>
        <w:tc>
          <w:tcPr>
            <w:tcW w:w="1417" w:type="dxa"/>
            <w:tcBorders>
              <w:top w:val="nil"/>
              <w:left w:val="nil"/>
              <w:bottom w:val="single" w:sz="8" w:space="0" w:color="auto"/>
              <w:right w:val="single" w:sz="4"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8" w:space="0" w:color="auto"/>
              <w:right w:val="single" w:sz="8" w:space="0" w:color="auto"/>
            </w:tcBorders>
            <w:shd w:val="clear" w:color="auto" w:fill="auto"/>
            <w:noWrap/>
            <w:vAlign w:val="bottom"/>
            <w:hideMark/>
          </w:tcPr>
          <w:p w:rsidR="00D47350" w:rsidRPr="008723F7" w:rsidRDefault="00D47350"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bl>
    <w:p w:rsidR="00D47350" w:rsidRPr="008723F7" w:rsidRDefault="00D47350" w:rsidP="001678B8">
      <w:pPr>
        <w:spacing w:after="0" w:line="240" w:lineRule="auto"/>
        <w:rPr>
          <w:rFonts w:ascii="Times New Roman" w:hAnsi="Times New Roman"/>
        </w:rPr>
      </w:pPr>
    </w:p>
    <w:p w:rsidR="00D47350" w:rsidRPr="008723F7" w:rsidRDefault="00D47350" w:rsidP="001678B8">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D47350" w:rsidRPr="008723F7" w:rsidRDefault="00D47350" w:rsidP="001678B8">
      <w:pPr>
        <w:spacing w:after="0" w:line="240" w:lineRule="auto"/>
        <w:jc w:val="both"/>
        <w:rPr>
          <w:rFonts w:ascii="Times New Roman" w:hAnsi="Times New Roman"/>
        </w:rPr>
      </w:pPr>
      <w:r w:rsidRPr="008723F7">
        <w:rPr>
          <w:rFonts w:ascii="Times New Roman" w:hAnsi="Times New Roman"/>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zákona č. 580/2004 z. z. (napr. študenti, dôchodcovia, osoby na rodičovskej dovolenke, osoby evidované na úrade práce atď.) Na poistencov štátu sa vyššie uvedená povinnosť doplatku do minimálneho odvodu vzťahovať nebude a teda v tejto oblasti zákon nebude postihovať nízkopríjmové skupiny osôb. Výnimka z tohto pravidla existuje, ak poistenci štátu majú príjem vyšší ako 15-násobok životného minima. </w:t>
      </w:r>
    </w:p>
    <w:p w:rsidR="007E6D32" w:rsidRPr="008723F7" w:rsidRDefault="00E30562" w:rsidP="001678B8">
      <w:pPr>
        <w:spacing w:after="0" w:line="240" w:lineRule="auto"/>
        <w:jc w:val="both"/>
        <w:rPr>
          <w:rFonts w:ascii="Times New Roman" w:hAnsi="Times New Roman"/>
        </w:rPr>
      </w:pPr>
      <w:r w:rsidRPr="008723F7">
        <w:rPr>
          <w:rFonts w:ascii="Times New Roman" w:hAnsi="Times New Roman"/>
        </w:rPr>
        <w:t>P</w:t>
      </w:r>
      <w:r w:rsidR="007E6D32" w:rsidRPr="008723F7">
        <w:rPr>
          <w:rFonts w:ascii="Times New Roman" w:hAnsi="Times New Roman"/>
        </w:rPr>
        <w:t>ríklad</w:t>
      </w:r>
    </w:p>
    <w:p w:rsidR="007E6D32" w:rsidRPr="008723F7" w:rsidRDefault="007E6D32" w:rsidP="001678B8">
      <w:pPr>
        <w:spacing w:after="0" w:line="240" w:lineRule="auto"/>
        <w:jc w:val="both"/>
        <w:rPr>
          <w:rFonts w:ascii="Times New Roman" w:hAnsi="Times New Roman"/>
        </w:rPr>
      </w:pPr>
      <w:r w:rsidRPr="008723F7">
        <w:rPr>
          <w:rFonts w:ascii="Times New Roman" w:hAnsi="Times New Roman"/>
        </w:rPr>
        <w:t xml:space="preserve">zamestnanec má príjem 300 eur </w:t>
      </w:r>
    </w:p>
    <w:p w:rsidR="007E6D32" w:rsidRPr="008723F7" w:rsidRDefault="007E6D32" w:rsidP="001678B8">
      <w:pPr>
        <w:spacing w:after="0" w:line="240" w:lineRule="auto"/>
        <w:jc w:val="both"/>
        <w:rPr>
          <w:rFonts w:ascii="Times New Roman" w:hAnsi="Times New Roman"/>
        </w:rPr>
      </w:pPr>
      <w:r w:rsidRPr="008723F7">
        <w:rPr>
          <w:rFonts w:ascii="Times New Roman" w:hAnsi="Times New Roman"/>
        </w:rPr>
        <w:t>dnes neplatí 4% z 300 eur, lebo sa na túto sumu uplatňuje odpočítateľná položka</w:t>
      </w:r>
    </w:p>
    <w:p w:rsidR="007E6D32" w:rsidRPr="008723F7" w:rsidRDefault="007E6D32" w:rsidP="001678B8">
      <w:pPr>
        <w:spacing w:after="0" w:line="240" w:lineRule="auto"/>
        <w:jc w:val="both"/>
        <w:rPr>
          <w:rFonts w:ascii="Times New Roman" w:hAnsi="Times New Roman"/>
        </w:rPr>
      </w:pPr>
      <w:r w:rsidRPr="008723F7">
        <w:rPr>
          <w:rFonts w:ascii="Times New Roman" w:hAnsi="Times New Roman"/>
        </w:rPr>
        <w:t>zamestnávateľ zaplatí 30 eur</w:t>
      </w:r>
      <w:r w:rsidR="00E30562" w:rsidRPr="008723F7">
        <w:rPr>
          <w:rFonts w:ascii="Times New Roman" w:hAnsi="Times New Roman"/>
        </w:rPr>
        <w:t xml:space="preserve"> (10% z 300)</w:t>
      </w:r>
    </w:p>
    <w:p w:rsidR="007E6D32" w:rsidRPr="008723F7" w:rsidRDefault="007E6D32" w:rsidP="001678B8">
      <w:pPr>
        <w:spacing w:after="0" w:line="240" w:lineRule="auto"/>
        <w:jc w:val="both"/>
        <w:rPr>
          <w:rFonts w:ascii="Times New Roman" w:hAnsi="Times New Roman"/>
        </w:rPr>
      </w:pPr>
    </w:p>
    <w:p w:rsidR="007E6D32" w:rsidRPr="008723F7" w:rsidRDefault="007E6D32" w:rsidP="001678B8">
      <w:pPr>
        <w:spacing w:after="0" w:line="240" w:lineRule="auto"/>
        <w:jc w:val="both"/>
        <w:rPr>
          <w:rFonts w:ascii="Times New Roman" w:hAnsi="Times New Roman"/>
        </w:rPr>
      </w:pPr>
      <w:r w:rsidRPr="008723F7">
        <w:rPr>
          <w:rFonts w:ascii="Times New Roman" w:hAnsi="Times New Roman"/>
        </w:rPr>
        <w:t xml:space="preserve">po novom bude musieť zamestnávateľ preveriť, či </w:t>
      </w:r>
    </w:p>
    <w:p w:rsidR="007E6D32" w:rsidRPr="008723F7" w:rsidRDefault="007E6D32" w:rsidP="001678B8">
      <w:pPr>
        <w:spacing w:after="0" w:line="240" w:lineRule="auto"/>
        <w:jc w:val="both"/>
        <w:rPr>
          <w:rFonts w:ascii="Times New Roman" w:hAnsi="Times New Roman"/>
        </w:rPr>
      </w:pPr>
      <w:r w:rsidRPr="008723F7">
        <w:rPr>
          <w:rFonts w:ascii="Times New Roman" w:hAnsi="Times New Roman"/>
        </w:rPr>
        <w:t xml:space="preserve">výsledok, </w:t>
      </w:r>
      <w:proofErr w:type="spellStart"/>
      <w:r w:rsidRPr="008723F7">
        <w:rPr>
          <w:rFonts w:ascii="Times New Roman" w:hAnsi="Times New Roman"/>
        </w:rPr>
        <w:t>t.j</w:t>
      </w:r>
      <w:proofErr w:type="spellEnd"/>
      <w:r w:rsidRPr="008723F7">
        <w:rPr>
          <w:rFonts w:ascii="Times New Roman" w:hAnsi="Times New Roman"/>
        </w:rPr>
        <w:t>. odvod za zamestnanca plus odvod za zamestnávateľa (v tomto prípade 30 eur) je rovný 14% z 234,42,</w:t>
      </w:r>
    </w:p>
    <w:p w:rsidR="007E6D32" w:rsidRPr="008723F7" w:rsidRDefault="007E6D32" w:rsidP="001678B8">
      <w:pPr>
        <w:spacing w:after="0" w:line="240" w:lineRule="auto"/>
        <w:jc w:val="both"/>
        <w:rPr>
          <w:rFonts w:ascii="Times New Roman" w:hAnsi="Times New Roman"/>
        </w:rPr>
      </w:pPr>
      <w:r w:rsidRPr="008723F7">
        <w:rPr>
          <w:rFonts w:ascii="Times New Roman" w:hAnsi="Times New Roman"/>
        </w:rPr>
        <w:t>ak nie je (čo v tomto prípade nie je), bude musieť strhnúť zamestnancovi zvyšok, v tomto prípade pôjde o sumu 2 eurá 81 centov,</w:t>
      </w:r>
    </w:p>
    <w:p w:rsidR="007E6D32" w:rsidRPr="008723F7" w:rsidRDefault="007E6D32" w:rsidP="001678B8">
      <w:pPr>
        <w:spacing w:after="0" w:line="240" w:lineRule="auto"/>
        <w:jc w:val="both"/>
        <w:rPr>
          <w:rFonts w:ascii="Times New Roman" w:hAnsi="Times New Roman"/>
        </w:rPr>
      </w:pPr>
      <w:r w:rsidRPr="008723F7">
        <w:rPr>
          <w:rFonts w:ascii="Times New Roman" w:hAnsi="Times New Roman"/>
        </w:rPr>
        <w:t>ak je, ponechá odvod bez zmeny.</w:t>
      </w:r>
    </w:p>
    <w:p w:rsidR="001A7C76" w:rsidRPr="008723F7" w:rsidRDefault="001A7C76" w:rsidP="001678B8">
      <w:pPr>
        <w:spacing w:after="0" w:line="240" w:lineRule="auto"/>
        <w:jc w:val="both"/>
        <w:rPr>
          <w:rFonts w:ascii="Times New Roman" w:hAnsi="Times New Roman"/>
        </w:rPr>
      </w:pPr>
      <w:r w:rsidRPr="008723F7">
        <w:rPr>
          <w:rFonts w:ascii="Times New Roman" w:hAnsi="Times New Roman"/>
        </w:rPr>
        <w:t>Vzhľadom na zmenu sumy minimálneho základu (životné minimum), by zavedenie minimálneho základu nemalo mať vplyv na daňové príjmy.</w:t>
      </w:r>
    </w:p>
    <w:p w:rsidR="00112D4A" w:rsidRPr="008723F7" w:rsidRDefault="00112D4A" w:rsidP="001678B8">
      <w:pPr>
        <w:spacing w:after="0" w:line="240" w:lineRule="auto"/>
        <w:jc w:val="both"/>
        <w:rPr>
          <w:rFonts w:ascii="Times New Roman" w:hAnsi="Times New Roman"/>
        </w:rPr>
      </w:pPr>
    </w:p>
    <w:p w:rsidR="008723F7" w:rsidRPr="008723F7" w:rsidRDefault="008723F7" w:rsidP="001678B8">
      <w:pPr>
        <w:spacing w:after="0" w:line="240" w:lineRule="auto"/>
        <w:jc w:val="both"/>
        <w:rPr>
          <w:rFonts w:ascii="Times New Roman" w:hAnsi="Times New Roman"/>
        </w:rPr>
      </w:pPr>
    </w:p>
    <w:p w:rsidR="008723F7" w:rsidRPr="008723F7" w:rsidRDefault="008723F7" w:rsidP="001678B8">
      <w:pPr>
        <w:spacing w:after="0" w:line="240" w:lineRule="auto"/>
        <w:jc w:val="both"/>
        <w:rPr>
          <w:rFonts w:ascii="Times New Roman" w:hAnsi="Times New Roman"/>
        </w:rPr>
      </w:pPr>
    </w:p>
    <w:p w:rsidR="008E5CFB" w:rsidRPr="008723F7" w:rsidRDefault="004322A6" w:rsidP="001678B8">
      <w:pPr>
        <w:pStyle w:val="Odsekzoznamu"/>
        <w:numPr>
          <w:ilvl w:val="0"/>
          <w:numId w:val="14"/>
        </w:numPr>
        <w:contextualSpacing/>
        <w:jc w:val="both"/>
        <w:rPr>
          <w:b/>
          <w:bCs/>
          <w:sz w:val="22"/>
          <w:szCs w:val="22"/>
        </w:rPr>
      </w:pPr>
      <w:r w:rsidRPr="008723F7">
        <w:rPr>
          <w:b/>
          <w:bCs/>
          <w:sz w:val="22"/>
          <w:szCs w:val="22"/>
        </w:rPr>
        <w:lastRenderedPageBreak/>
        <w:t>Úprava</w:t>
      </w:r>
      <w:r w:rsidRPr="008723F7">
        <w:rPr>
          <w:b/>
          <w:bCs/>
          <w:sz w:val="22"/>
          <w:szCs w:val="22"/>
        </w:rPr>
        <w:t xml:space="preserve"> </w:t>
      </w:r>
      <w:r w:rsidR="008E5CFB" w:rsidRPr="008723F7">
        <w:rPr>
          <w:b/>
          <w:bCs/>
          <w:sz w:val="22"/>
          <w:szCs w:val="22"/>
        </w:rPr>
        <w:t xml:space="preserve">obmedzenia prístupu k zdravotnej starostlivosti pre dlžníkov </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Nepredpokladáme pozitívny ani negatívny dopad na rozpočet verejného zdravotného poistenia.</w:t>
      </w:r>
    </w:p>
    <w:p w:rsidR="00515DB4" w:rsidRPr="008723F7" w:rsidRDefault="00515DB4" w:rsidP="001678B8">
      <w:pPr>
        <w:spacing w:after="0" w:line="240" w:lineRule="auto"/>
        <w:jc w:val="both"/>
        <w:rPr>
          <w:rFonts w:ascii="Times New Roman" w:hAnsi="Times New Roman"/>
        </w:rPr>
      </w:pPr>
    </w:p>
    <w:p w:rsidR="00515DB4" w:rsidRPr="008723F7" w:rsidRDefault="00515DB4"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Ľudia bez domova často trpia rôznymi ochoreniami, obyčajne chronického charakteru. Podľa Záverečnej správy z výskumu a sčítania ľudí́ bez domova na území mesta Bratislavy v roku 2016 prítomnosť dlhodobého zdravotného problému uviedlo 49 % dospelých osôb, v starších vekových skupinách sa týkal až 60 % osôb. K najčastejšie uvádzaným dlhodobým zdravotným problémom patrili problémy s nohami a problémy so srdcom a tlakom. Výrazné zastúpenie mali aj duševné problémy či ťažkosti s dýchaním. Aj podľa Záverečnej správy z registračného týždňa rodín v bytovej núdzi v Košiciach z roku 2021 respondenti medzi najčastejšiemu zdravotnými problémami uviedli problémy s dýchaním, neurologické ochorenia, ochorenia srdca a vysoký krvný tlak, ochorenia pohybového aparátu a cukrovku. Najväčším problémom zlého zdravotného stavu ľudí bez domova však býva kritické prehlbovanie chronických ochorení s fatálnymi následkami. Odopieranie inej, než neodkladnej ZS v prípade chronického ochorenia ľudí bez domova často vystavuje bolestiam, nedostatku potrebných liekov a významne znižuje predpokladanú dĺžku ich života. </w:t>
      </w:r>
    </w:p>
    <w:p w:rsidR="004322A6" w:rsidRPr="008723F7" w:rsidRDefault="004322A6" w:rsidP="001678B8">
      <w:pPr>
        <w:spacing w:after="0" w:line="240" w:lineRule="auto"/>
        <w:jc w:val="both"/>
        <w:rPr>
          <w:rFonts w:ascii="Times New Roman" w:hAnsi="Times New Roman"/>
        </w:rPr>
      </w:pPr>
      <w:r w:rsidRPr="008723F7">
        <w:rPr>
          <w:rFonts w:ascii="Times New Roman" w:hAnsi="Times New Roman"/>
        </w:rPr>
        <w:t>Podľa analýzy predkladateľa nárok dlžníkov na zdravotnú starostlivosť v plnom rozsahu nemá merateľný vplyv na príjmy ani výdavky systému verejného zdravotného poistenia.</w:t>
      </w:r>
    </w:p>
    <w:p w:rsidR="004322A6" w:rsidRPr="008723F7" w:rsidRDefault="004322A6" w:rsidP="001678B8">
      <w:pPr>
        <w:tabs>
          <w:tab w:val="left" w:pos="904"/>
        </w:tabs>
        <w:spacing w:after="0" w:line="240" w:lineRule="auto"/>
        <w:rPr>
          <w:rFonts w:ascii="Times New Roman" w:hAnsi="Times New Roman"/>
          <w:bCs/>
        </w:rPr>
      </w:pPr>
      <w:r w:rsidRPr="008723F7">
        <w:rPr>
          <w:rFonts w:ascii="Times New Roman" w:hAnsi="Times New Roman"/>
          <w:bCs/>
        </w:rPr>
        <w:t>Obmedzenie nároku na zdravotnú starostlivosť pri dlžníkovi iba na neodkladnú je zrejme najtvrdšie v EU; veľká väčšina členských štátov EU (vrátane Českej republiky) takéto obmedzenie vôbec nemá a napriek tomu v týchto krajinách nie je evidovaný žiaden pokles úspešnosti výberu poistného v porovnaní so SR. Zdravotným poisťovniam naďalej ostáva k dispozícii celé spektrum nástrojov na vymáhanie, vrátane exekučných konaní.</w:t>
      </w:r>
    </w:p>
    <w:p w:rsidR="004322A6" w:rsidRPr="008723F7" w:rsidRDefault="004322A6" w:rsidP="001678B8">
      <w:pPr>
        <w:spacing w:after="0" w:line="240" w:lineRule="auto"/>
        <w:rPr>
          <w:rFonts w:ascii="Times New Roman" w:hAnsi="Times New Roman"/>
          <w:bCs/>
        </w:rPr>
      </w:pPr>
      <w:r w:rsidRPr="008723F7">
        <w:rPr>
          <w:rFonts w:ascii="Times New Roman" w:hAnsi="Times New Roman"/>
          <w:bCs/>
        </w:rPr>
        <w:t>Pokiaľ ide o šetrenie prostriedkov na zdravotnú starostlivosť, veľmi často je práve akútna zdravotná starostlivosť drahšia, ako prevencia a odkladná zdravotná starostlivosť.</w:t>
      </w:r>
    </w:p>
    <w:p w:rsidR="00A5315A" w:rsidRPr="008723F7" w:rsidRDefault="004322A6" w:rsidP="001678B8">
      <w:pPr>
        <w:spacing w:after="0" w:line="240" w:lineRule="auto"/>
        <w:rPr>
          <w:rFonts w:ascii="Times New Roman" w:hAnsi="Times New Roman"/>
        </w:rPr>
      </w:pPr>
      <w:r w:rsidRPr="008723F7">
        <w:rPr>
          <w:rFonts w:ascii="Times New Roman" w:hAnsi="Times New Roman"/>
          <w:bCs/>
        </w:rPr>
        <w:t xml:space="preserve">Ustanovenie </w:t>
      </w:r>
      <w:r w:rsidR="00A5315A" w:rsidRPr="008723F7">
        <w:rPr>
          <w:rFonts w:ascii="Times New Roman" w:hAnsi="Times New Roman"/>
          <w:bCs/>
        </w:rPr>
        <w:t xml:space="preserve">bolo </w:t>
      </w:r>
      <w:r w:rsidRPr="008723F7">
        <w:rPr>
          <w:rFonts w:ascii="Times New Roman" w:hAnsi="Times New Roman"/>
          <w:bCs/>
        </w:rPr>
        <w:t>prepracované.</w:t>
      </w:r>
      <w:r w:rsidR="00A5315A" w:rsidRPr="008723F7">
        <w:rPr>
          <w:rFonts w:ascii="Times New Roman" w:hAnsi="Times New Roman"/>
          <w:bCs/>
        </w:rPr>
        <w:t xml:space="preserve"> </w:t>
      </w:r>
      <w:r w:rsidR="00A5315A" w:rsidRPr="008723F7">
        <w:rPr>
          <w:rFonts w:ascii="Times New Roman" w:hAnsi="Times New Roman"/>
        </w:rPr>
        <w:t xml:space="preserve">Úprava obmedzenia prístupu k zdravotnej starostlivosti pre dlžníkov spočíva v rozšírení zdravotnej starostlivosti pre poistencov, ktorí </w:t>
      </w:r>
      <w:r w:rsidR="00A5315A" w:rsidRPr="008723F7">
        <w:rPr>
          <w:rFonts w:ascii="Times New Roman" w:hAnsi="Times New Roman"/>
        </w:rPr>
        <w:t>sú</w:t>
      </w:r>
      <w:r w:rsidR="00A5315A" w:rsidRPr="008723F7">
        <w:rPr>
          <w:rFonts w:ascii="Times New Roman" w:hAnsi="Times New Roman"/>
        </w:rPr>
        <w:t xml:space="preserve"> dlžník</w:t>
      </w:r>
      <w:r w:rsidR="00A5315A" w:rsidRPr="008723F7">
        <w:rPr>
          <w:rFonts w:ascii="Times New Roman" w:hAnsi="Times New Roman"/>
        </w:rPr>
        <w:t>mi</w:t>
      </w:r>
      <w:r w:rsidR="00A5315A" w:rsidRPr="008723F7">
        <w:rPr>
          <w:rFonts w:ascii="Times New Roman" w:hAnsi="Times New Roman"/>
        </w:rPr>
        <w:t xml:space="preserve"> podľa § 25a ods. 1 a nespĺňa podmienky podľa § 9 ods. 2 písm. a) až h), a po novom bude mať právo na úhradu </w:t>
      </w:r>
    </w:p>
    <w:p w:rsidR="00A5315A" w:rsidRPr="008723F7" w:rsidRDefault="00A5315A" w:rsidP="001678B8">
      <w:pPr>
        <w:pStyle w:val="Odsekzoznamu"/>
        <w:numPr>
          <w:ilvl w:val="0"/>
          <w:numId w:val="17"/>
        </w:numPr>
        <w:contextualSpacing/>
        <w:rPr>
          <w:sz w:val="22"/>
          <w:szCs w:val="22"/>
        </w:rPr>
      </w:pPr>
      <w:r w:rsidRPr="008723F7">
        <w:rPr>
          <w:sz w:val="22"/>
          <w:szCs w:val="22"/>
        </w:rPr>
        <w:t>zdravotnej starostlivosti poskytovanej v súvislosti s tehotenstvom,</w:t>
      </w:r>
    </w:p>
    <w:p w:rsidR="00A5315A" w:rsidRPr="008723F7" w:rsidRDefault="00A5315A" w:rsidP="001678B8">
      <w:pPr>
        <w:pStyle w:val="Odsekzoznamu"/>
        <w:numPr>
          <w:ilvl w:val="0"/>
          <w:numId w:val="17"/>
        </w:numPr>
        <w:contextualSpacing/>
        <w:rPr>
          <w:sz w:val="22"/>
          <w:szCs w:val="22"/>
        </w:rPr>
      </w:pPr>
      <w:r w:rsidRPr="008723F7">
        <w:rPr>
          <w:sz w:val="22"/>
          <w:szCs w:val="22"/>
        </w:rPr>
        <w:t>očkovania za účelom prevencie infekčných ochorení ako aj liečbu infekčného ochorenia,</w:t>
      </w:r>
    </w:p>
    <w:p w:rsidR="00A5315A" w:rsidRPr="008723F7" w:rsidRDefault="00A5315A" w:rsidP="001678B8">
      <w:pPr>
        <w:pStyle w:val="Odsekzoznamu"/>
        <w:numPr>
          <w:ilvl w:val="0"/>
          <w:numId w:val="17"/>
        </w:numPr>
        <w:contextualSpacing/>
        <w:rPr>
          <w:sz w:val="22"/>
          <w:szCs w:val="22"/>
        </w:rPr>
      </w:pPr>
      <w:r w:rsidRPr="008723F7">
        <w:rPr>
          <w:sz w:val="22"/>
          <w:szCs w:val="22"/>
        </w:rPr>
        <w:t xml:space="preserve">liečby chronického ochorenia, ktoré má bez liečby za následok ťažké a nevratné zmeny zdravia vedúce k predčasnému úmrtiu, ak </w:t>
      </w:r>
      <w:r w:rsidR="00E4351A" w:rsidRPr="008723F7">
        <w:rPr>
          <w:sz w:val="22"/>
          <w:szCs w:val="22"/>
        </w:rPr>
        <w:t>ide o osoby podľa § 11 ods. 7.</w:t>
      </w:r>
    </w:p>
    <w:p w:rsidR="004322A6" w:rsidRPr="008723F7" w:rsidRDefault="004322A6" w:rsidP="001678B8">
      <w:pPr>
        <w:tabs>
          <w:tab w:val="num" w:pos="1080"/>
        </w:tabs>
        <w:spacing w:after="0" w:line="240" w:lineRule="auto"/>
        <w:jc w:val="both"/>
        <w:rPr>
          <w:rFonts w:ascii="Times New Roman" w:hAnsi="Times New Roman"/>
          <w:bCs/>
        </w:rPr>
      </w:pPr>
    </w:p>
    <w:p w:rsidR="00515DB4" w:rsidRPr="008723F7" w:rsidRDefault="00515DB4" w:rsidP="001678B8">
      <w:pPr>
        <w:tabs>
          <w:tab w:val="num" w:pos="1080"/>
        </w:tabs>
        <w:spacing w:after="0" w:line="240" w:lineRule="auto"/>
        <w:jc w:val="both"/>
        <w:rPr>
          <w:rFonts w:ascii="Times New Roman" w:hAnsi="Times New Roman"/>
          <w:bCs/>
        </w:rPr>
      </w:pPr>
    </w:p>
    <w:p w:rsidR="008E5CFB" w:rsidRPr="008723F7" w:rsidRDefault="008E5CFB" w:rsidP="001678B8">
      <w:pPr>
        <w:pStyle w:val="Odsekzoznamu"/>
        <w:numPr>
          <w:ilvl w:val="0"/>
          <w:numId w:val="14"/>
        </w:numPr>
        <w:contextualSpacing/>
        <w:jc w:val="both"/>
        <w:rPr>
          <w:b/>
          <w:sz w:val="22"/>
          <w:szCs w:val="22"/>
        </w:rPr>
      </w:pPr>
      <w:r w:rsidRPr="008723F7">
        <w:rPr>
          <w:b/>
          <w:sz w:val="22"/>
          <w:szCs w:val="22"/>
        </w:rPr>
        <w:t>Zmena spôsobu uhrádzania zdravotnej starostlivosti pre žiadateľov o azyl a ďalšie osoby</w:t>
      </w:r>
    </w:p>
    <w:p w:rsidR="008E5CFB" w:rsidRPr="008723F7" w:rsidRDefault="008E5CFB" w:rsidP="001678B8">
      <w:pPr>
        <w:tabs>
          <w:tab w:val="num" w:pos="1080"/>
        </w:tabs>
        <w:spacing w:after="0" w:line="240" w:lineRule="auto"/>
        <w:jc w:val="both"/>
        <w:rPr>
          <w:rFonts w:ascii="Times New Roman" w:hAnsi="Times New Roman"/>
          <w:bCs/>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Nepredpokladáme pozitívny ani negatívny dopad na štátny rozpočet.</w:t>
      </w: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Predpokladáme nutnosť presunu sumy, určenej na úhradu zdravotnej starostlivosti pre tieto osoby z kapitoly MV SR do kapitoly MZ SR.</w:t>
      </w:r>
    </w:p>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Sumy, určené na úhradu zdravotnej starostlivosti pre tieto soby v minulosti (zdroj: MV SR):</w:t>
      </w:r>
    </w:p>
    <w:p w:rsidR="008E5CFB" w:rsidRPr="008723F7" w:rsidRDefault="008E5CFB" w:rsidP="001678B8">
      <w:pPr>
        <w:spacing w:after="0" w:line="240" w:lineRule="auto"/>
        <w:jc w:val="both"/>
        <w:rPr>
          <w:rFonts w:ascii="Times New Roman" w:hAnsi="Times New Roman"/>
        </w:rPr>
      </w:pPr>
    </w:p>
    <w:tbl>
      <w:tblPr>
        <w:tblW w:w="3544" w:type="dxa"/>
        <w:tblInd w:w="-10" w:type="dxa"/>
        <w:tblCellMar>
          <w:left w:w="70" w:type="dxa"/>
          <w:right w:w="70" w:type="dxa"/>
        </w:tblCellMar>
        <w:tblLook w:val="04A0" w:firstRow="1" w:lastRow="0" w:firstColumn="1" w:lastColumn="0" w:noHBand="0" w:noVBand="1"/>
      </w:tblPr>
      <w:tblGrid>
        <w:gridCol w:w="960"/>
        <w:gridCol w:w="2584"/>
      </w:tblGrid>
      <w:tr w:rsidR="008E5CFB" w:rsidRPr="008723F7" w:rsidTr="006356EA">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rok</w:t>
            </w:r>
          </w:p>
        </w:tc>
        <w:tc>
          <w:tcPr>
            <w:tcW w:w="2584" w:type="dxa"/>
            <w:tcBorders>
              <w:top w:val="single" w:sz="8" w:space="0" w:color="auto"/>
              <w:left w:val="nil"/>
              <w:bottom w:val="single" w:sz="4" w:space="0" w:color="auto"/>
              <w:right w:val="single" w:sz="8"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suma úhrad za zdravotnú starostlivosť v tisícoch eur</w:t>
            </w:r>
          </w:p>
        </w:tc>
      </w:tr>
      <w:tr w:rsidR="008E5CFB" w:rsidRPr="008723F7" w:rsidTr="006356E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2019</w:t>
            </w:r>
          </w:p>
        </w:tc>
        <w:tc>
          <w:tcPr>
            <w:tcW w:w="2584" w:type="dxa"/>
            <w:tcBorders>
              <w:top w:val="nil"/>
              <w:left w:val="nil"/>
              <w:bottom w:val="single" w:sz="4" w:space="0" w:color="auto"/>
              <w:right w:val="single" w:sz="8" w:space="0" w:color="auto"/>
            </w:tcBorders>
            <w:shd w:val="clear" w:color="auto" w:fill="auto"/>
            <w:noWrap/>
            <w:vAlign w:val="bottom"/>
            <w:hideMark/>
          </w:tcPr>
          <w:p w:rsidR="008E5CFB" w:rsidRPr="008723F7" w:rsidRDefault="008E5CFB" w:rsidP="001678B8">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w:t>
            </w:r>
          </w:p>
        </w:tc>
      </w:tr>
      <w:tr w:rsidR="008E5CFB" w:rsidRPr="008723F7" w:rsidTr="006356E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2020</w:t>
            </w:r>
          </w:p>
        </w:tc>
        <w:tc>
          <w:tcPr>
            <w:tcW w:w="2584" w:type="dxa"/>
            <w:tcBorders>
              <w:top w:val="nil"/>
              <w:left w:val="nil"/>
              <w:bottom w:val="single" w:sz="4" w:space="0" w:color="auto"/>
              <w:right w:val="single" w:sz="8" w:space="0" w:color="auto"/>
            </w:tcBorders>
            <w:shd w:val="clear" w:color="auto" w:fill="auto"/>
            <w:noWrap/>
            <w:vAlign w:val="bottom"/>
            <w:hideMark/>
          </w:tcPr>
          <w:p w:rsidR="008E5CFB" w:rsidRPr="008723F7" w:rsidRDefault="008E5CFB" w:rsidP="001678B8">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19</w:t>
            </w:r>
          </w:p>
        </w:tc>
      </w:tr>
      <w:tr w:rsidR="008E5CFB" w:rsidRPr="008723F7" w:rsidTr="006356EA">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E5CFB" w:rsidRPr="008723F7" w:rsidRDefault="008E5CFB" w:rsidP="001678B8">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2021</w:t>
            </w:r>
          </w:p>
        </w:tc>
        <w:tc>
          <w:tcPr>
            <w:tcW w:w="2584" w:type="dxa"/>
            <w:tcBorders>
              <w:top w:val="nil"/>
              <w:left w:val="nil"/>
              <w:bottom w:val="single" w:sz="8" w:space="0" w:color="auto"/>
              <w:right w:val="single" w:sz="8" w:space="0" w:color="auto"/>
            </w:tcBorders>
            <w:shd w:val="clear" w:color="auto" w:fill="auto"/>
            <w:noWrap/>
            <w:vAlign w:val="bottom"/>
            <w:hideMark/>
          </w:tcPr>
          <w:p w:rsidR="008E5CFB" w:rsidRPr="008723F7" w:rsidRDefault="008E5CFB" w:rsidP="001678B8">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37</w:t>
            </w:r>
          </w:p>
        </w:tc>
      </w:tr>
    </w:tbl>
    <w:p w:rsidR="008E5CFB" w:rsidRPr="008723F7" w:rsidRDefault="008E5CFB" w:rsidP="001678B8">
      <w:pPr>
        <w:spacing w:after="0" w:line="240" w:lineRule="auto"/>
        <w:jc w:val="both"/>
        <w:rPr>
          <w:rFonts w:ascii="Times New Roman" w:hAnsi="Times New Roman"/>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Odhad sumy v budúcnosti je veľmi problematický, nakoľko významným nepredvídateľným parametrom je situácia v okolitých krajinách, možný vznik migračnej krízy alebo inej krízovej humanitárnej situácie.</w:t>
      </w: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Odhad (pri vyššie uvedenej miere neistoty) je cca 50 tis. eur ročne.</w:t>
      </w:r>
    </w:p>
    <w:p w:rsidR="008E5CFB" w:rsidRPr="008723F7" w:rsidRDefault="008E5CFB" w:rsidP="001678B8">
      <w:pPr>
        <w:spacing w:after="0" w:line="240" w:lineRule="auto"/>
        <w:jc w:val="both"/>
        <w:rPr>
          <w:rFonts w:ascii="Times New Roman" w:hAnsi="Times New Roman"/>
          <w:i/>
        </w:rPr>
      </w:pPr>
      <w:r w:rsidRPr="008723F7">
        <w:rPr>
          <w:rFonts w:ascii="Times New Roman" w:hAnsi="Times New Roman"/>
          <w:i/>
        </w:rPr>
        <w:lastRenderedPageBreak/>
        <w:t>(poznámka: tento odhad nezahŕňa náklady, spojené s poskytovaním zdravotnej starostlivosti pre obete v súčasnosti prebiehajúceho vojnového konfliktu na Ukrajine, nakoľko týmto osobám je už v súčasnosti poskytovaná a uhrádzaná zdravotná starostlivosť podľa iných platných ustanovení - § 9h ods. 2 a § 38eza zákona č. 580/2004 Z. z.).</w:t>
      </w:r>
    </w:p>
    <w:p w:rsidR="008E5CFB" w:rsidRPr="008723F7" w:rsidRDefault="008E5CFB" w:rsidP="001678B8">
      <w:pPr>
        <w:spacing w:after="0" w:line="240" w:lineRule="auto"/>
        <w:jc w:val="both"/>
        <w:rPr>
          <w:rFonts w:ascii="Times New Roman" w:eastAsia="Times New Roman" w:hAnsi="Times New Roman"/>
          <w:lang w:eastAsia="sk-SK"/>
        </w:rPr>
      </w:pPr>
    </w:p>
    <w:p w:rsidR="008E5CFB" w:rsidRPr="008723F7" w:rsidRDefault="008E5CFB" w:rsidP="001678B8">
      <w:pPr>
        <w:pStyle w:val="Odsekzoznamu"/>
        <w:numPr>
          <w:ilvl w:val="0"/>
          <w:numId w:val="14"/>
        </w:numPr>
        <w:contextualSpacing/>
        <w:rPr>
          <w:b/>
          <w:sz w:val="22"/>
          <w:szCs w:val="22"/>
        </w:rPr>
      </w:pPr>
      <w:r w:rsidRPr="008723F7">
        <w:rPr>
          <w:b/>
          <w:sz w:val="22"/>
          <w:szCs w:val="22"/>
        </w:rPr>
        <w:t>Nárok predsedu Úradu pre dohľad nad zdravotnou starostlivosťou na paušálnu náhradu na pokrytie nevyhnutných výdavkov</w:t>
      </w:r>
    </w:p>
    <w:p w:rsidR="008E5CFB" w:rsidRPr="008723F7" w:rsidRDefault="008E5CFB" w:rsidP="001678B8">
      <w:pPr>
        <w:spacing w:after="0" w:line="240" w:lineRule="auto"/>
        <w:rPr>
          <w:rFonts w:ascii="Times New Roman" w:hAnsi="Times New Roman"/>
          <w:b/>
        </w:rPr>
      </w:pPr>
    </w:p>
    <w:p w:rsidR="008E5CFB" w:rsidRPr="008723F7" w:rsidRDefault="008E5CFB" w:rsidP="001678B8">
      <w:pPr>
        <w:spacing w:after="0" w:line="240" w:lineRule="auto"/>
        <w:jc w:val="both"/>
        <w:rPr>
          <w:rFonts w:ascii="Times New Roman" w:hAnsi="Times New Roman"/>
        </w:rPr>
      </w:pPr>
      <w:r w:rsidRPr="008723F7">
        <w:rPr>
          <w:rFonts w:ascii="Times New Roman" w:hAnsi="Times New Roman"/>
        </w:rPr>
        <w:t>Navrhovaný nárok predsedu ÚDZS na mesačnú paušálnu náhradu na pokrytie nevyhnutných výdavkov za služby a iných osobných výdavkov súvisiacich s vykonávaním funkcie v sume maximálne 50 % platu, bude mať negatívny dopad na rozpočet ÚDZS.</w:t>
      </w:r>
    </w:p>
    <w:p w:rsidR="008E5CFB" w:rsidRPr="008723F7" w:rsidRDefault="008E5CFB" w:rsidP="001678B8">
      <w:pPr>
        <w:tabs>
          <w:tab w:val="num" w:pos="1080"/>
        </w:tabs>
        <w:spacing w:after="0" w:line="240" w:lineRule="auto"/>
        <w:jc w:val="both"/>
        <w:rPr>
          <w:rFonts w:ascii="Times New Roman" w:eastAsia="Times New Roman" w:hAnsi="Times New Roman"/>
          <w:bCs/>
          <w:lang w:eastAsia="sk-SK"/>
        </w:rPr>
      </w:pPr>
    </w:p>
    <w:p w:rsidR="008E5CFB" w:rsidRPr="008723F7" w:rsidRDefault="008E5CFB" w:rsidP="001678B8">
      <w:pPr>
        <w:pStyle w:val="Odsekzoznamu"/>
        <w:numPr>
          <w:ilvl w:val="0"/>
          <w:numId w:val="14"/>
        </w:numPr>
        <w:contextualSpacing/>
        <w:jc w:val="both"/>
        <w:rPr>
          <w:b/>
          <w:sz w:val="22"/>
          <w:szCs w:val="22"/>
        </w:rPr>
      </w:pPr>
      <w:r w:rsidRPr="008723F7">
        <w:rPr>
          <w:b/>
          <w:sz w:val="22"/>
          <w:szCs w:val="22"/>
        </w:rPr>
        <w:t>Zvyšovanie pokút uložených zdravotných poisťovniam</w:t>
      </w:r>
    </w:p>
    <w:p w:rsidR="008E5CFB" w:rsidRPr="008723F7" w:rsidRDefault="008E5CFB" w:rsidP="001678B8">
      <w:pPr>
        <w:tabs>
          <w:tab w:val="num" w:pos="1080"/>
        </w:tabs>
        <w:spacing w:after="0" w:line="240" w:lineRule="auto"/>
        <w:jc w:val="both"/>
        <w:rPr>
          <w:rFonts w:ascii="Times New Roman" w:eastAsia="Times New Roman" w:hAnsi="Times New Roman"/>
          <w:b/>
          <w:bCs/>
          <w:lang w:eastAsia="sk-SK"/>
        </w:rPr>
      </w:pP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Zvyšovanie pokút by nemalo mať merateľný dopad na príjmy rozpočtu, nakoľko ani v súčasnosti nie sú ukladané pokuty v najvyššej výške, ktorú umožňuje zákon. Zvýšenie hornej sadzby pri opakovanom porušení má zabezpečiť preventívnu funkciu.</w:t>
      </w:r>
    </w:p>
    <w:p w:rsidR="008E5CFB" w:rsidRPr="008723F7" w:rsidRDefault="008E5CFB" w:rsidP="001678B8">
      <w:pPr>
        <w:tabs>
          <w:tab w:val="num" w:pos="1080"/>
        </w:tabs>
        <w:spacing w:after="0" w:line="240" w:lineRule="auto"/>
        <w:jc w:val="both"/>
        <w:rPr>
          <w:rFonts w:ascii="Times New Roman" w:hAnsi="Times New Roman"/>
        </w:rPr>
      </w:pPr>
    </w:p>
    <w:p w:rsidR="008E5CFB" w:rsidRPr="008723F7" w:rsidRDefault="008E5CFB" w:rsidP="001678B8">
      <w:pPr>
        <w:pStyle w:val="Odsekzoznamu"/>
        <w:numPr>
          <w:ilvl w:val="0"/>
          <w:numId w:val="14"/>
        </w:numPr>
        <w:contextualSpacing/>
        <w:jc w:val="both"/>
        <w:rPr>
          <w:b/>
          <w:sz w:val="22"/>
          <w:szCs w:val="22"/>
        </w:rPr>
      </w:pPr>
      <w:r w:rsidRPr="008723F7">
        <w:rPr>
          <w:b/>
          <w:sz w:val="22"/>
          <w:szCs w:val="22"/>
        </w:rPr>
        <w:t>Zvýšenie percenta príspevkov, odvádzaných zdravotnými poisťovňami</w:t>
      </w:r>
    </w:p>
    <w:p w:rsidR="008E5CFB" w:rsidRPr="008723F7" w:rsidRDefault="008E5CFB" w:rsidP="001678B8">
      <w:pPr>
        <w:tabs>
          <w:tab w:val="num" w:pos="1080"/>
        </w:tabs>
        <w:spacing w:after="0" w:line="240" w:lineRule="auto"/>
        <w:jc w:val="both"/>
        <w:rPr>
          <w:rFonts w:ascii="Times New Roman" w:eastAsia="Times New Roman" w:hAnsi="Times New Roman"/>
          <w:b/>
          <w:bCs/>
          <w:lang w:eastAsia="sk-SK"/>
        </w:rPr>
      </w:pPr>
    </w:p>
    <w:p w:rsidR="00E4351A" w:rsidRPr="008723F7" w:rsidRDefault="00E4351A" w:rsidP="001678B8">
      <w:pPr>
        <w:tabs>
          <w:tab w:val="num" w:pos="1080"/>
        </w:tabs>
        <w:spacing w:after="0" w:line="240" w:lineRule="auto"/>
        <w:jc w:val="both"/>
        <w:rPr>
          <w:rFonts w:ascii="Times New Roman" w:hAnsi="Times New Roman"/>
          <w:u w:val="single"/>
        </w:rPr>
      </w:pPr>
    </w:p>
    <w:tbl>
      <w:tblPr>
        <w:tblW w:w="9984" w:type="dxa"/>
        <w:tblCellMar>
          <w:left w:w="70" w:type="dxa"/>
          <w:right w:w="70" w:type="dxa"/>
        </w:tblCellMar>
        <w:tblLook w:val="04A0" w:firstRow="1" w:lastRow="0" w:firstColumn="1" w:lastColumn="0" w:noHBand="0" w:noVBand="1"/>
      </w:tblPr>
      <w:tblGrid>
        <w:gridCol w:w="3686"/>
        <w:gridCol w:w="1276"/>
        <w:gridCol w:w="1275"/>
        <w:gridCol w:w="1276"/>
        <w:gridCol w:w="1276"/>
        <w:gridCol w:w="1195"/>
      </w:tblGrid>
      <w:tr w:rsidR="008723F7" w:rsidRPr="008723F7" w:rsidTr="008723F7">
        <w:trPr>
          <w:trHeight w:val="297"/>
        </w:trPr>
        <w:tc>
          <w:tcPr>
            <w:tcW w:w="3686" w:type="dxa"/>
            <w:tcBorders>
              <w:top w:val="nil"/>
              <w:left w:val="nil"/>
              <w:bottom w:val="nil"/>
              <w:right w:val="nil"/>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Príspevky na činnosť OS ZZS, NCZI  a UDZS, NIHO</w:t>
            </w:r>
          </w:p>
        </w:tc>
        <w:tc>
          <w:tcPr>
            <w:tcW w:w="1276" w:type="dxa"/>
            <w:tcBorders>
              <w:top w:val="nil"/>
              <w:left w:val="nil"/>
              <w:bottom w:val="nil"/>
              <w:right w:val="nil"/>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b/>
                <w:bCs/>
                <w:color w:val="FF0000"/>
                <w:sz w:val="18"/>
                <w:szCs w:val="18"/>
                <w:lang w:eastAsia="sk-SK"/>
              </w:rPr>
            </w:pPr>
            <w:r w:rsidRPr="00E4351A">
              <w:rPr>
                <w:rFonts w:ascii="Times New Roman" w:eastAsia="Times New Roman" w:hAnsi="Times New Roman"/>
                <w:b/>
                <w:bCs/>
                <w:color w:val="FF0000"/>
                <w:sz w:val="18"/>
                <w:szCs w:val="18"/>
                <w:lang w:eastAsia="sk-SK"/>
              </w:rPr>
              <w:t xml:space="preserve">skutočnosť </w:t>
            </w:r>
            <w:proofErr w:type="spellStart"/>
            <w:r w:rsidRPr="00E4351A">
              <w:rPr>
                <w:rFonts w:ascii="Times New Roman" w:eastAsia="Times New Roman" w:hAnsi="Times New Roman"/>
                <w:b/>
                <w:bCs/>
                <w:color w:val="FF0000"/>
                <w:sz w:val="18"/>
                <w:szCs w:val="18"/>
                <w:lang w:eastAsia="sk-SK"/>
              </w:rPr>
              <w:t>výk</w:t>
            </w:r>
            <w:proofErr w:type="spellEnd"/>
            <w:r w:rsidRPr="00E4351A">
              <w:rPr>
                <w:rFonts w:ascii="Times New Roman" w:eastAsia="Times New Roman" w:hAnsi="Times New Roman"/>
                <w:b/>
                <w:bCs/>
                <w:color w:val="FF0000"/>
                <w:sz w:val="18"/>
                <w:szCs w:val="18"/>
                <w:lang w:eastAsia="sk-SK"/>
              </w:rPr>
              <w:t>.</w:t>
            </w:r>
          </w:p>
        </w:tc>
        <w:tc>
          <w:tcPr>
            <w:tcW w:w="2551" w:type="dxa"/>
            <w:gridSpan w:val="2"/>
            <w:tcBorders>
              <w:top w:val="nil"/>
              <w:left w:val="nil"/>
              <w:bottom w:val="nil"/>
              <w:right w:val="nil"/>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b/>
                <w:bCs/>
                <w:color w:val="4F6228"/>
                <w:sz w:val="18"/>
                <w:szCs w:val="18"/>
                <w:lang w:eastAsia="sk-SK"/>
              </w:rPr>
            </w:pPr>
            <w:r w:rsidRPr="00E4351A">
              <w:rPr>
                <w:rFonts w:ascii="Times New Roman" w:eastAsia="Times New Roman" w:hAnsi="Times New Roman"/>
                <w:b/>
                <w:bCs/>
                <w:color w:val="4F6228"/>
                <w:sz w:val="18"/>
                <w:szCs w:val="18"/>
                <w:lang w:eastAsia="sk-SK"/>
              </w:rPr>
              <w:t xml:space="preserve">predd.na </w:t>
            </w:r>
            <w:proofErr w:type="spellStart"/>
            <w:r w:rsidRPr="00E4351A">
              <w:rPr>
                <w:rFonts w:ascii="Times New Roman" w:eastAsia="Times New Roman" w:hAnsi="Times New Roman"/>
                <w:b/>
                <w:bCs/>
                <w:color w:val="4F6228"/>
                <w:sz w:val="18"/>
                <w:szCs w:val="18"/>
                <w:lang w:eastAsia="sk-SK"/>
              </w:rPr>
              <w:t>bud</w:t>
            </w:r>
            <w:proofErr w:type="spellEnd"/>
            <w:r w:rsidRPr="00E4351A">
              <w:rPr>
                <w:rFonts w:ascii="Times New Roman" w:eastAsia="Times New Roman" w:hAnsi="Times New Roman"/>
                <w:b/>
                <w:bCs/>
                <w:color w:val="4F6228"/>
                <w:sz w:val="18"/>
                <w:szCs w:val="18"/>
                <w:lang w:eastAsia="sk-SK"/>
              </w:rPr>
              <w:t>. rok</w:t>
            </w:r>
          </w:p>
        </w:tc>
        <w:tc>
          <w:tcPr>
            <w:tcW w:w="1276" w:type="dxa"/>
            <w:tcBorders>
              <w:top w:val="nil"/>
              <w:left w:val="nil"/>
              <w:bottom w:val="nil"/>
              <w:right w:val="nil"/>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v eur</w:t>
            </w:r>
          </w:p>
        </w:tc>
        <w:tc>
          <w:tcPr>
            <w:tcW w:w="1195" w:type="dxa"/>
            <w:tcBorders>
              <w:top w:val="nil"/>
              <w:left w:val="nil"/>
              <w:bottom w:val="nil"/>
              <w:right w:val="nil"/>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b/>
                <w:bCs/>
                <w:color w:val="4F6228"/>
                <w:sz w:val="18"/>
                <w:szCs w:val="18"/>
                <w:lang w:eastAsia="sk-SK"/>
              </w:rPr>
            </w:pPr>
            <w:r w:rsidRPr="00E4351A">
              <w:rPr>
                <w:rFonts w:ascii="Times New Roman" w:eastAsia="Times New Roman" w:hAnsi="Times New Roman"/>
                <w:b/>
                <w:bCs/>
                <w:color w:val="4F6228"/>
                <w:sz w:val="18"/>
                <w:szCs w:val="18"/>
                <w:lang w:eastAsia="sk-SK"/>
              </w:rPr>
              <w:t> </w:t>
            </w:r>
          </w:p>
        </w:tc>
      </w:tr>
      <w:tr w:rsidR="008723F7" w:rsidRPr="008723F7" w:rsidTr="008723F7">
        <w:trPr>
          <w:trHeight w:val="297"/>
        </w:trPr>
        <w:tc>
          <w:tcPr>
            <w:tcW w:w="3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Základ poistného z roku</w:t>
            </w:r>
          </w:p>
        </w:tc>
        <w:tc>
          <w:tcPr>
            <w:tcW w:w="1276" w:type="dxa"/>
            <w:tcBorders>
              <w:top w:val="single" w:sz="4" w:space="0" w:color="auto"/>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center"/>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S2021</w:t>
            </w:r>
          </w:p>
        </w:tc>
        <w:tc>
          <w:tcPr>
            <w:tcW w:w="1275" w:type="dxa"/>
            <w:tcBorders>
              <w:top w:val="single" w:sz="4" w:space="0" w:color="auto"/>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center"/>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2022 OS</w:t>
            </w:r>
          </w:p>
        </w:tc>
        <w:tc>
          <w:tcPr>
            <w:tcW w:w="1276" w:type="dxa"/>
            <w:tcBorders>
              <w:top w:val="single" w:sz="4" w:space="0" w:color="auto"/>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center"/>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2023</w:t>
            </w:r>
          </w:p>
        </w:tc>
        <w:tc>
          <w:tcPr>
            <w:tcW w:w="1276" w:type="dxa"/>
            <w:tcBorders>
              <w:top w:val="single" w:sz="4" w:space="0" w:color="auto"/>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center"/>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2024</w:t>
            </w:r>
          </w:p>
        </w:tc>
        <w:tc>
          <w:tcPr>
            <w:tcW w:w="1195" w:type="dxa"/>
            <w:tcBorders>
              <w:top w:val="single" w:sz="4" w:space="0" w:color="auto"/>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center"/>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2025</w:t>
            </w:r>
          </w:p>
        </w:tc>
      </w:tr>
      <w:tr w:rsidR="008723F7" w:rsidRPr="008723F7" w:rsidTr="008723F7">
        <w:trPr>
          <w:trHeight w:val="297"/>
        </w:trPr>
        <w:tc>
          <w:tcPr>
            <w:tcW w:w="3686" w:type="dxa"/>
            <w:tcBorders>
              <w:top w:val="nil"/>
              <w:left w:val="single" w:sz="4" w:space="0" w:color="auto"/>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 xml:space="preserve">výber poistného od EAO vrátane RZP </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4 333 935 924</w:t>
            </w:r>
          </w:p>
        </w:tc>
        <w:tc>
          <w:tcPr>
            <w:tcW w:w="127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4 729 014 000</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5 246 560 000</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5 646 115 000</w:t>
            </w:r>
          </w:p>
        </w:tc>
        <w:tc>
          <w:tcPr>
            <w:tcW w:w="119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5 922 809 000</w:t>
            </w:r>
          </w:p>
        </w:tc>
      </w:tr>
      <w:tr w:rsidR="008723F7" w:rsidRPr="008723F7" w:rsidTr="008723F7">
        <w:trPr>
          <w:trHeight w:val="297"/>
        </w:trPr>
        <w:tc>
          <w:tcPr>
            <w:tcW w:w="3686" w:type="dxa"/>
            <w:tcBorders>
              <w:top w:val="nil"/>
              <w:left w:val="single" w:sz="4" w:space="0" w:color="auto"/>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color w:val="FF0000"/>
                <w:sz w:val="18"/>
                <w:szCs w:val="18"/>
                <w:lang w:eastAsia="sk-SK"/>
              </w:rPr>
            </w:pPr>
            <w:r w:rsidRPr="00E4351A">
              <w:rPr>
                <w:rFonts w:ascii="Times New Roman" w:eastAsia="Times New Roman" w:hAnsi="Times New Roman"/>
                <w:color w:val="FF0000"/>
                <w:sz w:val="18"/>
                <w:szCs w:val="18"/>
                <w:lang w:eastAsia="sk-SK"/>
              </w:rPr>
              <w:t xml:space="preserve"> - platba štátu vrátane RZP    fix od r. 2020</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1 292 124 120</w:t>
            </w:r>
          </w:p>
        </w:tc>
        <w:tc>
          <w:tcPr>
            <w:tcW w:w="127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color w:val="FF0000"/>
                <w:sz w:val="18"/>
                <w:szCs w:val="18"/>
                <w:lang w:eastAsia="sk-SK"/>
              </w:rPr>
            </w:pPr>
            <w:r w:rsidRPr="00E4351A">
              <w:rPr>
                <w:rFonts w:ascii="Times New Roman" w:eastAsia="Times New Roman" w:hAnsi="Times New Roman"/>
                <w:color w:val="FF0000"/>
                <w:sz w:val="18"/>
                <w:szCs w:val="18"/>
                <w:lang w:eastAsia="sk-SK"/>
              </w:rPr>
              <w:t>1 202 969 007</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color w:val="FF0000"/>
                <w:sz w:val="18"/>
                <w:szCs w:val="18"/>
                <w:lang w:eastAsia="sk-SK"/>
              </w:rPr>
            </w:pPr>
            <w:r w:rsidRPr="00E4351A">
              <w:rPr>
                <w:rFonts w:ascii="Times New Roman" w:eastAsia="Times New Roman" w:hAnsi="Times New Roman"/>
                <w:color w:val="FF0000"/>
                <w:sz w:val="18"/>
                <w:szCs w:val="18"/>
                <w:lang w:eastAsia="sk-SK"/>
              </w:rPr>
              <w:t>1 097 941 750</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color w:val="FF0000"/>
                <w:sz w:val="18"/>
                <w:szCs w:val="18"/>
                <w:lang w:eastAsia="sk-SK"/>
              </w:rPr>
            </w:pPr>
            <w:r w:rsidRPr="00E4351A">
              <w:rPr>
                <w:rFonts w:ascii="Times New Roman" w:eastAsia="Times New Roman" w:hAnsi="Times New Roman"/>
                <w:color w:val="FF0000"/>
                <w:sz w:val="18"/>
                <w:szCs w:val="18"/>
                <w:lang w:eastAsia="sk-SK"/>
              </w:rPr>
              <w:t>985 604 223</w:t>
            </w:r>
          </w:p>
        </w:tc>
        <w:tc>
          <w:tcPr>
            <w:tcW w:w="119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color w:val="FF0000"/>
                <w:sz w:val="18"/>
                <w:szCs w:val="18"/>
                <w:lang w:eastAsia="sk-SK"/>
              </w:rPr>
            </w:pPr>
            <w:r w:rsidRPr="00E4351A">
              <w:rPr>
                <w:rFonts w:ascii="Times New Roman" w:eastAsia="Times New Roman" w:hAnsi="Times New Roman"/>
                <w:color w:val="FF0000"/>
                <w:sz w:val="18"/>
                <w:szCs w:val="18"/>
                <w:lang w:eastAsia="sk-SK"/>
              </w:rPr>
              <w:t>1 015 137 368</w:t>
            </w:r>
          </w:p>
        </w:tc>
      </w:tr>
      <w:tr w:rsidR="008723F7" w:rsidRPr="008723F7" w:rsidTr="008723F7">
        <w:trPr>
          <w:trHeight w:val="297"/>
        </w:trPr>
        <w:tc>
          <w:tcPr>
            <w:tcW w:w="3686" w:type="dxa"/>
            <w:tcBorders>
              <w:top w:val="nil"/>
              <w:left w:val="single" w:sz="4" w:space="0" w:color="auto"/>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i/>
                <w:iCs/>
                <w:sz w:val="18"/>
                <w:szCs w:val="18"/>
                <w:lang w:eastAsia="sk-SK"/>
              </w:rPr>
            </w:pPr>
            <w:r w:rsidRPr="00E4351A">
              <w:rPr>
                <w:rFonts w:ascii="Times New Roman" w:eastAsia="Times New Roman" w:hAnsi="Times New Roman"/>
                <w:i/>
                <w:iCs/>
                <w:sz w:val="18"/>
                <w:szCs w:val="18"/>
                <w:lang w:eastAsia="sk-SK"/>
              </w:rPr>
              <w:t xml:space="preserve">v tom: ročné zúčtovanie štát </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1 698 267</w:t>
            </w:r>
          </w:p>
        </w:tc>
        <w:tc>
          <w:tcPr>
            <w:tcW w:w="127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i/>
                <w:iCs/>
                <w:sz w:val="18"/>
                <w:szCs w:val="18"/>
                <w:lang w:eastAsia="sk-SK"/>
              </w:rPr>
            </w:pPr>
            <w:r w:rsidRPr="00E4351A">
              <w:rPr>
                <w:rFonts w:ascii="Times New Roman" w:eastAsia="Times New Roman" w:hAnsi="Times New Roman"/>
                <w:i/>
                <w:iCs/>
                <w:sz w:val="18"/>
                <w:szCs w:val="18"/>
                <w:lang w:eastAsia="sk-SK"/>
              </w:rPr>
              <w:t>0</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i/>
                <w:iCs/>
                <w:sz w:val="18"/>
                <w:szCs w:val="18"/>
                <w:lang w:eastAsia="sk-SK"/>
              </w:rPr>
            </w:pPr>
            <w:r w:rsidRPr="00E4351A">
              <w:rPr>
                <w:rFonts w:ascii="Times New Roman" w:eastAsia="Times New Roman" w:hAnsi="Times New Roman"/>
                <w:i/>
                <w:iCs/>
                <w:sz w:val="18"/>
                <w:szCs w:val="18"/>
                <w:lang w:eastAsia="sk-SK"/>
              </w:rPr>
              <w:t>0</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i/>
                <w:iCs/>
                <w:sz w:val="18"/>
                <w:szCs w:val="18"/>
                <w:lang w:eastAsia="sk-SK"/>
              </w:rPr>
            </w:pPr>
            <w:r w:rsidRPr="00E4351A">
              <w:rPr>
                <w:rFonts w:ascii="Times New Roman" w:eastAsia="Times New Roman" w:hAnsi="Times New Roman"/>
                <w:i/>
                <w:iCs/>
                <w:sz w:val="18"/>
                <w:szCs w:val="18"/>
                <w:lang w:eastAsia="sk-SK"/>
              </w:rPr>
              <w:t>0</w:t>
            </w:r>
          </w:p>
        </w:tc>
        <w:tc>
          <w:tcPr>
            <w:tcW w:w="119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i/>
                <w:iCs/>
                <w:sz w:val="18"/>
                <w:szCs w:val="18"/>
                <w:lang w:eastAsia="sk-SK"/>
              </w:rPr>
            </w:pPr>
            <w:r w:rsidRPr="00E4351A">
              <w:rPr>
                <w:rFonts w:ascii="Times New Roman" w:eastAsia="Times New Roman" w:hAnsi="Times New Roman"/>
                <w:i/>
                <w:iCs/>
                <w:sz w:val="18"/>
                <w:szCs w:val="18"/>
                <w:lang w:eastAsia="sk-SK"/>
              </w:rPr>
              <w:t>0</w:t>
            </w:r>
          </w:p>
        </w:tc>
      </w:tr>
      <w:tr w:rsidR="008723F7" w:rsidRPr="008723F7" w:rsidTr="008723F7">
        <w:trPr>
          <w:trHeight w:val="297"/>
        </w:trPr>
        <w:tc>
          <w:tcPr>
            <w:tcW w:w="3686" w:type="dxa"/>
            <w:tcBorders>
              <w:top w:val="nil"/>
              <w:left w:val="single" w:sz="4" w:space="0" w:color="auto"/>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 xml:space="preserve">VZ, z toho: </w:t>
            </w:r>
            <w:proofErr w:type="spellStart"/>
            <w:r w:rsidRPr="00E4351A">
              <w:rPr>
                <w:rFonts w:ascii="Times New Roman" w:eastAsia="Times New Roman" w:hAnsi="Times New Roman"/>
                <w:b/>
                <w:bCs/>
                <w:sz w:val="18"/>
                <w:szCs w:val="18"/>
                <w:lang w:eastAsia="sk-SK"/>
              </w:rPr>
              <w:t>vymeriav.základ</w:t>
            </w:r>
            <w:proofErr w:type="spellEnd"/>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5 344 757 042</w:t>
            </w:r>
          </w:p>
        </w:tc>
        <w:tc>
          <w:tcPr>
            <w:tcW w:w="127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5 635 383 857</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6 027 276 663</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6 300 133 262</w:t>
            </w:r>
          </w:p>
        </w:tc>
        <w:tc>
          <w:tcPr>
            <w:tcW w:w="119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b/>
                <w:bCs/>
                <w:sz w:val="18"/>
                <w:szCs w:val="18"/>
                <w:lang w:eastAsia="sk-SK"/>
              </w:rPr>
            </w:pPr>
            <w:r w:rsidRPr="00E4351A">
              <w:rPr>
                <w:rFonts w:ascii="Times New Roman" w:eastAsia="Times New Roman" w:hAnsi="Times New Roman"/>
                <w:b/>
                <w:bCs/>
                <w:sz w:val="18"/>
                <w:szCs w:val="18"/>
                <w:lang w:eastAsia="sk-SK"/>
              </w:rPr>
              <w:t>6 591 049 050</w:t>
            </w:r>
          </w:p>
        </w:tc>
      </w:tr>
      <w:tr w:rsidR="008723F7" w:rsidRPr="008723F7" w:rsidTr="008723F7">
        <w:trPr>
          <w:trHeight w:val="297"/>
        </w:trPr>
        <w:tc>
          <w:tcPr>
            <w:tcW w:w="3686" w:type="dxa"/>
            <w:tcBorders>
              <w:top w:val="nil"/>
              <w:left w:val="single" w:sz="4" w:space="0" w:color="auto"/>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 xml:space="preserve">             OS ZZS :  0,35%   (zákon č. 581/2004,§8a)</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18 706 650</w:t>
            </w:r>
          </w:p>
        </w:tc>
        <w:tc>
          <w:tcPr>
            <w:tcW w:w="127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19 723 843</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21 095 468</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22 050 466</w:t>
            </w:r>
          </w:p>
        </w:tc>
        <w:tc>
          <w:tcPr>
            <w:tcW w:w="119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23 068 672</w:t>
            </w:r>
          </w:p>
        </w:tc>
      </w:tr>
      <w:tr w:rsidR="008723F7" w:rsidRPr="008723F7" w:rsidTr="008723F7">
        <w:trPr>
          <w:trHeight w:val="297"/>
        </w:trPr>
        <w:tc>
          <w:tcPr>
            <w:tcW w:w="3686" w:type="dxa"/>
            <w:tcBorders>
              <w:top w:val="nil"/>
              <w:left w:val="single" w:sz="4" w:space="0" w:color="auto"/>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 xml:space="preserve">             NCZI:  0,41% (581/2004,§8b)</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21 913 504</w:t>
            </w:r>
          </w:p>
        </w:tc>
        <w:tc>
          <w:tcPr>
            <w:tcW w:w="127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23 105 074</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24 711 834</w:t>
            </w:r>
          </w:p>
        </w:tc>
        <w:tc>
          <w:tcPr>
            <w:tcW w:w="1276"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25 830 546</w:t>
            </w:r>
          </w:p>
        </w:tc>
        <w:tc>
          <w:tcPr>
            <w:tcW w:w="1195" w:type="dxa"/>
            <w:tcBorders>
              <w:top w:val="nil"/>
              <w:left w:val="nil"/>
              <w:bottom w:val="single" w:sz="4" w:space="0" w:color="auto"/>
              <w:right w:val="single" w:sz="4" w:space="0" w:color="auto"/>
            </w:tcBorders>
            <w:shd w:val="clear" w:color="000000" w:fill="E6B8B7"/>
            <w:noWrap/>
            <w:vAlign w:val="bottom"/>
            <w:hideMark/>
          </w:tcPr>
          <w:p w:rsidR="00E4351A" w:rsidRPr="00E4351A" w:rsidRDefault="00E4351A" w:rsidP="001678B8">
            <w:pPr>
              <w:spacing w:after="0" w:line="240" w:lineRule="auto"/>
              <w:jc w:val="right"/>
              <w:rPr>
                <w:rFonts w:ascii="Times New Roman" w:eastAsia="Times New Roman" w:hAnsi="Times New Roman"/>
                <w:sz w:val="18"/>
                <w:szCs w:val="18"/>
                <w:lang w:eastAsia="sk-SK"/>
              </w:rPr>
            </w:pPr>
            <w:r w:rsidRPr="00E4351A">
              <w:rPr>
                <w:rFonts w:ascii="Times New Roman" w:eastAsia="Times New Roman" w:hAnsi="Times New Roman"/>
                <w:sz w:val="18"/>
                <w:szCs w:val="18"/>
                <w:lang w:eastAsia="sk-SK"/>
              </w:rPr>
              <w:t>27 023 301</w:t>
            </w:r>
          </w:p>
        </w:tc>
      </w:tr>
    </w:tbl>
    <w:p w:rsidR="00E4351A" w:rsidRPr="008723F7" w:rsidRDefault="00E4351A" w:rsidP="001678B8">
      <w:pPr>
        <w:tabs>
          <w:tab w:val="num" w:pos="1080"/>
        </w:tabs>
        <w:spacing w:after="0" w:line="240" w:lineRule="auto"/>
        <w:jc w:val="both"/>
        <w:rPr>
          <w:rFonts w:ascii="Times New Roman" w:hAnsi="Times New Roman"/>
          <w:u w:val="single"/>
        </w:rPr>
      </w:pPr>
    </w:p>
    <w:p w:rsidR="008E5CFB" w:rsidRPr="008723F7" w:rsidRDefault="008E5CFB" w:rsidP="001678B8">
      <w:pPr>
        <w:tabs>
          <w:tab w:val="num" w:pos="1080"/>
        </w:tabs>
        <w:spacing w:after="0" w:line="240" w:lineRule="auto"/>
        <w:jc w:val="both"/>
        <w:rPr>
          <w:rFonts w:ascii="Times New Roman" w:hAnsi="Times New Roman"/>
          <w:u w:val="single"/>
        </w:rPr>
      </w:pPr>
      <w:r w:rsidRPr="008723F7">
        <w:rPr>
          <w:rFonts w:ascii="Times New Roman" w:hAnsi="Times New Roman"/>
          <w:u w:val="single"/>
        </w:rPr>
        <w:t>Príspevok  na činnosti operačných stredísk tiesňového volania záchrannej zdravotnej služby</w:t>
      </w:r>
    </w:p>
    <w:p w:rsidR="008E5CFB" w:rsidRPr="008723F7" w:rsidRDefault="008E5CFB" w:rsidP="001678B8">
      <w:pPr>
        <w:tabs>
          <w:tab w:val="num" w:pos="1080"/>
        </w:tabs>
        <w:spacing w:after="0" w:line="240" w:lineRule="auto"/>
        <w:jc w:val="both"/>
        <w:rPr>
          <w:rFonts w:ascii="Times New Roman" w:hAnsi="Times New Roman"/>
          <w:u w:val="single"/>
        </w:rPr>
      </w:pPr>
    </w:p>
    <w:tbl>
      <w:tblPr>
        <w:tblW w:w="8578" w:type="dxa"/>
        <w:tblCellMar>
          <w:left w:w="70" w:type="dxa"/>
          <w:right w:w="70" w:type="dxa"/>
        </w:tblCellMar>
        <w:tblLook w:val="04A0" w:firstRow="1" w:lastRow="0" w:firstColumn="1" w:lastColumn="0" w:noHBand="0" w:noVBand="1"/>
      </w:tblPr>
      <w:tblGrid>
        <w:gridCol w:w="2400"/>
        <w:gridCol w:w="1530"/>
        <w:gridCol w:w="1542"/>
        <w:gridCol w:w="1576"/>
        <w:gridCol w:w="1530"/>
      </w:tblGrid>
      <w:tr w:rsidR="008E5CFB" w:rsidRPr="008723F7" w:rsidTr="00E4351A">
        <w:trPr>
          <w:trHeight w:val="300"/>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w:t>
            </w:r>
            <w:r w:rsidR="00E4351A" w:rsidRPr="008723F7">
              <w:rPr>
                <w:rFonts w:ascii="Times New Roman" w:eastAsia="Times New Roman" w:hAnsi="Times New Roman"/>
                <w:b/>
                <w:bCs/>
                <w:color w:val="000000"/>
                <w:lang w:eastAsia="sk-SK"/>
              </w:rPr>
              <w:t>2</w:t>
            </w:r>
          </w:p>
        </w:tc>
        <w:tc>
          <w:tcPr>
            <w:tcW w:w="1542"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w:t>
            </w:r>
            <w:r w:rsidR="00E4351A" w:rsidRPr="008723F7">
              <w:rPr>
                <w:rFonts w:ascii="Times New Roman" w:eastAsia="Times New Roman" w:hAnsi="Times New Roman"/>
                <w:b/>
                <w:bCs/>
                <w:color w:val="000000"/>
                <w:lang w:eastAsia="sk-SK"/>
              </w:rPr>
              <w:t>3</w:t>
            </w:r>
          </w:p>
        </w:tc>
        <w:tc>
          <w:tcPr>
            <w:tcW w:w="1576"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w:t>
            </w:r>
            <w:r w:rsidR="00E4351A" w:rsidRPr="008723F7">
              <w:rPr>
                <w:rFonts w:ascii="Times New Roman" w:eastAsia="Times New Roman" w:hAnsi="Times New Roman"/>
                <w:b/>
                <w:bCs/>
                <w:color w:val="000000"/>
                <w:lang w:eastAsia="sk-SK"/>
              </w:rPr>
              <w:t>4</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w:t>
            </w:r>
            <w:r w:rsidR="00E4351A" w:rsidRPr="008723F7">
              <w:rPr>
                <w:rFonts w:ascii="Times New Roman" w:eastAsia="Times New Roman" w:hAnsi="Times New Roman"/>
                <w:b/>
                <w:bCs/>
                <w:color w:val="000000"/>
                <w:lang w:eastAsia="sk-SK"/>
              </w:rPr>
              <w:t>5</w:t>
            </w:r>
          </w:p>
        </w:tc>
      </w:tr>
      <w:tr w:rsidR="00E4351A" w:rsidRPr="008723F7" w:rsidTr="007B66AE">
        <w:trPr>
          <w:trHeight w:val="33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E4351A" w:rsidRPr="008723F7" w:rsidRDefault="00E4351A"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základ</w:t>
            </w:r>
          </w:p>
        </w:tc>
        <w:tc>
          <w:tcPr>
            <w:tcW w:w="1530"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5 635 383 857</w:t>
            </w:r>
          </w:p>
        </w:tc>
        <w:tc>
          <w:tcPr>
            <w:tcW w:w="1542"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6 027 276 663</w:t>
            </w:r>
          </w:p>
        </w:tc>
        <w:tc>
          <w:tcPr>
            <w:tcW w:w="1576"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6 300 133 262</w:t>
            </w:r>
          </w:p>
        </w:tc>
        <w:tc>
          <w:tcPr>
            <w:tcW w:w="1530" w:type="dxa"/>
            <w:tcBorders>
              <w:top w:val="nil"/>
              <w:left w:val="nil"/>
              <w:bottom w:val="single" w:sz="4" w:space="0" w:color="auto"/>
              <w:right w:val="single" w:sz="8"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6 591 049 050</w:t>
            </w:r>
          </w:p>
        </w:tc>
      </w:tr>
      <w:tr w:rsidR="00E4351A" w:rsidRPr="008723F7" w:rsidTr="007B66AE">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E4351A" w:rsidRPr="008723F7" w:rsidRDefault="00E4351A"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výška príspevku pri sadzbe 0,35%</w:t>
            </w:r>
          </w:p>
        </w:tc>
        <w:tc>
          <w:tcPr>
            <w:tcW w:w="1530"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19 723 843</w:t>
            </w:r>
          </w:p>
        </w:tc>
        <w:tc>
          <w:tcPr>
            <w:tcW w:w="1542"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21 095 468</w:t>
            </w:r>
          </w:p>
        </w:tc>
        <w:tc>
          <w:tcPr>
            <w:tcW w:w="1576"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22 050 466</w:t>
            </w:r>
          </w:p>
        </w:tc>
        <w:tc>
          <w:tcPr>
            <w:tcW w:w="1530" w:type="dxa"/>
            <w:tcBorders>
              <w:top w:val="nil"/>
              <w:left w:val="nil"/>
              <w:bottom w:val="single" w:sz="4" w:space="0" w:color="auto"/>
              <w:right w:val="single" w:sz="8"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23 068 672</w:t>
            </w:r>
          </w:p>
        </w:tc>
      </w:tr>
      <w:tr w:rsidR="00E4351A" w:rsidRPr="008723F7" w:rsidTr="007B66AE">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E4351A" w:rsidRPr="008723F7" w:rsidRDefault="00E4351A"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výška príspevku pri sadzbe 0,45%</w:t>
            </w:r>
          </w:p>
        </w:tc>
        <w:tc>
          <w:tcPr>
            <w:tcW w:w="1530" w:type="dxa"/>
            <w:tcBorders>
              <w:top w:val="nil"/>
              <w:left w:val="nil"/>
              <w:bottom w:val="single" w:sz="4" w:space="0" w:color="auto"/>
              <w:right w:val="single" w:sz="4" w:space="0" w:color="auto"/>
            </w:tcBorders>
            <w:shd w:val="clear" w:color="000000" w:fill="FFFFFF"/>
            <w:noWrap/>
            <w:hideMark/>
          </w:tcPr>
          <w:p w:rsidR="00E4351A" w:rsidRPr="008723F7" w:rsidRDefault="00E4351A" w:rsidP="001678B8">
            <w:pPr>
              <w:spacing w:after="0" w:line="240" w:lineRule="auto"/>
              <w:jc w:val="right"/>
              <w:rPr>
                <w:rFonts w:ascii="Times New Roman" w:eastAsia="Times New Roman" w:hAnsi="Times New Roman"/>
                <w:lang w:eastAsia="sk-SK"/>
              </w:rPr>
            </w:pPr>
            <w:r w:rsidRPr="008723F7">
              <w:rPr>
                <w:rFonts w:ascii="Times New Roman" w:hAnsi="Times New Roman"/>
              </w:rPr>
              <w:t>25359227,35</w:t>
            </w:r>
          </w:p>
        </w:tc>
        <w:tc>
          <w:tcPr>
            <w:tcW w:w="1542" w:type="dxa"/>
            <w:tcBorders>
              <w:top w:val="nil"/>
              <w:left w:val="nil"/>
              <w:bottom w:val="single" w:sz="4" w:space="0" w:color="auto"/>
              <w:right w:val="single" w:sz="4" w:space="0" w:color="auto"/>
            </w:tcBorders>
            <w:shd w:val="clear" w:color="000000" w:fill="FFFFFF"/>
            <w:noWrap/>
            <w:hideMark/>
          </w:tcPr>
          <w:p w:rsidR="00E4351A" w:rsidRPr="008723F7" w:rsidRDefault="00E4351A" w:rsidP="001678B8">
            <w:pPr>
              <w:spacing w:after="0" w:line="240" w:lineRule="auto"/>
              <w:jc w:val="right"/>
              <w:rPr>
                <w:rFonts w:ascii="Times New Roman" w:eastAsia="Times New Roman" w:hAnsi="Times New Roman"/>
                <w:lang w:eastAsia="sk-SK"/>
              </w:rPr>
            </w:pPr>
            <w:r w:rsidRPr="008723F7">
              <w:rPr>
                <w:rFonts w:ascii="Times New Roman" w:hAnsi="Times New Roman"/>
              </w:rPr>
              <w:t>27122744,98</w:t>
            </w:r>
          </w:p>
        </w:tc>
        <w:tc>
          <w:tcPr>
            <w:tcW w:w="1576" w:type="dxa"/>
            <w:tcBorders>
              <w:top w:val="nil"/>
              <w:left w:val="nil"/>
              <w:bottom w:val="single" w:sz="4" w:space="0" w:color="auto"/>
              <w:right w:val="single" w:sz="4" w:space="0" w:color="auto"/>
            </w:tcBorders>
            <w:shd w:val="clear" w:color="000000" w:fill="FFFFFF"/>
            <w:noWrap/>
            <w:hideMark/>
          </w:tcPr>
          <w:p w:rsidR="00E4351A" w:rsidRPr="008723F7" w:rsidRDefault="00E4351A" w:rsidP="001678B8">
            <w:pPr>
              <w:spacing w:after="0" w:line="240" w:lineRule="auto"/>
              <w:jc w:val="right"/>
              <w:rPr>
                <w:rFonts w:ascii="Times New Roman" w:eastAsia="Times New Roman" w:hAnsi="Times New Roman"/>
                <w:lang w:eastAsia="sk-SK"/>
              </w:rPr>
            </w:pPr>
            <w:r w:rsidRPr="008723F7">
              <w:rPr>
                <w:rFonts w:ascii="Times New Roman" w:hAnsi="Times New Roman"/>
              </w:rPr>
              <w:t>28350599,68</w:t>
            </w:r>
          </w:p>
        </w:tc>
        <w:tc>
          <w:tcPr>
            <w:tcW w:w="1530" w:type="dxa"/>
            <w:tcBorders>
              <w:top w:val="nil"/>
              <w:left w:val="nil"/>
              <w:bottom w:val="single" w:sz="4" w:space="0" w:color="auto"/>
              <w:right w:val="single" w:sz="8" w:space="0" w:color="auto"/>
            </w:tcBorders>
            <w:shd w:val="clear" w:color="000000" w:fill="FFFFFF"/>
            <w:noWrap/>
            <w:hideMark/>
          </w:tcPr>
          <w:p w:rsidR="00E4351A" w:rsidRPr="008723F7" w:rsidRDefault="00E4351A" w:rsidP="001678B8">
            <w:pPr>
              <w:spacing w:after="0" w:line="240" w:lineRule="auto"/>
              <w:jc w:val="right"/>
              <w:rPr>
                <w:rFonts w:ascii="Times New Roman" w:eastAsia="Times New Roman" w:hAnsi="Times New Roman"/>
                <w:color w:val="000000"/>
              </w:rPr>
            </w:pPr>
            <w:r w:rsidRPr="008723F7">
              <w:rPr>
                <w:rFonts w:ascii="Times New Roman" w:hAnsi="Times New Roman"/>
                <w:color w:val="000000"/>
              </w:rPr>
              <w:t>29659720,7</w:t>
            </w:r>
          </w:p>
          <w:p w:rsidR="00E4351A" w:rsidRPr="008723F7" w:rsidRDefault="00E4351A" w:rsidP="001678B8">
            <w:pPr>
              <w:spacing w:after="0" w:line="240" w:lineRule="auto"/>
              <w:jc w:val="right"/>
              <w:rPr>
                <w:rFonts w:ascii="Times New Roman" w:eastAsia="Times New Roman" w:hAnsi="Times New Roman"/>
                <w:lang w:eastAsia="sk-SK"/>
              </w:rPr>
            </w:pPr>
          </w:p>
        </w:tc>
      </w:tr>
      <w:tr w:rsidR="00E4351A" w:rsidRPr="008723F7" w:rsidTr="007B66AE">
        <w:trPr>
          <w:trHeight w:val="345"/>
        </w:trPr>
        <w:tc>
          <w:tcPr>
            <w:tcW w:w="2400" w:type="dxa"/>
            <w:tcBorders>
              <w:top w:val="nil"/>
              <w:left w:val="single" w:sz="8" w:space="0" w:color="auto"/>
              <w:bottom w:val="single" w:sz="8" w:space="0" w:color="auto"/>
              <w:right w:val="single" w:sz="4" w:space="0" w:color="auto"/>
            </w:tcBorders>
            <w:shd w:val="clear" w:color="auto" w:fill="auto"/>
            <w:vAlign w:val="bottom"/>
            <w:hideMark/>
          </w:tcPr>
          <w:p w:rsidR="00E4351A" w:rsidRPr="008723F7" w:rsidRDefault="00E4351A"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rozdiel (dopad)</w:t>
            </w:r>
          </w:p>
        </w:tc>
        <w:tc>
          <w:tcPr>
            <w:tcW w:w="1530" w:type="dxa"/>
            <w:tcBorders>
              <w:top w:val="nil"/>
              <w:left w:val="nil"/>
              <w:bottom w:val="single" w:sz="8"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b/>
                <w:lang w:eastAsia="sk-SK"/>
              </w:rPr>
            </w:pPr>
            <w:r w:rsidRPr="008723F7">
              <w:rPr>
                <w:rFonts w:ascii="Times New Roman" w:hAnsi="Times New Roman"/>
                <w:color w:val="000000"/>
              </w:rPr>
              <w:t>5 635 384</w:t>
            </w:r>
          </w:p>
        </w:tc>
        <w:tc>
          <w:tcPr>
            <w:tcW w:w="1542" w:type="dxa"/>
            <w:tcBorders>
              <w:top w:val="nil"/>
              <w:left w:val="nil"/>
              <w:bottom w:val="single" w:sz="8"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b/>
                <w:lang w:eastAsia="sk-SK"/>
              </w:rPr>
            </w:pPr>
            <w:r w:rsidRPr="008723F7">
              <w:rPr>
                <w:rFonts w:ascii="Times New Roman" w:hAnsi="Times New Roman"/>
                <w:color w:val="000000"/>
              </w:rPr>
              <w:t>6 027 277</w:t>
            </w:r>
          </w:p>
        </w:tc>
        <w:tc>
          <w:tcPr>
            <w:tcW w:w="1576" w:type="dxa"/>
            <w:tcBorders>
              <w:top w:val="nil"/>
              <w:left w:val="nil"/>
              <w:bottom w:val="single" w:sz="8"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b/>
                <w:lang w:eastAsia="sk-SK"/>
              </w:rPr>
            </w:pPr>
            <w:r w:rsidRPr="008723F7">
              <w:rPr>
                <w:rFonts w:ascii="Times New Roman" w:hAnsi="Times New Roman"/>
                <w:color w:val="000000"/>
              </w:rPr>
              <w:t>6 300 133</w:t>
            </w:r>
          </w:p>
        </w:tc>
        <w:tc>
          <w:tcPr>
            <w:tcW w:w="1530" w:type="dxa"/>
            <w:tcBorders>
              <w:top w:val="nil"/>
              <w:left w:val="nil"/>
              <w:bottom w:val="single" w:sz="8" w:space="0" w:color="auto"/>
              <w:right w:val="single" w:sz="8"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b/>
                <w:lang w:eastAsia="sk-SK"/>
              </w:rPr>
            </w:pPr>
            <w:r w:rsidRPr="008723F7">
              <w:rPr>
                <w:rFonts w:ascii="Times New Roman" w:hAnsi="Times New Roman"/>
                <w:color w:val="000000"/>
              </w:rPr>
              <w:t>6 591 049</w:t>
            </w:r>
          </w:p>
        </w:tc>
      </w:tr>
    </w:tbl>
    <w:p w:rsidR="008E5CFB" w:rsidRPr="008723F7" w:rsidRDefault="008E5CFB" w:rsidP="001678B8">
      <w:pPr>
        <w:tabs>
          <w:tab w:val="num" w:pos="1080"/>
        </w:tabs>
        <w:spacing w:after="0" w:line="240" w:lineRule="auto"/>
        <w:jc w:val="both"/>
        <w:rPr>
          <w:rFonts w:ascii="Times New Roman" w:hAnsi="Times New Roman"/>
        </w:rPr>
      </w:pPr>
    </w:p>
    <w:p w:rsidR="008E5CFB" w:rsidRPr="008723F7" w:rsidRDefault="008E5CFB" w:rsidP="001678B8">
      <w:pPr>
        <w:tabs>
          <w:tab w:val="num" w:pos="1080"/>
        </w:tabs>
        <w:spacing w:after="0" w:line="240" w:lineRule="auto"/>
        <w:jc w:val="both"/>
        <w:rPr>
          <w:rFonts w:ascii="Times New Roman" w:hAnsi="Times New Roman"/>
          <w:u w:val="single"/>
        </w:rPr>
      </w:pPr>
      <w:r w:rsidRPr="008723F7">
        <w:rPr>
          <w:rFonts w:ascii="Times New Roman" w:hAnsi="Times New Roman"/>
          <w:u w:val="single"/>
        </w:rPr>
        <w:t>Príspevok na správu a rozvoj národného zdravotníckeho informačného systému</w:t>
      </w:r>
    </w:p>
    <w:p w:rsidR="008E5CFB" w:rsidRPr="008723F7" w:rsidRDefault="008E5CFB" w:rsidP="001678B8">
      <w:pPr>
        <w:tabs>
          <w:tab w:val="num" w:pos="1080"/>
        </w:tabs>
        <w:spacing w:after="0" w:line="240" w:lineRule="auto"/>
        <w:jc w:val="both"/>
        <w:rPr>
          <w:rFonts w:ascii="Times New Roman" w:hAnsi="Times New Roman"/>
        </w:rPr>
      </w:pPr>
    </w:p>
    <w:tbl>
      <w:tblPr>
        <w:tblW w:w="8572" w:type="dxa"/>
        <w:tblCellMar>
          <w:left w:w="70" w:type="dxa"/>
          <w:right w:w="70" w:type="dxa"/>
        </w:tblCellMar>
        <w:tblLook w:val="04A0" w:firstRow="1" w:lastRow="0" w:firstColumn="1" w:lastColumn="0" w:noHBand="0" w:noVBand="1"/>
      </w:tblPr>
      <w:tblGrid>
        <w:gridCol w:w="2400"/>
        <w:gridCol w:w="1530"/>
        <w:gridCol w:w="1542"/>
        <w:gridCol w:w="1576"/>
        <w:gridCol w:w="1524"/>
      </w:tblGrid>
      <w:tr w:rsidR="008E5CFB" w:rsidRPr="008723F7" w:rsidTr="00E4351A">
        <w:trPr>
          <w:trHeight w:val="300"/>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542"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576"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524" w:type="dxa"/>
            <w:tcBorders>
              <w:top w:val="single" w:sz="8" w:space="0" w:color="auto"/>
              <w:left w:val="nil"/>
              <w:bottom w:val="single" w:sz="4" w:space="0" w:color="auto"/>
              <w:right w:val="single" w:sz="8"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E4351A" w:rsidRPr="008723F7" w:rsidTr="007B66AE">
        <w:trPr>
          <w:trHeight w:val="33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E4351A" w:rsidRPr="008723F7" w:rsidRDefault="00E4351A"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základ</w:t>
            </w:r>
          </w:p>
        </w:tc>
        <w:tc>
          <w:tcPr>
            <w:tcW w:w="1530"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5 635 383 857</w:t>
            </w:r>
          </w:p>
        </w:tc>
        <w:tc>
          <w:tcPr>
            <w:tcW w:w="1542"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6 027 276 663</w:t>
            </w:r>
          </w:p>
        </w:tc>
        <w:tc>
          <w:tcPr>
            <w:tcW w:w="1576"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6 300 133 262</w:t>
            </w:r>
          </w:p>
        </w:tc>
        <w:tc>
          <w:tcPr>
            <w:tcW w:w="1524" w:type="dxa"/>
            <w:tcBorders>
              <w:top w:val="nil"/>
              <w:left w:val="nil"/>
              <w:bottom w:val="single" w:sz="4" w:space="0" w:color="auto"/>
              <w:right w:val="single" w:sz="8"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6 591 049 050</w:t>
            </w:r>
          </w:p>
        </w:tc>
      </w:tr>
      <w:tr w:rsidR="00E4351A" w:rsidRPr="008723F7" w:rsidTr="007B66AE">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E4351A" w:rsidRPr="008723F7" w:rsidRDefault="00E4351A"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výška príspevku pri sadzbe 0,41%</w:t>
            </w:r>
          </w:p>
        </w:tc>
        <w:tc>
          <w:tcPr>
            <w:tcW w:w="1530"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23 105 074</w:t>
            </w:r>
          </w:p>
        </w:tc>
        <w:tc>
          <w:tcPr>
            <w:tcW w:w="1542"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24 711 834</w:t>
            </w:r>
          </w:p>
        </w:tc>
        <w:tc>
          <w:tcPr>
            <w:tcW w:w="1576"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25 830 546</w:t>
            </w:r>
          </w:p>
        </w:tc>
        <w:tc>
          <w:tcPr>
            <w:tcW w:w="1524" w:type="dxa"/>
            <w:tcBorders>
              <w:top w:val="nil"/>
              <w:left w:val="nil"/>
              <w:bottom w:val="single" w:sz="4"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27 023 301</w:t>
            </w:r>
          </w:p>
        </w:tc>
      </w:tr>
      <w:tr w:rsidR="00E4351A" w:rsidRPr="008723F7" w:rsidTr="007B66AE">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E4351A" w:rsidRPr="008723F7" w:rsidRDefault="00E4351A"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výška príspevku pri sadzbe 0,55%</w:t>
            </w:r>
          </w:p>
        </w:tc>
        <w:tc>
          <w:tcPr>
            <w:tcW w:w="1530" w:type="dxa"/>
            <w:tcBorders>
              <w:top w:val="nil"/>
              <w:left w:val="nil"/>
              <w:bottom w:val="single" w:sz="4" w:space="0" w:color="auto"/>
              <w:right w:val="single" w:sz="4" w:space="0" w:color="auto"/>
            </w:tcBorders>
            <w:shd w:val="clear" w:color="000000" w:fill="FFFFFF"/>
            <w:noWrap/>
            <w:hideMark/>
          </w:tcPr>
          <w:p w:rsidR="00E4351A" w:rsidRPr="008723F7" w:rsidRDefault="00E4351A" w:rsidP="001678B8">
            <w:pPr>
              <w:spacing w:after="0" w:line="240" w:lineRule="auto"/>
              <w:jc w:val="right"/>
              <w:rPr>
                <w:rFonts w:ascii="Times New Roman" w:eastAsia="Times New Roman" w:hAnsi="Times New Roman"/>
                <w:lang w:eastAsia="sk-SK"/>
              </w:rPr>
            </w:pPr>
            <w:r w:rsidRPr="008723F7">
              <w:rPr>
                <w:rFonts w:ascii="Times New Roman" w:hAnsi="Times New Roman"/>
              </w:rPr>
              <w:t>30994611,21</w:t>
            </w:r>
          </w:p>
        </w:tc>
        <w:tc>
          <w:tcPr>
            <w:tcW w:w="1542" w:type="dxa"/>
            <w:tcBorders>
              <w:top w:val="nil"/>
              <w:left w:val="nil"/>
              <w:bottom w:val="single" w:sz="4" w:space="0" w:color="auto"/>
              <w:right w:val="single" w:sz="4" w:space="0" w:color="auto"/>
            </w:tcBorders>
            <w:shd w:val="clear" w:color="000000" w:fill="FFFFFF"/>
            <w:noWrap/>
            <w:hideMark/>
          </w:tcPr>
          <w:p w:rsidR="00E4351A" w:rsidRPr="008723F7" w:rsidRDefault="00E4351A" w:rsidP="001678B8">
            <w:pPr>
              <w:spacing w:after="0" w:line="240" w:lineRule="auto"/>
              <w:jc w:val="right"/>
              <w:rPr>
                <w:rFonts w:ascii="Times New Roman" w:eastAsia="Times New Roman" w:hAnsi="Times New Roman"/>
                <w:lang w:eastAsia="sk-SK"/>
              </w:rPr>
            </w:pPr>
            <w:r w:rsidRPr="008723F7">
              <w:rPr>
                <w:rFonts w:ascii="Times New Roman" w:hAnsi="Times New Roman"/>
              </w:rPr>
              <w:t>33150021,64</w:t>
            </w:r>
          </w:p>
        </w:tc>
        <w:tc>
          <w:tcPr>
            <w:tcW w:w="1576" w:type="dxa"/>
            <w:tcBorders>
              <w:top w:val="nil"/>
              <w:left w:val="nil"/>
              <w:bottom w:val="single" w:sz="4" w:space="0" w:color="auto"/>
              <w:right w:val="single" w:sz="4" w:space="0" w:color="auto"/>
            </w:tcBorders>
            <w:shd w:val="clear" w:color="000000" w:fill="FFFFFF"/>
            <w:noWrap/>
            <w:hideMark/>
          </w:tcPr>
          <w:p w:rsidR="00E4351A" w:rsidRPr="008723F7" w:rsidRDefault="00E4351A" w:rsidP="001678B8">
            <w:pPr>
              <w:spacing w:after="0" w:line="240" w:lineRule="auto"/>
              <w:jc w:val="right"/>
              <w:rPr>
                <w:rFonts w:ascii="Times New Roman" w:eastAsia="Times New Roman" w:hAnsi="Times New Roman"/>
                <w:lang w:eastAsia="sk-SK"/>
              </w:rPr>
            </w:pPr>
            <w:r w:rsidRPr="008723F7">
              <w:rPr>
                <w:rFonts w:ascii="Times New Roman" w:hAnsi="Times New Roman"/>
              </w:rPr>
              <w:t>34650732,94</w:t>
            </w:r>
          </w:p>
        </w:tc>
        <w:tc>
          <w:tcPr>
            <w:tcW w:w="1524" w:type="dxa"/>
            <w:tcBorders>
              <w:top w:val="nil"/>
              <w:left w:val="nil"/>
              <w:bottom w:val="single" w:sz="4" w:space="0" w:color="auto"/>
              <w:right w:val="single" w:sz="4" w:space="0" w:color="auto"/>
            </w:tcBorders>
            <w:shd w:val="clear" w:color="000000" w:fill="FFFFFF"/>
            <w:noWrap/>
            <w:hideMark/>
          </w:tcPr>
          <w:p w:rsidR="00E4351A" w:rsidRPr="008723F7" w:rsidRDefault="00E4351A" w:rsidP="001678B8">
            <w:pPr>
              <w:spacing w:after="0" w:line="240" w:lineRule="auto"/>
              <w:jc w:val="right"/>
              <w:rPr>
                <w:rFonts w:ascii="Times New Roman" w:eastAsia="Times New Roman" w:hAnsi="Times New Roman"/>
                <w:color w:val="000000"/>
              </w:rPr>
            </w:pPr>
            <w:r w:rsidRPr="008723F7">
              <w:rPr>
                <w:rFonts w:ascii="Times New Roman" w:hAnsi="Times New Roman"/>
                <w:color w:val="000000"/>
              </w:rPr>
              <w:t>36250769,8</w:t>
            </w:r>
          </w:p>
          <w:p w:rsidR="00E4351A" w:rsidRPr="008723F7" w:rsidRDefault="00E4351A" w:rsidP="001678B8">
            <w:pPr>
              <w:spacing w:after="0" w:line="240" w:lineRule="auto"/>
              <w:jc w:val="right"/>
              <w:rPr>
                <w:rFonts w:ascii="Times New Roman" w:eastAsia="Times New Roman" w:hAnsi="Times New Roman"/>
                <w:lang w:eastAsia="sk-SK"/>
              </w:rPr>
            </w:pPr>
          </w:p>
        </w:tc>
      </w:tr>
      <w:tr w:rsidR="00E4351A" w:rsidRPr="008723F7" w:rsidTr="007B66AE">
        <w:trPr>
          <w:trHeight w:val="345"/>
        </w:trPr>
        <w:tc>
          <w:tcPr>
            <w:tcW w:w="2400" w:type="dxa"/>
            <w:tcBorders>
              <w:top w:val="nil"/>
              <w:left w:val="single" w:sz="8" w:space="0" w:color="auto"/>
              <w:bottom w:val="single" w:sz="8" w:space="0" w:color="auto"/>
              <w:right w:val="single" w:sz="4" w:space="0" w:color="auto"/>
            </w:tcBorders>
            <w:shd w:val="clear" w:color="auto" w:fill="auto"/>
            <w:vAlign w:val="bottom"/>
            <w:hideMark/>
          </w:tcPr>
          <w:p w:rsidR="00E4351A" w:rsidRPr="008723F7" w:rsidRDefault="00E4351A"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lastRenderedPageBreak/>
              <w:t>rozdiel (dopad)</w:t>
            </w:r>
          </w:p>
        </w:tc>
        <w:tc>
          <w:tcPr>
            <w:tcW w:w="1530" w:type="dxa"/>
            <w:tcBorders>
              <w:top w:val="nil"/>
              <w:left w:val="nil"/>
              <w:bottom w:val="single" w:sz="8"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b/>
                <w:bCs/>
                <w:lang w:eastAsia="sk-SK"/>
              </w:rPr>
            </w:pPr>
            <w:r w:rsidRPr="008723F7">
              <w:rPr>
                <w:rFonts w:ascii="Times New Roman" w:hAnsi="Times New Roman"/>
                <w:color w:val="000000"/>
              </w:rPr>
              <w:t>7 889 537</w:t>
            </w:r>
          </w:p>
        </w:tc>
        <w:tc>
          <w:tcPr>
            <w:tcW w:w="1542" w:type="dxa"/>
            <w:tcBorders>
              <w:top w:val="nil"/>
              <w:left w:val="nil"/>
              <w:bottom w:val="single" w:sz="8"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b/>
                <w:bCs/>
                <w:lang w:eastAsia="sk-SK"/>
              </w:rPr>
            </w:pPr>
            <w:r w:rsidRPr="008723F7">
              <w:rPr>
                <w:rFonts w:ascii="Times New Roman" w:hAnsi="Times New Roman"/>
                <w:color w:val="000000"/>
              </w:rPr>
              <w:t>8 438 187</w:t>
            </w:r>
          </w:p>
        </w:tc>
        <w:tc>
          <w:tcPr>
            <w:tcW w:w="1576" w:type="dxa"/>
            <w:tcBorders>
              <w:top w:val="nil"/>
              <w:left w:val="nil"/>
              <w:bottom w:val="single" w:sz="8" w:space="0" w:color="auto"/>
              <w:right w:val="single" w:sz="4"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b/>
                <w:bCs/>
                <w:lang w:eastAsia="sk-SK"/>
              </w:rPr>
            </w:pPr>
            <w:r w:rsidRPr="008723F7">
              <w:rPr>
                <w:rFonts w:ascii="Times New Roman" w:hAnsi="Times New Roman"/>
                <w:color w:val="000000"/>
              </w:rPr>
              <w:t>8 820 187</w:t>
            </w:r>
          </w:p>
        </w:tc>
        <w:tc>
          <w:tcPr>
            <w:tcW w:w="1524" w:type="dxa"/>
            <w:tcBorders>
              <w:top w:val="nil"/>
              <w:left w:val="nil"/>
              <w:bottom w:val="single" w:sz="8" w:space="0" w:color="auto"/>
              <w:right w:val="single" w:sz="8" w:space="0" w:color="auto"/>
            </w:tcBorders>
            <w:shd w:val="clear" w:color="000000" w:fill="FFFFFF"/>
            <w:noWrap/>
            <w:vAlign w:val="bottom"/>
            <w:hideMark/>
          </w:tcPr>
          <w:p w:rsidR="00E4351A" w:rsidRPr="008723F7" w:rsidRDefault="00E4351A" w:rsidP="001678B8">
            <w:pPr>
              <w:spacing w:after="0" w:line="240" w:lineRule="auto"/>
              <w:jc w:val="right"/>
              <w:rPr>
                <w:rFonts w:ascii="Times New Roman" w:eastAsia="Times New Roman" w:hAnsi="Times New Roman"/>
                <w:b/>
                <w:bCs/>
                <w:lang w:eastAsia="sk-SK"/>
              </w:rPr>
            </w:pPr>
            <w:r w:rsidRPr="008723F7">
              <w:rPr>
                <w:rFonts w:ascii="Times New Roman" w:hAnsi="Times New Roman"/>
                <w:color w:val="000000"/>
              </w:rPr>
              <w:t>9 227 469</w:t>
            </w:r>
          </w:p>
        </w:tc>
      </w:tr>
    </w:tbl>
    <w:p w:rsidR="008E5CFB" w:rsidRPr="008723F7" w:rsidRDefault="008E5CFB" w:rsidP="001678B8">
      <w:pPr>
        <w:tabs>
          <w:tab w:val="num" w:pos="1080"/>
        </w:tabs>
        <w:spacing w:after="0" w:line="240" w:lineRule="auto"/>
        <w:jc w:val="both"/>
        <w:rPr>
          <w:rFonts w:ascii="Times New Roman" w:hAnsi="Times New Roman"/>
        </w:rPr>
      </w:pP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celkom:</w:t>
      </w:r>
    </w:p>
    <w:p w:rsidR="008E5CFB" w:rsidRPr="008723F7" w:rsidRDefault="008E5CFB" w:rsidP="001678B8">
      <w:pPr>
        <w:tabs>
          <w:tab w:val="num" w:pos="1080"/>
        </w:tabs>
        <w:spacing w:after="0" w:line="240" w:lineRule="auto"/>
        <w:jc w:val="both"/>
        <w:rPr>
          <w:rFonts w:ascii="Times New Roman" w:hAnsi="Times New Roman"/>
        </w:rPr>
      </w:pPr>
    </w:p>
    <w:tbl>
      <w:tblPr>
        <w:tblW w:w="8460" w:type="dxa"/>
        <w:tblCellMar>
          <w:left w:w="70" w:type="dxa"/>
          <w:right w:w="70" w:type="dxa"/>
        </w:tblCellMar>
        <w:tblLook w:val="04A0" w:firstRow="1" w:lastRow="0" w:firstColumn="1" w:lastColumn="0" w:noHBand="0" w:noVBand="1"/>
      </w:tblPr>
      <w:tblGrid>
        <w:gridCol w:w="2680"/>
        <w:gridCol w:w="1340"/>
        <w:gridCol w:w="1340"/>
        <w:gridCol w:w="1340"/>
        <w:gridCol w:w="1760"/>
      </w:tblGrid>
      <w:tr w:rsidR="008E5CFB" w:rsidRPr="008723F7" w:rsidTr="006356EA">
        <w:trPr>
          <w:trHeight w:val="300"/>
        </w:trPr>
        <w:tc>
          <w:tcPr>
            <w:tcW w:w="2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760" w:type="dxa"/>
            <w:tcBorders>
              <w:top w:val="single" w:sz="8" w:space="0" w:color="auto"/>
              <w:left w:val="nil"/>
              <w:bottom w:val="single" w:sz="4" w:space="0" w:color="auto"/>
              <w:right w:val="single" w:sz="8" w:space="0" w:color="auto"/>
            </w:tcBorders>
            <w:shd w:val="clear" w:color="auto" w:fill="auto"/>
            <w:noWrap/>
            <w:vAlign w:val="bottom"/>
            <w:hideMark/>
          </w:tcPr>
          <w:p w:rsidR="008E5CFB" w:rsidRPr="008723F7" w:rsidRDefault="008E5CFB"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4A06A8" w:rsidRPr="008723F7" w:rsidTr="006356EA">
        <w:trPr>
          <w:trHeight w:val="315"/>
        </w:trPr>
        <w:tc>
          <w:tcPr>
            <w:tcW w:w="2680" w:type="dxa"/>
            <w:tcBorders>
              <w:top w:val="nil"/>
              <w:left w:val="single" w:sz="8" w:space="0" w:color="auto"/>
              <w:bottom w:val="single" w:sz="8" w:space="0" w:color="auto"/>
              <w:right w:val="single" w:sz="4" w:space="0" w:color="auto"/>
            </w:tcBorders>
            <w:shd w:val="clear" w:color="auto" w:fill="auto"/>
            <w:noWrap/>
            <w:vAlign w:val="bottom"/>
            <w:hideMark/>
          </w:tcPr>
          <w:p w:rsidR="004A06A8" w:rsidRPr="008723F7" w:rsidRDefault="004A06A8"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celkom</w:t>
            </w:r>
          </w:p>
        </w:tc>
        <w:tc>
          <w:tcPr>
            <w:tcW w:w="1340" w:type="dxa"/>
            <w:tcBorders>
              <w:top w:val="nil"/>
              <w:left w:val="nil"/>
              <w:bottom w:val="single" w:sz="8" w:space="0" w:color="auto"/>
              <w:right w:val="single" w:sz="4" w:space="0" w:color="auto"/>
            </w:tcBorders>
            <w:shd w:val="clear" w:color="auto" w:fill="auto"/>
            <w:noWrap/>
            <w:vAlign w:val="bottom"/>
            <w:hideMark/>
          </w:tcPr>
          <w:p w:rsidR="004A06A8" w:rsidRPr="008723F7" w:rsidRDefault="004A06A8"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340" w:type="dxa"/>
            <w:tcBorders>
              <w:top w:val="nil"/>
              <w:left w:val="nil"/>
              <w:bottom w:val="single" w:sz="8" w:space="0" w:color="auto"/>
              <w:right w:val="single" w:sz="4" w:space="0" w:color="auto"/>
            </w:tcBorders>
            <w:shd w:val="clear" w:color="auto" w:fill="auto"/>
            <w:noWrap/>
            <w:vAlign w:val="bottom"/>
            <w:hideMark/>
          </w:tcPr>
          <w:p w:rsidR="004A06A8" w:rsidRPr="008723F7" w:rsidRDefault="004A06A8"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340" w:type="dxa"/>
            <w:tcBorders>
              <w:top w:val="nil"/>
              <w:left w:val="nil"/>
              <w:bottom w:val="single" w:sz="8" w:space="0" w:color="auto"/>
              <w:right w:val="single" w:sz="4" w:space="0" w:color="auto"/>
            </w:tcBorders>
            <w:shd w:val="clear" w:color="auto" w:fill="auto"/>
            <w:noWrap/>
            <w:vAlign w:val="bottom"/>
            <w:hideMark/>
          </w:tcPr>
          <w:p w:rsidR="004A06A8" w:rsidRPr="008723F7" w:rsidRDefault="004A06A8"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c>
          <w:tcPr>
            <w:tcW w:w="1760" w:type="dxa"/>
            <w:tcBorders>
              <w:top w:val="nil"/>
              <w:left w:val="nil"/>
              <w:bottom w:val="single" w:sz="8" w:space="0" w:color="auto"/>
              <w:right w:val="single" w:sz="8" w:space="0" w:color="auto"/>
            </w:tcBorders>
            <w:shd w:val="clear" w:color="auto" w:fill="auto"/>
            <w:noWrap/>
            <w:vAlign w:val="bottom"/>
            <w:hideMark/>
          </w:tcPr>
          <w:p w:rsidR="004A06A8" w:rsidRPr="008723F7" w:rsidRDefault="004A06A8"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15 818 518</w:t>
            </w:r>
          </w:p>
        </w:tc>
      </w:tr>
    </w:tbl>
    <w:p w:rsidR="008E5CFB" w:rsidRPr="008723F7" w:rsidRDefault="008E5CFB" w:rsidP="001678B8">
      <w:pPr>
        <w:tabs>
          <w:tab w:val="num" w:pos="1080"/>
        </w:tabs>
        <w:spacing w:after="0" w:line="240" w:lineRule="auto"/>
        <w:jc w:val="both"/>
        <w:rPr>
          <w:rFonts w:ascii="Times New Roman" w:hAnsi="Times New Roman"/>
        </w:rPr>
      </w:pP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Celkový dopad predstavuje negatívny vplyv na rozpočet verejného zdravotného poistenia a pozitívny vplyv na rozpočet operačných stredísk tiesňového volania a na pozitívny vplyv na rozpočet správcu národného zdravotníckeho informačného systému.</w:t>
      </w: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Zvýšené príjmy oboch rozpočtových organizácií budú použité na financovanie ich bežnej činnosti.</w:t>
      </w:r>
    </w:p>
    <w:p w:rsidR="00742689" w:rsidRPr="008723F7" w:rsidRDefault="00742689" w:rsidP="001678B8">
      <w:pPr>
        <w:tabs>
          <w:tab w:val="num" w:pos="1080"/>
        </w:tabs>
        <w:spacing w:after="0" w:line="240" w:lineRule="auto"/>
        <w:jc w:val="both"/>
        <w:rPr>
          <w:rFonts w:ascii="Times New Roman" w:hAnsi="Times New Roman"/>
          <w:bCs/>
        </w:rPr>
      </w:pPr>
      <w:r w:rsidRPr="008723F7">
        <w:rPr>
          <w:rFonts w:ascii="Times New Roman" w:hAnsi="Times New Roman"/>
          <w:bCs/>
        </w:rPr>
        <w:t>Pokiaľ ide o zvyšovanie percenta na OS ZZS a pre NCZI, aj napriek zvýšenému objemu zdrojov verejného zdravotného poistenia, ani tieto zvýšené prostriedky nepokrývajú náklady týchto inštitúcií, zvýšené prostriedky majú slúžiť na nové činnosti. (viac v dôvodovej správe osobitnej a analýze verejnej správy). Aj keď sa stotožňujeme s myšlienkou, aby všetky zdroje verejného zdravotného poistenia boli použité na poskytovanie zdravotnej starostlivosti, ak by boli tieto organizácie príspevkovými organizáciami, malo by to vplyv na štátne verejné zdroje, s čím nebude súhlasiť MFSR, nakoľko by sa prehlboval dlh SR.</w:t>
      </w:r>
    </w:p>
    <w:p w:rsidR="00742689" w:rsidRPr="008723F7" w:rsidRDefault="00742689" w:rsidP="001678B8">
      <w:pPr>
        <w:tabs>
          <w:tab w:val="num" w:pos="1080"/>
        </w:tabs>
        <w:spacing w:after="0" w:line="240" w:lineRule="auto"/>
        <w:jc w:val="both"/>
        <w:rPr>
          <w:rFonts w:ascii="Times New Roman" w:hAnsi="Times New Roman"/>
          <w:bCs/>
        </w:rPr>
      </w:pPr>
    </w:p>
    <w:p w:rsidR="00F068C7" w:rsidRPr="008723F7" w:rsidRDefault="00F068C7" w:rsidP="001678B8">
      <w:pPr>
        <w:spacing w:after="0" w:line="240" w:lineRule="auto"/>
        <w:rPr>
          <w:rFonts w:ascii="Times New Roman" w:hAnsi="Times New Roman"/>
          <w:color w:val="1F497D"/>
        </w:rPr>
      </w:pPr>
    </w:p>
    <w:p w:rsidR="00F068C7" w:rsidRPr="008723F7" w:rsidRDefault="00F068C7" w:rsidP="001678B8">
      <w:pPr>
        <w:spacing w:after="0" w:line="240" w:lineRule="auto"/>
        <w:rPr>
          <w:rFonts w:ascii="Times New Roman" w:hAnsi="Times New Roman"/>
          <w:lang w:eastAsia="sk-SK"/>
        </w:rPr>
      </w:pPr>
      <w:r w:rsidRPr="008723F7">
        <w:rPr>
          <w:rFonts w:ascii="Times New Roman" w:hAnsi="Times New Roman"/>
          <w:lang w:eastAsia="sk-SK"/>
        </w:rPr>
        <w:t>Vplyv na výdavky rozpočtu Ministerstva zdravotníctva SR</w:t>
      </w:r>
    </w:p>
    <w:p w:rsidR="00F068C7" w:rsidRPr="008723F7" w:rsidRDefault="00F068C7" w:rsidP="001678B8">
      <w:pPr>
        <w:spacing w:after="0" w:line="240" w:lineRule="auto"/>
        <w:jc w:val="both"/>
        <w:rPr>
          <w:rFonts w:ascii="Times New Roman" w:hAnsi="Times New Roman"/>
          <w:lang w:eastAsia="sk-SK"/>
        </w:rPr>
      </w:pPr>
    </w:p>
    <w:p w:rsidR="00F068C7" w:rsidRPr="008723F7" w:rsidRDefault="00F068C7" w:rsidP="001678B8">
      <w:pPr>
        <w:spacing w:after="0" w:line="240" w:lineRule="auto"/>
        <w:rPr>
          <w:rFonts w:ascii="Times New Roman" w:hAnsi="Times New Roman"/>
          <w:color w:val="1F497D"/>
        </w:rPr>
      </w:pPr>
      <w:r w:rsidRPr="008723F7">
        <w:rPr>
          <w:rFonts w:ascii="Times New Roman" w:hAnsi="Times New Roman"/>
          <w:color w:val="1F497D"/>
        </w:rPr>
        <w:t>OSZZS</w:t>
      </w:r>
      <w:r w:rsidRPr="008723F7">
        <w:rPr>
          <w:rFonts w:ascii="Times New Roman" w:hAnsi="Times New Roman"/>
          <w:color w:val="1F497D"/>
        </w:rPr>
        <w:br/>
      </w:r>
    </w:p>
    <w:p w:rsidR="00F068C7" w:rsidRPr="008723F7" w:rsidRDefault="00F068C7" w:rsidP="001678B8">
      <w:pPr>
        <w:spacing w:after="0" w:line="240" w:lineRule="auto"/>
        <w:rPr>
          <w:rFonts w:ascii="Times New Roman" w:hAnsi="Times New Roman"/>
        </w:rPr>
      </w:pPr>
      <w:r w:rsidRPr="008723F7">
        <w:rPr>
          <w:rFonts w:ascii="Times New Roman" w:hAnsi="Times New Roman"/>
        </w:rPr>
        <w:t xml:space="preserve">Aj v prípade, že projektovaný medziročný nárast zdrojov vo VZP sa stane realitou, nebude to stačiť na pokrytie nákladov na prevádzku OS ZZS SR. Analýza OS nepočíta so žiadnou významnou investíciou nad rámec existujúcich systémov. Jedna sa len o ich pravidelnú aktualizáciu s výnimkou projektu </w:t>
      </w:r>
      <w:proofErr w:type="spellStart"/>
      <w:r w:rsidRPr="008723F7">
        <w:rPr>
          <w:rFonts w:ascii="Times New Roman" w:hAnsi="Times New Roman"/>
        </w:rPr>
        <w:t>eZZS</w:t>
      </w:r>
      <w:proofErr w:type="spellEnd"/>
      <w:r w:rsidRPr="008723F7">
        <w:rPr>
          <w:rFonts w:ascii="Times New Roman" w:hAnsi="Times New Roman"/>
        </w:rPr>
        <w:t xml:space="preserve">, ktorého dopad je zhruba 300 tis. EUR ročne. V analýze je započítané aj avizované zvýšenie miezd vo verejnej správe (7% od 1.1.2023 a následne o 10% od 1.9.2023). V prípade, že výber VZP bude naozaj vo výške projektovanej MF SR, odhadujeme deficit v rozpočte OS ZZS SR na rok 2023 vo výške 1,75 mil. EUR. Z týchto dôvodov sme názoru, že navýšenie percenta z 0,35 na 0,45 percentuálneho bodu je plne opodstatnené a aj nevyhnutné na plynulú prevádzku OS ZZS SR ako súčasti kritickej infraštruktúry a integrovaného záchranného systému.   </w:t>
      </w:r>
    </w:p>
    <w:tbl>
      <w:tblPr>
        <w:tblW w:w="8989" w:type="dxa"/>
        <w:tblCellMar>
          <w:left w:w="70" w:type="dxa"/>
          <w:right w:w="70" w:type="dxa"/>
        </w:tblCellMar>
        <w:tblLook w:val="04A0" w:firstRow="1" w:lastRow="0" w:firstColumn="1" w:lastColumn="0" w:noHBand="0" w:noVBand="1"/>
      </w:tblPr>
      <w:tblGrid>
        <w:gridCol w:w="2366"/>
        <w:gridCol w:w="731"/>
        <w:gridCol w:w="731"/>
        <w:gridCol w:w="731"/>
        <w:gridCol w:w="731"/>
        <w:gridCol w:w="731"/>
        <w:gridCol w:w="742"/>
        <w:gridCol w:w="742"/>
        <w:gridCol w:w="742"/>
        <w:gridCol w:w="742"/>
      </w:tblGrid>
      <w:tr w:rsidR="00F068C7" w:rsidRPr="008723F7" w:rsidTr="008723F7">
        <w:trPr>
          <w:trHeight w:val="287"/>
        </w:trPr>
        <w:tc>
          <w:tcPr>
            <w:tcW w:w="236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v tis. EUR</w:t>
            </w:r>
          </w:p>
        </w:tc>
        <w:tc>
          <w:tcPr>
            <w:tcW w:w="731" w:type="dxa"/>
            <w:tcBorders>
              <w:top w:val="single" w:sz="4" w:space="0" w:color="auto"/>
              <w:left w:val="nil"/>
              <w:bottom w:val="nil"/>
              <w:right w:val="nil"/>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2018</w:t>
            </w:r>
          </w:p>
        </w:tc>
        <w:tc>
          <w:tcPr>
            <w:tcW w:w="731" w:type="dxa"/>
            <w:tcBorders>
              <w:top w:val="single" w:sz="4" w:space="0" w:color="auto"/>
              <w:left w:val="nil"/>
              <w:bottom w:val="nil"/>
              <w:right w:val="nil"/>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2019</w:t>
            </w:r>
          </w:p>
        </w:tc>
        <w:tc>
          <w:tcPr>
            <w:tcW w:w="731" w:type="dxa"/>
            <w:tcBorders>
              <w:top w:val="single" w:sz="4" w:space="0" w:color="auto"/>
              <w:left w:val="nil"/>
              <w:bottom w:val="nil"/>
              <w:right w:val="nil"/>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2020</w:t>
            </w:r>
          </w:p>
        </w:tc>
        <w:tc>
          <w:tcPr>
            <w:tcW w:w="731" w:type="dxa"/>
            <w:tcBorders>
              <w:top w:val="single" w:sz="4" w:space="0" w:color="auto"/>
              <w:left w:val="nil"/>
              <w:bottom w:val="nil"/>
              <w:right w:val="nil"/>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2021</w:t>
            </w:r>
          </w:p>
        </w:tc>
        <w:tc>
          <w:tcPr>
            <w:tcW w:w="731" w:type="dxa"/>
            <w:tcBorders>
              <w:top w:val="single" w:sz="4" w:space="0" w:color="auto"/>
              <w:left w:val="nil"/>
              <w:bottom w:val="nil"/>
              <w:right w:val="nil"/>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2022</w:t>
            </w:r>
          </w:p>
        </w:tc>
        <w:tc>
          <w:tcPr>
            <w:tcW w:w="742" w:type="dxa"/>
            <w:tcBorders>
              <w:top w:val="single" w:sz="4" w:space="0" w:color="auto"/>
              <w:left w:val="nil"/>
              <w:bottom w:val="nil"/>
              <w:right w:val="nil"/>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2023</w:t>
            </w:r>
          </w:p>
        </w:tc>
        <w:tc>
          <w:tcPr>
            <w:tcW w:w="742" w:type="dxa"/>
            <w:tcBorders>
              <w:top w:val="single" w:sz="4" w:space="0" w:color="auto"/>
              <w:left w:val="nil"/>
              <w:bottom w:val="nil"/>
              <w:right w:val="nil"/>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2024</w:t>
            </w:r>
          </w:p>
        </w:tc>
        <w:tc>
          <w:tcPr>
            <w:tcW w:w="742" w:type="dxa"/>
            <w:tcBorders>
              <w:top w:val="single" w:sz="4" w:space="0" w:color="auto"/>
              <w:left w:val="nil"/>
              <w:bottom w:val="nil"/>
              <w:right w:val="nil"/>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2025</w:t>
            </w:r>
          </w:p>
        </w:tc>
        <w:tc>
          <w:tcPr>
            <w:tcW w:w="742" w:type="dxa"/>
            <w:tcBorders>
              <w:top w:val="single" w:sz="4" w:space="0" w:color="auto"/>
              <w:left w:val="nil"/>
              <w:bottom w:val="single" w:sz="4" w:space="0" w:color="auto"/>
              <w:right w:val="single" w:sz="4" w:space="0" w:color="auto"/>
            </w:tcBorders>
            <w:shd w:val="clear" w:color="000000" w:fill="8EA9DB"/>
            <w:noWrap/>
            <w:vAlign w:val="bottom"/>
            <w:hideMark/>
          </w:tcPr>
          <w:p w:rsidR="00F068C7" w:rsidRPr="008723F7" w:rsidRDefault="00F068C7" w:rsidP="001678B8">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2026</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MZDY A ODVODY</w:t>
            </w:r>
          </w:p>
        </w:tc>
        <w:tc>
          <w:tcPr>
            <w:tcW w:w="731" w:type="dxa"/>
            <w:tcBorders>
              <w:top w:val="single" w:sz="4" w:space="0" w:color="auto"/>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13 153  </w:t>
            </w:r>
          </w:p>
        </w:tc>
        <w:tc>
          <w:tcPr>
            <w:tcW w:w="731" w:type="dxa"/>
            <w:tcBorders>
              <w:top w:val="single" w:sz="4" w:space="0" w:color="auto"/>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15 329  </w:t>
            </w:r>
          </w:p>
        </w:tc>
        <w:tc>
          <w:tcPr>
            <w:tcW w:w="731" w:type="dxa"/>
            <w:tcBorders>
              <w:top w:val="single" w:sz="4" w:space="0" w:color="auto"/>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16 221  </w:t>
            </w:r>
          </w:p>
        </w:tc>
        <w:tc>
          <w:tcPr>
            <w:tcW w:w="731" w:type="dxa"/>
            <w:tcBorders>
              <w:top w:val="single" w:sz="4" w:space="0" w:color="auto"/>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15 950  </w:t>
            </w:r>
          </w:p>
        </w:tc>
        <w:tc>
          <w:tcPr>
            <w:tcW w:w="731" w:type="dxa"/>
            <w:tcBorders>
              <w:top w:val="single" w:sz="4" w:space="0" w:color="auto"/>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17 066  </w:t>
            </w:r>
          </w:p>
        </w:tc>
        <w:tc>
          <w:tcPr>
            <w:tcW w:w="742" w:type="dxa"/>
            <w:tcBorders>
              <w:top w:val="single" w:sz="4" w:space="0" w:color="auto"/>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18 869  </w:t>
            </w:r>
          </w:p>
        </w:tc>
        <w:tc>
          <w:tcPr>
            <w:tcW w:w="742" w:type="dxa"/>
            <w:tcBorders>
              <w:top w:val="single" w:sz="4" w:space="0" w:color="auto"/>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20 756  </w:t>
            </w:r>
          </w:p>
        </w:tc>
        <w:tc>
          <w:tcPr>
            <w:tcW w:w="742" w:type="dxa"/>
            <w:tcBorders>
              <w:top w:val="single" w:sz="4" w:space="0" w:color="auto"/>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22 209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23 764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DOPLATOK MZDY</w:t>
            </w:r>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2 224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DIS</w:t>
            </w:r>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1 451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1 759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2 393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2 142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2 064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2 256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 </w:t>
            </w:r>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sz w:val="16"/>
                <w:szCs w:val="16"/>
                <w:lang w:eastAsia="sk-SK"/>
              </w:rPr>
            </w:pP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sz w:val="16"/>
                <w:szCs w:val="16"/>
                <w:lang w:eastAsia="sk-SK"/>
              </w:rPr>
            </w:pP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sz w:val="16"/>
                <w:szCs w:val="16"/>
                <w:lang w:eastAsia="sk-SK"/>
              </w:rPr>
            </w:pP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sz w:val="16"/>
                <w:szCs w:val="16"/>
                <w:lang w:eastAsia="sk-SK"/>
              </w:rPr>
            </w:pP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sz w:val="16"/>
                <w:szCs w:val="16"/>
                <w:lang w:eastAsia="sk-SK"/>
              </w:rPr>
            </w:pP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sz w:val="16"/>
                <w:szCs w:val="16"/>
                <w:lang w:eastAsia="sk-SK"/>
              </w:rPr>
            </w:pP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NÁJOM</w:t>
            </w:r>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ENERGIE</w:t>
            </w:r>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126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121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121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104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200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250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350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400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proofErr w:type="spellStart"/>
            <w:r w:rsidRPr="008723F7">
              <w:rPr>
                <w:rFonts w:ascii="Times New Roman" w:eastAsia="Times New Roman" w:hAnsi="Times New Roman"/>
                <w:b/>
                <w:bCs/>
                <w:color w:val="000000"/>
                <w:sz w:val="16"/>
                <w:szCs w:val="16"/>
                <w:lang w:eastAsia="sk-SK"/>
              </w:rPr>
              <w:t>eZZS</w:t>
            </w:r>
            <w:proofErr w:type="spellEnd"/>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OSTATNÉ TOVARY A SLUŽBY</w:t>
            </w:r>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1 223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1 260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1 205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987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1 343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1 206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1 275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1 385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1 351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NÁKLADY SPOLU</w:t>
            </w:r>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16 324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18 840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20 312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21 778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21 045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23 953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24 603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26 616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28 187  </w:t>
            </w:r>
          </w:p>
        </w:tc>
      </w:tr>
      <w:tr w:rsidR="00F068C7" w:rsidRPr="008723F7" w:rsidTr="008723F7">
        <w:trPr>
          <w:trHeight w:val="287"/>
        </w:trPr>
        <w:tc>
          <w:tcPr>
            <w:tcW w:w="2366" w:type="dxa"/>
            <w:tcBorders>
              <w:top w:val="nil"/>
              <w:left w:val="single" w:sz="4" w:space="0" w:color="auto"/>
              <w:bottom w:val="nil"/>
              <w:right w:val="nil"/>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ZÁKLAD (OS)</w:t>
            </w:r>
          </w:p>
        </w:tc>
        <w:tc>
          <w:tcPr>
            <w:tcW w:w="731" w:type="dxa"/>
            <w:tcBorders>
              <w:top w:val="nil"/>
              <w:left w:val="single" w:sz="4" w:space="0" w:color="auto"/>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4 491 058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4 608 494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4 878 417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5 162 510  </w:t>
            </w: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5 216 315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5 320 641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5 427 054  </w:t>
            </w: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5 535 595  </w:t>
            </w:r>
          </w:p>
        </w:tc>
        <w:tc>
          <w:tcPr>
            <w:tcW w:w="742" w:type="dxa"/>
            <w:tcBorders>
              <w:top w:val="nil"/>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5 646 307  </w:t>
            </w:r>
          </w:p>
        </w:tc>
      </w:tr>
      <w:tr w:rsidR="00F068C7" w:rsidRPr="008723F7" w:rsidTr="008723F7">
        <w:trPr>
          <w:trHeight w:val="287"/>
        </w:trPr>
        <w:tc>
          <w:tcPr>
            <w:tcW w:w="2366" w:type="dxa"/>
            <w:tcBorders>
              <w:top w:val="nil"/>
              <w:left w:val="single" w:sz="4" w:space="0" w:color="auto"/>
              <w:bottom w:val="single" w:sz="4" w:space="0" w:color="auto"/>
              <w:right w:val="single" w:sz="4" w:space="0" w:color="auto"/>
            </w:tcBorders>
            <w:shd w:val="clear" w:color="000000" w:fill="D9E1F2"/>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ZÁKLAD (MF)</w:t>
            </w:r>
          </w:p>
        </w:tc>
        <w:tc>
          <w:tcPr>
            <w:tcW w:w="731" w:type="dxa"/>
            <w:tcBorders>
              <w:top w:val="nil"/>
              <w:left w:val="nil"/>
              <w:bottom w:val="single" w:sz="4" w:space="0" w:color="auto"/>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single" w:sz="4" w:space="0" w:color="auto"/>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single" w:sz="4" w:space="0" w:color="auto"/>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single" w:sz="4" w:space="0" w:color="auto"/>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single" w:sz="4" w:space="0" w:color="auto"/>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single" w:sz="4" w:space="0" w:color="auto"/>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6 345 133  </w:t>
            </w:r>
          </w:p>
        </w:tc>
        <w:tc>
          <w:tcPr>
            <w:tcW w:w="742" w:type="dxa"/>
            <w:tcBorders>
              <w:top w:val="nil"/>
              <w:left w:val="nil"/>
              <w:bottom w:val="single" w:sz="4" w:space="0" w:color="auto"/>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6 632 350  </w:t>
            </w:r>
          </w:p>
        </w:tc>
        <w:tc>
          <w:tcPr>
            <w:tcW w:w="742" w:type="dxa"/>
            <w:tcBorders>
              <w:top w:val="nil"/>
              <w:left w:val="nil"/>
              <w:bottom w:val="single" w:sz="4" w:space="0" w:color="auto"/>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6 938 577  </w:t>
            </w:r>
          </w:p>
        </w:tc>
        <w:tc>
          <w:tcPr>
            <w:tcW w:w="742"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7 238 577  </w:t>
            </w:r>
          </w:p>
        </w:tc>
      </w:tr>
      <w:tr w:rsidR="00F068C7" w:rsidRPr="008723F7" w:rsidTr="008723F7">
        <w:trPr>
          <w:trHeight w:val="287"/>
        </w:trPr>
        <w:tc>
          <w:tcPr>
            <w:tcW w:w="2366" w:type="dxa"/>
            <w:tcBorders>
              <w:top w:val="nil"/>
              <w:left w:val="single" w:sz="4" w:space="0" w:color="auto"/>
              <w:bottom w:val="nil"/>
              <w:right w:val="single" w:sz="4" w:space="0" w:color="auto"/>
            </w:tcBorders>
            <w:shd w:val="clear" w:color="000000" w:fill="E8E6E6"/>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PRÍSPEVOK (ZO ZÁKLADU OS)</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15 719  </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16 130  </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17 074  </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18 069  </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18 257  </w:t>
            </w:r>
          </w:p>
        </w:tc>
        <w:tc>
          <w:tcPr>
            <w:tcW w:w="742"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18 622  </w:t>
            </w:r>
          </w:p>
        </w:tc>
        <w:tc>
          <w:tcPr>
            <w:tcW w:w="742"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18 995  </w:t>
            </w:r>
          </w:p>
        </w:tc>
        <w:tc>
          <w:tcPr>
            <w:tcW w:w="742"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19 375  </w:t>
            </w:r>
          </w:p>
        </w:tc>
        <w:tc>
          <w:tcPr>
            <w:tcW w:w="742" w:type="dxa"/>
            <w:tcBorders>
              <w:top w:val="nil"/>
              <w:left w:val="nil"/>
              <w:bottom w:val="nil"/>
              <w:right w:val="single" w:sz="4" w:space="0" w:color="auto"/>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19 762  </w:t>
            </w:r>
          </w:p>
        </w:tc>
      </w:tr>
      <w:tr w:rsidR="00F068C7" w:rsidRPr="008723F7" w:rsidTr="008723F7">
        <w:trPr>
          <w:trHeight w:val="287"/>
        </w:trPr>
        <w:tc>
          <w:tcPr>
            <w:tcW w:w="2366" w:type="dxa"/>
            <w:tcBorders>
              <w:top w:val="nil"/>
              <w:left w:val="single" w:sz="4" w:space="0" w:color="auto"/>
              <w:bottom w:val="nil"/>
              <w:right w:val="single" w:sz="4" w:space="0" w:color="auto"/>
            </w:tcBorders>
            <w:shd w:val="clear" w:color="000000" w:fill="E8E6E6"/>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PRÍSPEVOK (ZO ZÁKLADU MF)</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31"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742"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22 208  </w:t>
            </w:r>
          </w:p>
        </w:tc>
        <w:tc>
          <w:tcPr>
            <w:tcW w:w="742"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23 213  </w:t>
            </w:r>
          </w:p>
        </w:tc>
        <w:tc>
          <w:tcPr>
            <w:tcW w:w="742" w:type="dxa"/>
            <w:tcBorders>
              <w:top w:val="nil"/>
              <w:left w:val="nil"/>
              <w:bottom w:val="nil"/>
              <w:right w:val="nil"/>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24 285  </w:t>
            </w:r>
          </w:p>
        </w:tc>
        <w:tc>
          <w:tcPr>
            <w:tcW w:w="742" w:type="dxa"/>
            <w:tcBorders>
              <w:top w:val="nil"/>
              <w:left w:val="nil"/>
              <w:bottom w:val="nil"/>
              <w:right w:val="single" w:sz="4" w:space="0" w:color="auto"/>
            </w:tcBorders>
            <w:shd w:val="clear" w:color="000000" w:fill="E8E6E6"/>
            <w:noWrap/>
            <w:vAlign w:val="bottom"/>
            <w:hideMark/>
          </w:tcPr>
          <w:p w:rsidR="00F068C7" w:rsidRPr="008723F7" w:rsidRDefault="00F068C7" w:rsidP="001678B8">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25 335  </w:t>
            </w:r>
          </w:p>
        </w:tc>
      </w:tr>
      <w:tr w:rsidR="00F068C7" w:rsidRPr="008723F7" w:rsidTr="008723F7">
        <w:trPr>
          <w:trHeight w:val="287"/>
        </w:trPr>
        <w:tc>
          <w:tcPr>
            <w:tcW w:w="2366" w:type="dxa"/>
            <w:tcBorders>
              <w:top w:val="nil"/>
              <w:left w:val="single" w:sz="4" w:space="0" w:color="auto"/>
              <w:bottom w:val="nil"/>
              <w:right w:val="single" w:sz="4" w:space="0" w:color="auto"/>
            </w:tcBorders>
            <w:shd w:val="clear" w:color="000000" w:fill="E8E6E6"/>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lastRenderedPageBreak/>
              <w:t>ROZDIEL (OS)</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-0,61</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-2,71</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-3,24</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-3,71</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-2,79</w:t>
            </w:r>
          </w:p>
        </w:tc>
        <w:tc>
          <w:tcPr>
            <w:tcW w:w="742"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-5,33</w:t>
            </w:r>
          </w:p>
        </w:tc>
        <w:tc>
          <w:tcPr>
            <w:tcW w:w="742"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-5,61</w:t>
            </w:r>
          </w:p>
        </w:tc>
        <w:tc>
          <w:tcPr>
            <w:tcW w:w="742"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-7,24</w:t>
            </w:r>
          </w:p>
        </w:tc>
        <w:tc>
          <w:tcPr>
            <w:tcW w:w="742" w:type="dxa"/>
            <w:tcBorders>
              <w:top w:val="nil"/>
              <w:left w:val="nil"/>
              <w:bottom w:val="nil"/>
              <w:right w:val="single" w:sz="4" w:space="0" w:color="auto"/>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-8,42</w:t>
            </w:r>
          </w:p>
        </w:tc>
      </w:tr>
      <w:tr w:rsidR="00F068C7" w:rsidRPr="008723F7" w:rsidTr="008723F7">
        <w:trPr>
          <w:trHeight w:val="287"/>
        </w:trPr>
        <w:tc>
          <w:tcPr>
            <w:tcW w:w="2366" w:type="dxa"/>
            <w:tcBorders>
              <w:top w:val="nil"/>
              <w:left w:val="single" w:sz="4" w:space="0" w:color="auto"/>
              <w:bottom w:val="nil"/>
              <w:right w:val="single" w:sz="4" w:space="0" w:color="auto"/>
            </w:tcBorders>
            <w:shd w:val="clear" w:color="000000" w:fill="E8E6E6"/>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ROZDIEL (MF)</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731"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742"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-1,75</w:t>
            </w:r>
          </w:p>
        </w:tc>
        <w:tc>
          <w:tcPr>
            <w:tcW w:w="742"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-1,39</w:t>
            </w:r>
          </w:p>
        </w:tc>
        <w:tc>
          <w:tcPr>
            <w:tcW w:w="742" w:type="dxa"/>
            <w:tcBorders>
              <w:top w:val="nil"/>
              <w:left w:val="nil"/>
              <w:bottom w:val="nil"/>
              <w:right w:val="nil"/>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-2,33</w:t>
            </w:r>
          </w:p>
        </w:tc>
        <w:tc>
          <w:tcPr>
            <w:tcW w:w="742" w:type="dxa"/>
            <w:tcBorders>
              <w:top w:val="nil"/>
              <w:left w:val="nil"/>
              <w:bottom w:val="nil"/>
              <w:right w:val="single" w:sz="4" w:space="0" w:color="auto"/>
            </w:tcBorders>
            <w:shd w:val="clear" w:color="000000" w:fill="E7E6E6"/>
            <w:noWrap/>
            <w:vAlign w:val="bottom"/>
            <w:hideMark/>
          </w:tcPr>
          <w:p w:rsidR="00F068C7" w:rsidRPr="008723F7" w:rsidRDefault="00F068C7" w:rsidP="001678B8">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-2,85</w:t>
            </w:r>
          </w:p>
        </w:tc>
      </w:tr>
      <w:tr w:rsidR="00F068C7" w:rsidRPr="008723F7" w:rsidTr="008723F7">
        <w:trPr>
          <w:trHeight w:val="287"/>
        </w:trPr>
        <w:tc>
          <w:tcPr>
            <w:tcW w:w="2366" w:type="dxa"/>
            <w:tcBorders>
              <w:top w:val="single" w:sz="4" w:space="0" w:color="auto"/>
              <w:left w:val="single" w:sz="4" w:space="0" w:color="auto"/>
              <w:bottom w:val="nil"/>
              <w:right w:val="single" w:sz="4" w:space="0" w:color="auto"/>
            </w:tcBorders>
            <w:shd w:val="clear" w:color="000000" w:fill="FFC000"/>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OPTIMÁNE PERCENTO PRÍSPEVKU (OS)</w:t>
            </w:r>
          </w:p>
        </w:tc>
        <w:tc>
          <w:tcPr>
            <w:tcW w:w="731" w:type="dxa"/>
            <w:tcBorders>
              <w:top w:val="single" w:sz="4" w:space="0" w:color="auto"/>
              <w:left w:val="nil"/>
              <w:bottom w:val="nil"/>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0,363%</w:t>
            </w:r>
          </w:p>
        </w:tc>
        <w:tc>
          <w:tcPr>
            <w:tcW w:w="731" w:type="dxa"/>
            <w:tcBorders>
              <w:top w:val="single" w:sz="4" w:space="0" w:color="auto"/>
              <w:left w:val="nil"/>
              <w:bottom w:val="nil"/>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0,409%</w:t>
            </w:r>
          </w:p>
        </w:tc>
        <w:tc>
          <w:tcPr>
            <w:tcW w:w="731" w:type="dxa"/>
            <w:tcBorders>
              <w:top w:val="single" w:sz="4" w:space="0" w:color="auto"/>
              <w:left w:val="nil"/>
              <w:bottom w:val="nil"/>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0,416%</w:t>
            </w:r>
          </w:p>
        </w:tc>
        <w:tc>
          <w:tcPr>
            <w:tcW w:w="731" w:type="dxa"/>
            <w:tcBorders>
              <w:top w:val="single" w:sz="4" w:space="0" w:color="auto"/>
              <w:left w:val="nil"/>
              <w:bottom w:val="nil"/>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0,422%</w:t>
            </w:r>
          </w:p>
        </w:tc>
        <w:tc>
          <w:tcPr>
            <w:tcW w:w="731" w:type="dxa"/>
            <w:tcBorders>
              <w:top w:val="single" w:sz="4" w:space="0" w:color="auto"/>
              <w:left w:val="nil"/>
              <w:bottom w:val="nil"/>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0,403%</w:t>
            </w:r>
          </w:p>
        </w:tc>
        <w:tc>
          <w:tcPr>
            <w:tcW w:w="742" w:type="dxa"/>
            <w:tcBorders>
              <w:top w:val="single" w:sz="4" w:space="0" w:color="auto"/>
              <w:left w:val="nil"/>
              <w:bottom w:val="nil"/>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0,450%</w:t>
            </w:r>
          </w:p>
        </w:tc>
        <w:tc>
          <w:tcPr>
            <w:tcW w:w="742" w:type="dxa"/>
            <w:tcBorders>
              <w:top w:val="single" w:sz="4" w:space="0" w:color="auto"/>
              <w:left w:val="nil"/>
              <w:bottom w:val="nil"/>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0,453%</w:t>
            </w:r>
          </w:p>
        </w:tc>
        <w:tc>
          <w:tcPr>
            <w:tcW w:w="742" w:type="dxa"/>
            <w:tcBorders>
              <w:top w:val="single" w:sz="4" w:space="0" w:color="auto"/>
              <w:left w:val="nil"/>
              <w:bottom w:val="nil"/>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0,481%</w:t>
            </w:r>
          </w:p>
        </w:tc>
        <w:tc>
          <w:tcPr>
            <w:tcW w:w="742" w:type="dxa"/>
            <w:tcBorders>
              <w:top w:val="single" w:sz="4" w:space="0" w:color="auto"/>
              <w:left w:val="nil"/>
              <w:bottom w:val="nil"/>
              <w:right w:val="single" w:sz="4" w:space="0" w:color="auto"/>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0,499%</w:t>
            </w:r>
          </w:p>
        </w:tc>
      </w:tr>
      <w:tr w:rsidR="00F068C7" w:rsidRPr="008723F7" w:rsidTr="008723F7">
        <w:trPr>
          <w:trHeight w:val="287"/>
        </w:trPr>
        <w:tc>
          <w:tcPr>
            <w:tcW w:w="2366" w:type="dxa"/>
            <w:tcBorders>
              <w:top w:val="nil"/>
              <w:left w:val="single" w:sz="4" w:space="0" w:color="auto"/>
              <w:bottom w:val="single" w:sz="4" w:space="0" w:color="auto"/>
              <w:right w:val="single" w:sz="4" w:space="0" w:color="auto"/>
            </w:tcBorders>
            <w:shd w:val="clear" w:color="000000" w:fill="FFC000"/>
            <w:noWrap/>
            <w:vAlign w:val="bottom"/>
            <w:hideMark/>
          </w:tcPr>
          <w:p w:rsidR="00F068C7" w:rsidRPr="008723F7" w:rsidRDefault="00F068C7" w:rsidP="001678B8">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OPTIMÁNE PERCENTO PRÍSPEVKU (MF)</w:t>
            </w:r>
          </w:p>
        </w:tc>
        <w:tc>
          <w:tcPr>
            <w:tcW w:w="731" w:type="dxa"/>
            <w:tcBorders>
              <w:top w:val="nil"/>
              <w:left w:val="nil"/>
              <w:bottom w:val="single" w:sz="4" w:space="0" w:color="auto"/>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731" w:type="dxa"/>
            <w:tcBorders>
              <w:top w:val="nil"/>
              <w:left w:val="nil"/>
              <w:bottom w:val="single" w:sz="4" w:space="0" w:color="auto"/>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731" w:type="dxa"/>
            <w:tcBorders>
              <w:top w:val="nil"/>
              <w:left w:val="nil"/>
              <w:bottom w:val="single" w:sz="4" w:space="0" w:color="auto"/>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731" w:type="dxa"/>
            <w:tcBorders>
              <w:top w:val="nil"/>
              <w:left w:val="nil"/>
              <w:bottom w:val="single" w:sz="4" w:space="0" w:color="auto"/>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731" w:type="dxa"/>
            <w:tcBorders>
              <w:top w:val="nil"/>
              <w:left w:val="nil"/>
              <w:bottom w:val="single" w:sz="4" w:space="0" w:color="auto"/>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742" w:type="dxa"/>
            <w:tcBorders>
              <w:top w:val="nil"/>
              <w:left w:val="nil"/>
              <w:bottom w:val="single" w:sz="4" w:space="0" w:color="auto"/>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0,378%</w:t>
            </w:r>
          </w:p>
        </w:tc>
        <w:tc>
          <w:tcPr>
            <w:tcW w:w="742" w:type="dxa"/>
            <w:tcBorders>
              <w:top w:val="nil"/>
              <w:left w:val="nil"/>
              <w:bottom w:val="single" w:sz="4" w:space="0" w:color="auto"/>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0,371%</w:t>
            </w:r>
          </w:p>
        </w:tc>
        <w:tc>
          <w:tcPr>
            <w:tcW w:w="742" w:type="dxa"/>
            <w:tcBorders>
              <w:top w:val="nil"/>
              <w:left w:val="nil"/>
              <w:bottom w:val="single" w:sz="4" w:space="0" w:color="auto"/>
              <w:right w:val="nil"/>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0,384%</w:t>
            </w:r>
          </w:p>
        </w:tc>
        <w:tc>
          <w:tcPr>
            <w:tcW w:w="742" w:type="dxa"/>
            <w:tcBorders>
              <w:top w:val="nil"/>
              <w:left w:val="nil"/>
              <w:bottom w:val="single" w:sz="4" w:space="0" w:color="auto"/>
              <w:right w:val="single" w:sz="4" w:space="0" w:color="auto"/>
            </w:tcBorders>
            <w:shd w:val="clear" w:color="000000" w:fill="FFC000"/>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0,389%</w:t>
            </w:r>
          </w:p>
        </w:tc>
      </w:tr>
      <w:tr w:rsidR="00F068C7" w:rsidRPr="008723F7" w:rsidTr="008723F7">
        <w:trPr>
          <w:trHeight w:val="287"/>
        </w:trPr>
        <w:tc>
          <w:tcPr>
            <w:tcW w:w="2366"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b/>
                <w:bCs/>
                <w:sz w:val="16"/>
                <w:szCs w:val="16"/>
                <w:lang w:eastAsia="sk-SK"/>
              </w:rPr>
            </w:pP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c>
          <w:tcPr>
            <w:tcW w:w="731"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c>
          <w:tcPr>
            <w:tcW w:w="74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sz w:val="16"/>
                <w:szCs w:val="16"/>
                <w:lang w:eastAsia="sk-SK"/>
              </w:rPr>
            </w:pPr>
          </w:p>
        </w:tc>
      </w:tr>
    </w:tbl>
    <w:p w:rsidR="00F068C7" w:rsidRPr="008723F7" w:rsidRDefault="00F068C7" w:rsidP="001678B8">
      <w:pPr>
        <w:spacing w:after="0" w:line="240" w:lineRule="auto"/>
        <w:rPr>
          <w:rFonts w:ascii="Times New Roman" w:hAnsi="Times New Roman"/>
        </w:rPr>
      </w:pPr>
    </w:p>
    <w:p w:rsidR="00F068C7" w:rsidRPr="008723F7" w:rsidRDefault="00F068C7" w:rsidP="001678B8">
      <w:pPr>
        <w:spacing w:after="0" w:line="240" w:lineRule="auto"/>
        <w:rPr>
          <w:rFonts w:ascii="Times New Roman" w:hAnsi="Times New Roman"/>
        </w:rPr>
      </w:pPr>
    </w:p>
    <w:p w:rsidR="00F068C7" w:rsidRPr="008723F7" w:rsidRDefault="00F068C7" w:rsidP="001678B8">
      <w:pPr>
        <w:spacing w:after="0" w:line="240" w:lineRule="auto"/>
        <w:rPr>
          <w:rFonts w:ascii="Times New Roman" w:hAnsi="Times New Roman"/>
        </w:rPr>
      </w:pPr>
      <w:r w:rsidRPr="008723F7">
        <w:rPr>
          <w:rFonts w:ascii="Times New Roman" w:hAnsi="Times New Roman"/>
        </w:rPr>
        <w:t>NCZI</w:t>
      </w:r>
    </w:p>
    <w:p w:rsidR="00F068C7" w:rsidRPr="008723F7" w:rsidRDefault="00F068C7" w:rsidP="001678B8">
      <w:pPr>
        <w:spacing w:after="0" w:line="240" w:lineRule="auto"/>
        <w:rPr>
          <w:rFonts w:ascii="Times New Roman" w:hAnsi="Times New Roman"/>
        </w:rPr>
      </w:pPr>
    </w:p>
    <w:tbl>
      <w:tblPr>
        <w:tblW w:w="9713" w:type="dxa"/>
        <w:tblCellMar>
          <w:left w:w="70" w:type="dxa"/>
          <w:right w:w="70" w:type="dxa"/>
        </w:tblCellMar>
        <w:tblLook w:val="04A0" w:firstRow="1" w:lastRow="0" w:firstColumn="1" w:lastColumn="0" w:noHBand="0" w:noVBand="1"/>
      </w:tblPr>
      <w:tblGrid>
        <w:gridCol w:w="1933"/>
        <w:gridCol w:w="2110"/>
        <w:gridCol w:w="1498"/>
        <w:gridCol w:w="2062"/>
        <w:gridCol w:w="2110"/>
      </w:tblGrid>
      <w:tr w:rsidR="00F068C7" w:rsidRPr="008723F7" w:rsidTr="008723F7">
        <w:trPr>
          <w:trHeight w:val="520"/>
        </w:trPr>
        <w:tc>
          <w:tcPr>
            <w:tcW w:w="1933"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lang w:eastAsia="sk-SK"/>
              </w:rPr>
            </w:pPr>
          </w:p>
        </w:tc>
        <w:tc>
          <w:tcPr>
            <w:tcW w:w="2110"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lang w:eastAsia="sk-SK"/>
              </w:rPr>
            </w:pPr>
          </w:p>
        </w:tc>
        <w:tc>
          <w:tcPr>
            <w:tcW w:w="1498"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lang w:eastAsia="sk-SK"/>
              </w:rPr>
            </w:pPr>
          </w:p>
        </w:tc>
        <w:tc>
          <w:tcPr>
            <w:tcW w:w="206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lang w:eastAsia="sk-SK"/>
              </w:rPr>
            </w:pPr>
          </w:p>
        </w:tc>
        <w:tc>
          <w:tcPr>
            <w:tcW w:w="2110"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lang w:eastAsia="sk-SK"/>
              </w:rPr>
            </w:pPr>
          </w:p>
        </w:tc>
      </w:tr>
      <w:tr w:rsidR="00F068C7" w:rsidRPr="008723F7" w:rsidTr="008723F7">
        <w:trPr>
          <w:trHeight w:val="520"/>
        </w:trPr>
        <w:tc>
          <w:tcPr>
            <w:tcW w:w="1933"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lang w:eastAsia="sk-SK"/>
              </w:rPr>
            </w:pPr>
          </w:p>
        </w:tc>
        <w:tc>
          <w:tcPr>
            <w:tcW w:w="2110" w:type="dxa"/>
            <w:tcBorders>
              <w:top w:val="single" w:sz="8" w:space="0" w:color="auto"/>
              <w:left w:val="single" w:sz="8" w:space="0" w:color="auto"/>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Rok 2022</w:t>
            </w:r>
          </w:p>
        </w:tc>
        <w:tc>
          <w:tcPr>
            <w:tcW w:w="1498" w:type="dxa"/>
            <w:tcBorders>
              <w:top w:val="single" w:sz="8" w:space="0" w:color="auto"/>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Rok 2023</w:t>
            </w:r>
          </w:p>
        </w:tc>
        <w:tc>
          <w:tcPr>
            <w:tcW w:w="2062" w:type="dxa"/>
            <w:tcBorders>
              <w:top w:val="single" w:sz="8" w:space="0" w:color="auto"/>
              <w:left w:val="nil"/>
              <w:bottom w:val="nil"/>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Rok 2024</w:t>
            </w:r>
          </w:p>
        </w:tc>
        <w:tc>
          <w:tcPr>
            <w:tcW w:w="2110" w:type="dxa"/>
            <w:tcBorders>
              <w:top w:val="single" w:sz="8" w:space="0" w:color="auto"/>
              <w:left w:val="nil"/>
              <w:bottom w:val="nil"/>
              <w:right w:val="single" w:sz="8"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Rok 2025</w:t>
            </w:r>
          </w:p>
        </w:tc>
      </w:tr>
      <w:tr w:rsidR="00F068C7" w:rsidRPr="008723F7" w:rsidTr="008723F7">
        <w:trPr>
          <w:trHeight w:val="503"/>
        </w:trPr>
        <w:tc>
          <w:tcPr>
            <w:tcW w:w="19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Variabilné nálady</w:t>
            </w:r>
          </w:p>
        </w:tc>
        <w:tc>
          <w:tcPr>
            <w:tcW w:w="2110" w:type="dxa"/>
            <w:tcBorders>
              <w:top w:val="single" w:sz="8" w:space="0" w:color="auto"/>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9 610 219,51</w:t>
            </w:r>
          </w:p>
        </w:tc>
        <w:tc>
          <w:tcPr>
            <w:tcW w:w="1498" w:type="dxa"/>
            <w:tcBorders>
              <w:top w:val="single" w:sz="8" w:space="0" w:color="auto"/>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5 472 605,56</w:t>
            </w:r>
          </w:p>
        </w:tc>
        <w:tc>
          <w:tcPr>
            <w:tcW w:w="2062" w:type="dxa"/>
            <w:tcBorders>
              <w:top w:val="single" w:sz="8" w:space="0" w:color="auto"/>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5 472 605,56</w:t>
            </w:r>
          </w:p>
        </w:tc>
        <w:tc>
          <w:tcPr>
            <w:tcW w:w="2110" w:type="dxa"/>
            <w:tcBorders>
              <w:top w:val="single" w:sz="8" w:space="0" w:color="auto"/>
              <w:left w:val="nil"/>
              <w:bottom w:val="single" w:sz="4" w:space="0" w:color="auto"/>
              <w:right w:val="single" w:sz="8"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5 462 605,56</w:t>
            </w:r>
          </w:p>
        </w:tc>
      </w:tr>
      <w:tr w:rsidR="00F068C7" w:rsidRPr="008723F7" w:rsidTr="008723F7">
        <w:trPr>
          <w:trHeight w:val="503"/>
        </w:trPr>
        <w:tc>
          <w:tcPr>
            <w:tcW w:w="1933" w:type="dxa"/>
            <w:tcBorders>
              <w:top w:val="nil"/>
              <w:left w:val="single" w:sz="8" w:space="0" w:color="auto"/>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Fixné náklady</w:t>
            </w:r>
          </w:p>
        </w:tc>
        <w:tc>
          <w:tcPr>
            <w:tcW w:w="2110"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5 598 849,09</w:t>
            </w:r>
          </w:p>
        </w:tc>
        <w:tc>
          <w:tcPr>
            <w:tcW w:w="1498"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5 344 676,44</w:t>
            </w:r>
          </w:p>
        </w:tc>
        <w:tc>
          <w:tcPr>
            <w:tcW w:w="2062"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6 261 315,44</w:t>
            </w:r>
          </w:p>
        </w:tc>
        <w:tc>
          <w:tcPr>
            <w:tcW w:w="2110" w:type="dxa"/>
            <w:tcBorders>
              <w:top w:val="nil"/>
              <w:left w:val="nil"/>
              <w:bottom w:val="single" w:sz="4" w:space="0" w:color="auto"/>
              <w:right w:val="single" w:sz="8"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6 859 846,44</w:t>
            </w:r>
          </w:p>
        </w:tc>
      </w:tr>
      <w:tr w:rsidR="00F068C7" w:rsidRPr="008723F7" w:rsidTr="008723F7">
        <w:trPr>
          <w:trHeight w:val="503"/>
        </w:trPr>
        <w:tc>
          <w:tcPr>
            <w:tcW w:w="1933" w:type="dxa"/>
            <w:tcBorders>
              <w:top w:val="nil"/>
              <w:left w:val="single" w:sz="8" w:space="0" w:color="auto"/>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personálne výdavky</w:t>
            </w:r>
          </w:p>
        </w:tc>
        <w:tc>
          <w:tcPr>
            <w:tcW w:w="2110"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11 624 776,00</w:t>
            </w:r>
          </w:p>
        </w:tc>
        <w:tc>
          <w:tcPr>
            <w:tcW w:w="1498"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11 800 034,00</w:t>
            </w:r>
          </w:p>
        </w:tc>
        <w:tc>
          <w:tcPr>
            <w:tcW w:w="2062"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12 773 372,00</w:t>
            </w:r>
          </w:p>
        </w:tc>
        <w:tc>
          <w:tcPr>
            <w:tcW w:w="2110" w:type="dxa"/>
            <w:tcBorders>
              <w:top w:val="nil"/>
              <w:left w:val="nil"/>
              <w:bottom w:val="single" w:sz="4" w:space="0" w:color="auto"/>
              <w:right w:val="single" w:sz="8"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13 398 307,00</w:t>
            </w:r>
          </w:p>
        </w:tc>
      </w:tr>
      <w:tr w:rsidR="00F068C7" w:rsidRPr="008723F7" w:rsidTr="008723F7">
        <w:trPr>
          <w:trHeight w:val="503"/>
        </w:trPr>
        <w:tc>
          <w:tcPr>
            <w:tcW w:w="1933" w:type="dxa"/>
            <w:tcBorders>
              <w:top w:val="nil"/>
              <w:left w:val="single" w:sz="8" w:space="0" w:color="auto"/>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Energie a vodne stočné</w:t>
            </w:r>
          </w:p>
        </w:tc>
        <w:tc>
          <w:tcPr>
            <w:tcW w:w="2110"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307 042,42</w:t>
            </w:r>
          </w:p>
        </w:tc>
        <w:tc>
          <w:tcPr>
            <w:tcW w:w="1498"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295 372,00</w:t>
            </w:r>
          </w:p>
        </w:tc>
        <w:tc>
          <w:tcPr>
            <w:tcW w:w="2062" w:type="dxa"/>
            <w:tcBorders>
              <w:top w:val="nil"/>
              <w:left w:val="nil"/>
              <w:bottom w:val="single" w:sz="4"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295 372,00</w:t>
            </w:r>
          </w:p>
        </w:tc>
        <w:tc>
          <w:tcPr>
            <w:tcW w:w="2110" w:type="dxa"/>
            <w:tcBorders>
              <w:top w:val="nil"/>
              <w:left w:val="nil"/>
              <w:bottom w:val="single" w:sz="4" w:space="0" w:color="auto"/>
              <w:right w:val="single" w:sz="8"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295 372,00</w:t>
            </w:r>
          </w:p>
        </w:tc>
      </w:tr>
      <w:tr w:rsidR="00F068C7" w:rsidRPr="008723F7" w:rsidTr="008723F7">
        <w:trPr>
          <w:trHeight w:val="520"/>
        </w:trPr>
        <w:tc>
          <w:tcPr>
            <w:tcW w:w="1933" w:type="dxa"/>
            <w:tcBorders>
              <w:top w:val="nil"/>
              <w:left w:val="single" w:sz="8" w:space="0" w:color="auto"/>
              <w:bottom w:val="single" w:sz="8" w:space="0" w:color="auto"/>
              <w:right w:val="single" w:sz="4" w:space="0" w:color="auto"/>
            </w:tcBorders>
            <w:shd w:val="clear" w:color="auto" w:fill="auto"/>
            <w:noWrap/>
            <w:vAlign w:val="bottom"/>
            <w:hideMark/>
          </w:tcPr>
          <w:p w:rsidR="00F068C7" w:rsidRPr="008723F7" w:rsidRDefault="00F068C7"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plán </w:t>
            </w:r>
            <w:proofErr w:type="spellStart"/>
            <w:r w:rsidRPr="008723F7">
              <w:rPr>
                <w:rFonts w:ascii="Times New Roman" w:eastAsia="Times New Roman" w:hAnsi="Times New Roman"/>
                <w:color w:val="000000"/>
                <w:lang w:eastAsia="sk-SK"/>
              </w:rPr>
              <w:t>inv.akcií</w:t>
            </w:r>
            <w:proofErr w:type="spellEnd"/>
          </w:p>
        </w:tc>
        <w:tc>
          <w:tcPr>
            <w:tcW w:w="2110" w:type="dxa"/>
            <w:tcBorders>
              <w:top w:val="nil"/>
              <w:left w:val="nil"/>
              <w:bottom w:val="single" w:sz="8"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23 045 393,51</w:t>
            </w:r>
          </w:p>
        </w:tc>
        <w:tc>
          <w:tcPr>
            <w:tcW w:w="1498" w:type="dxa"/>
            <w:tcBorders>
              <w:top w:val="nil"/>
              <w:left w:val="nil"/>
              <w:bottom w:val="single" w:sz="8"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63 541 170,73</w:t>
            </w:r>
          </w:p>
        </w:tc>
        <w:tc>
          <w:tcPr>
            <w:tcW w:w="2062" w:type="dxa"/>
            <w:tcBorders>
              <w:top w:val="nil"/>
              <w:left w:val="nil"/>
              <w:bottom w:val="single" w:sz="8" w:space="0" w:color="auto"/>
              <w:right w:val="single" w:sz="4"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9 798 817,35</w:t>
            </w:r>
          </w:p>
        </w:tc>
        <w:tc>
          <w:tcPr>
            <w:tcW w:w="2110" w:type="dxa"/>
            <w:tcBorders>
              <w:top w:val="nil"/>
              <w:left w:val="nil"/>
              <w:bottom w:val="single" w:sz="8" w:space="0" w:color="auto"/>
              <w:right w:val="single" w:sz="8" w:space="0" w:color="auto"/>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9 798 817,35</w:t>
            </w:r>
          </w:p>
        </w:tc>
      </w:tr>
      <w:tr w:rsidR="00F068C7" w:rsidRPr="008723F7" w:rsidTr="008723F7">
        <w:trPr>
          <w:trHeight w:val="503"/>
        </w:trPr>
        <w:tc>
          <w:tcPr>
            <w:tcW w:w="1933"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p>
        </w:tc>
        <w:tc>
          <w:tcPr>
            <w:tcW w:w="2110"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50 186 280,53</w:t>
            </w:r>
          </w:p>
        </w:tc>
        <w:tc>
          <w:tcPr>
            <w:tcW w:w="1498"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86 453 858,73</w:t>
            </w:r>
          </w:p>
        </w:tc>
        <w:tc>
          <w:tcPr>
            <w:tcW w:w="2062"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34 601 482,35</w:t>
            </w:r>
          </w:p>
        </w:tc>
        <w:tc>
          <w:tcPr>
            <w:tcW w:w="2110" w:type="dxa"/>
            <w:tcBorders>
              <w:top w:val="nil"/>
              <w:left w:val="nil"/>
              <w:bottom w:val="nil"/>
              <w:right w:val="nil"/>
            </w:tcBorders>
            <w:shd w:val="clear" w:color="auto" w:fill="auto"/>
            <w:noWrap/>
            <w:vAlign w:val="bottom"/>
            <w:hideMark/>
          </w:tcPr>
          <w:p w:rsidR="00F068C7" w:rsidRPr="008723F7" w:rsidRDefault="00F068C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35 814 948,35</w:t>
            </w:r>
          </w:p>
        </w:tc>
      </w:tr>
    </w:tbl>
    <w:p w:rsidR="00F068C7" w:rsidRPr="008723F7" w:rsidRDefault="00F068C7" w:rsidP="001678B8">
      <w:pPr>
        <w:spacing w:after="0" w:line="240" w:lineRule="auto"/>
        <w:rPr>
          <w:rFonts w:ascii="Times New Roman" w:hAnsi="Times New Roman"/>
        </w:rPr>
      </w:pPr>
    </w:p>
    <w:p w:rsidR="00F068C7" w:rsidRPr="008723F7" w:rsidRDefault="00F068C7" w:rsidP="001678B8">
      <w:pPr>
        <w:spacing w:after="0" w:line="240" w:lineRule="auto"/>
        <w:rPr>
          <w:rFonts w:ascii="Times New Roman" w:hAnsi="Times New Roman"/>
          <w:color w:val="1F497D"/>
        </w:rPr>
      </w:pPr>
    </w:p>
    <w:p w:rsidR="00175223" w:rsidRPr="008723F7" w:rsidRDefault="00175223" w:rsidP="001678B8">
      <w:pPr>
        <w:pStyle w:val="Odsekzoznamu"/>
        <w:numPr>
          <w:ilvl w:val="0"/>
          <w:numId w:val="14"/>
        </w:numPr>
        <w:contextualSpacing/>
        <w:jc w:val="both"/>
        <w:rPr>
          <w:b/>
          <w:sz w:val="22"/>
          <w:szCs w:val="22"/>
        </w:rPr>
      </w:pPr>
      <w:r w:rsidRPr="008723F7">
        <w:rPr>
          <w:b/>
          <w:sz w:val="22"/>
          <w:szCs w:val="22"/>
        </w:rPr>
        <w:t>Platba štátu</w:t>
      </w:r>
    </w:p>
    <w:p w:rsidR="00175223" w:rsidRPr="008723F7" w:rsidRDefault="00175223" w:rsidP="001678B8">
      <w:pPr>
        <w:spacing w:after="0" w:line="240" w:lineRule="auto"/>
        <w:rPr>
          <w:rFonts w:ascii="Times New Roman" w:hAnsi="Times New Roman"/>
        </w:rPr>
      </w:pPr>
    </w:p>
    <w:p w:rsidR="00175223" w:rsidRPr="008723F7" w:rsidRDefault="00175223" w:rsidP="001678B8">
      <w:pPr>
        <w:spacing w:after="0" w:line="240" w:lineRule="auto"/>
        <w:ind w:firstLine="360"/>
        <w:jc w:val="both"/>
        <w:rPr>
          <w:rFonts w:ascii="Times New Roman" w:hAnsi="Times New Roman"/>
        </w:rPr>
      </w:pPr>
      <w:r w:rsidRPr="008723F7">
        <w:rPr>
          <w:rFonts w:ascii="Times New Roman" w:hAnsi="Times New Roman"/>
        </w:rPr>
        <w:t>Navrhuje sa minimálna hranica pri určení platby za poistencov štátu.</w:t>
      </w:r>
    </w:p>
    <w:p w:rsidR="00175223" w:rsidRPr="008723F7" w:rsidRDefault="00175223" w:rsidP="001678B8">
      <w:pPr>
        <w:spacing w:after="0" w:line="240" w:lineRule="auto"/>
        <w:jc w:val="both"/>
        <w:rPr>
          <w:rFonts w:ascii="Times New Roman" w:hAnsi="Times New Roman"/>
        </w:rPr>
      </w:pPr>
      <w:r w:rsidRPr="008723F7">
        <w:rPr>
          <w:rFonts w:ascii="Times New Roman" w:hAnsi="Times New Roman"/>
        </w:rPr>
        <w:t>Vzhľadom k skutočnosti, že súčasná definícia platby za poistencov štátu neobsahuje žiadne ani približné určenie minimálnej sumy, ktorú by mal štát za svojich poistencov uhradiť, príprava rozpočtu zdravotných poisťovní na ďalší rok a s tým súvisiace rokovania o zmluvách s poskytovateľmi zdravotnej starostlivosti obsahujú značnú mieru neistoty. Zároveň sa z platby za poistencov štátu stáva politikum, kedy sa táto suma určuje nie s ohľadom na potrebu zabezpečenia zdravotnej starostlivosti poistencom, ale s cieľom čo najviac šetriť zdroje z Ministerstva financií SR. Vedľajším prejavom tohto stavu je stále klesajúci podiel platby za poistencov štátu na celkových zdrojoch verejného zdravotného poistenia a deficitné financovanie celého systému, vrátane poskytovateľov zdravotnej starostlivosti.</w:t>
      </w:r>
    </w:p>
    <w:p w:rsidR="00175223" w:rsidRPr="008723F7" w:rsidRDefault="00175223" w:rsidP="001678B8">
      <w:pPr>
        <w:spacing w:after="0" w:line="240" w:lineRule="auto"/>
        <w:jc w:val="both"/>
        <w:rPr>
          <w:rFonts w:ascii="Times New Roman" w:hAnsi="Times New Roman"/>
        </w:rPr>
      </w:pPr>
      <w:r w:rsidRPr="008723F7">
        <w:rPr>
          <w:rFonts w:ascii="Times New Roman" w:hAnsi="Times New Roman"/>
        </w:rPr>
        <w:t>Vo všeobecnosti možno skonštatovať, že poistenci štátu patria k najnákladnejším skupinám poistencov, pričom vývoj platby za túto skupinu v posledných rokoch tomu nezodpovedá.</w:t>
      </w:r>
    </w:p>
    <w:p w:rsidR="00CC7E4E" w:rsidRPr="008723F7" w:rsidRDefault="00CC7E4E" w:rsidP="001678B8">
      <w:pPr>
        <w:spacing w:after="0" w:line="240" w:lineRule="auto"/>
        <w:jc w:val="both"/>
        <w:rPr>
          <w:rFonts w:ascii="Times New Roman" w:hAnsi="Times New Roman"/>
        </w:rPr>
      </w:pPr>
    </w:p>
    <w:tbl>
      <w:tblPr>
        <w:tblW w:w="9958" w:type="dxa"/>
        <w:tblInd w:w="-45" w:type="dxa"/>
        <w:tblLayout w:type="fixed"/>
        <w:tblCellMar>
          <w:left w:w="70" w:type="dxa"/>
          <w:right w:w="70" w:type="dxa"/>
        </w:tblCellMar>
        <w:tblLook w:val="0000" w:firstRow="0" w:lastRow="0" w:firstColumn="0" w:lastColumn="0" w:noHBand="0" w:noVBand="0"/>
      </w:tblPr>
      <w:tblGrid>
        <w:gridCol w:w="2386"/>
        <w:gridCol w:w="1514"/>
        <w:gridCol w:w="1514"/>
        <w:gridCol w:w="1515"/>
        <w:gridCol w:w="1514"/>
        <w:gridCol w:w="1515"/>
      </w:tblGrid>
      <w:tr w:rsidR="00CC7E4E" w:rsidRPr="008723F7" w:rsidTr="00CC7E4E">
        <w:tblPrEx>
          <w:tblCellMar>
            <w:top w:w="0" w:type="dxa"/>
            <w:bottom w:w="0" w:type="dxa"/>
          </w:tblCellMar>
        </w:tblPrEx>
        <w:trPr>
          <w:trHeight w:val="334"/>
        </w:trPr>
        <w:tc>
          <w:tcPr>
            <w:tcW w:w="2386" w:type="dxa"/>
            <w:tcBorders>
              <w:top w:val="single" w:sz="12" w:space="0" w:color="auto"/>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rok</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2013</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2014</w:t>
            </w:r>
          </w:p>
        </w:tc>
        <w:tc>
          <w:tcPr>
            <w:tcW w:w="1515"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2015</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2016</w:t>
            </w:r>
          </w:p>
        </w:tc>
        <w:tc>
          <w:tcPr>
            <w:tcW w:w="1515"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2017</w:t>
            </w:r>
          </w:p>
        </w:tc>
      </w:tr>
      <w:tr w:rsidR="00CC7E4E" w:rsidRPr="008723F7" w:rsidTr="00CC7E4E">
        <w:tblPrEx>
          <w:tblCellMar>
            <w:top w:w="0" w:type="dxa"/>
            <w:bottom w:w="0" w:type="dxa"/>
          </w:tblCellMar>
        </w:tblPrEx>
        <w:trPr>
          <w:trHeight w:val="305"/>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platba za poistencov štátu</w:t>
            </w:r>
          </w:p>
        </w:tc>
        <w:tc>
          <w:tcPr>
            <w:tcW w:w="1514"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1 269 613 310</w:t>
            </w:r>
          </w:p>
        </w:tc>
        <w:tc>
          <w:tcPr>
            <w:tcW w:w="1514"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1 206 432 312</w:t>
            </w:r>
          </w:p>
        </w:tc>
        <w:tc>
          <w:tcPr>
            <w:tcW w:w="1515"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1 369 678 843</w:t>
            </w:r>
          </w:p>
        </w:tc>
        <w:tc>
          <w:tcPr>
            <w:tcW w:w="1514"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1 390 378 659</w:t>
            </w:r>
          </w:p>
        </w:tc>
        <w:tc>
          <w:tcPr>
            <w:tcW w:w="1515"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1 291 648 897</w:t>
            </w:r>
          </w:p>
        </w:tc>
      </w:tr>
      <w:tr w:rsidR="00CC7E4E" w:rsidRPr="008723F7" w:rsidTr="00CC7E4E">
        <w:tblPrEx>
          <w:tblCellMar>
            <w:top w:w="0" w:type="dxa"/>
            <w:bottom w:w="0" w:type="dxa"/>
          </w:tblCellMar>
        </w:tblPrEx>
        <w:trPr>
          <w:trHeight w:val="305"/>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 xml:space="preserve">(rok – 2) </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2011</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2012</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2013</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2014</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2015</w:t>
            </w:r>
          </w:p>
        </w:tc>
      </w:tr>
      <w:tr w:rsidR="00CC7E4E" w:rsidRPr="008723F7" w:rsidTr="00CC7E4E">
        <w:tblPrEx>
          <w:tblCellMar>
            <w:top w:w="0" w:type="dxa"/>
            <w:bottom w:w="0" w:type="dxa"/>
          </w:tblCellMar>
        </w:tblPrEx>
        <w:trPr>
          <w:trHeight w:val="319"/>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hrubý domáci produkt SR</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72,4</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73,4</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73,9</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75,9</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79,9</w:t>
            </w:r>
          </w:p>
        </w:tc>
      </w:tr>
      <w:tr w:rsidR="00CC7E4E" w:rsidRPr="008723F7" w:rsidTr="00CC7E4E">
        <w:tblPrEx>
          <w:tblCellMar>
            <w:top w:w="0" w:type="dxa"/>
            <w:bottom w:w="0" w:type="dxa"/>
          </w:tblCellMar>
        </w:tblPrEx>
        <w:trPr>
          <w:trHeight w:val="506"/>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podiel platby na  hrubom domácom produkte SR</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1,78%</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1,64%</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1,85%</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1,83%</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1,62%</w:t>
            </w:r>
          </w:p>
        </w:tc>
      </w:tr>
      <w:tr w:rsidR="00CC7E4E" w:rsidRPr="008723F7" w:rsidTr="00CC7E4E">
        <w:tblPrEx>
          <w:tblCellMar>
            <w:top w:w="0" w:type="dxa"/>
            <w:bottom w:w="0" w:type="dxa"/>
          </w:tblCellMar>
        </w:tblPrEx>
        <w:trPr>
          <w:trHeight w:val="305"/>
        </w:trPr>
        <w:tc>
          <w:tcPr>
            <w:tcW w:w="2386"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19"/>
        </w:trPr>
        <w:tc>
          <w:tcPr>
            <w:tcW w:w="2386"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05"/>
        </w:trPr>
        <w:tc>
          <w:tcPr>
            <w:tcW w:w="2386" w:type="dxa"/>
            <w:tcBorders>
              <w:top w:val="single" w:sz="12" w:space="0" w:color="auto"/>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rok</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2018</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2019</w:t>
            </w:r>
          </w:p>
        </w:tc>
        <w:tc>
          <w:tcPr>
            <w:tcW w:w="1515"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2020</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2021</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05"/>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platba za poistencov štátu</w:t>
            </w:r>
          </w:p>
        </w:tc>
        <w:tc>
          <w:tcPr>
            <w:tcW w:w="1514"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1 190 115 914</w:t>
            </w:r>
          </w:p>
        </w:tc>
        <w:tc>
          <w:tcPr>
            <w:tcW w:w="1514"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1 203 811 958</w:t>
            </w:r>
          </w:p>
        </w:tc>
        <w:tc>
          <w:tcPr>
            <w:tcW w:w="1515"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1 139 028 589</w:t>
            </w:r>
          </w:p>
        </w:tc>
        <w:tc>
          <w:tcPr>
            <w:tcW w:w="1514" w:type="dxa"/>
            <w:tcBorders>
              <w:top w:val="nil"/>
              <w:left w:val="nil"/>
              <w:bottom w:val="single" w:sz="12" w:space="0" w:color="auto"/>
              <w:right w:val="single" w:sz="12" w:space="0" w:color="auto"/>
            </w:tcBorders>
            <w:shd w:val="solid" w:color="FFFFFF"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1 290 425 853</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34"/>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 xml:space="preserve">(rok – 2) </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2016</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2017</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2018</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2019</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34"/>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hrubý domáci produkt</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81,4</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83,9</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87,0</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89,3</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506"/>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podiel platby na  hrubom domácom produkte</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1,47%</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1,43%</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1,27%</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1,37%</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19"/>
        </w:trPr>
        <w:tc>
          <w:tcPr>
            <w:tcW w:w="2386"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34"/>
        </w:trPr>
        <w:tc>
          <w:tcPr>
            <w:tcW w:w="2386" w:type="dxa"/>
            <w:tcBorders>
              <w:top w:val="nil"/>
              <w:left w:val="nil"/>
              <w:bottom w:val="nil"/>
              <w:right w:val="nil"/>
            </w:tcBorders>
          </w:tcPr>
          <w:p w:rsidR="00CC7E4E" w:rsidRPr="008723F7" w:rsidRDefault="00CC7E4E" w:rsidP="001678B8">
            <w:pPr>
              <w:autoSpaceDE w:val="0"/>
              <w:autoSpaceDN w:val="0"/>
              <w:adjustRightInd w:val="0"/>
              <w:spacing w:after="0" w:line="240" w:lineRule="auto"/>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34"/>
        </w:trPr>
        <w:tc>
          <w:tcPr>
            <w:tcW w:w="2386" w:type="dxa"/>
            <w:tcBorders>
              <w:top w:val="single" w:sz="12" w:space="0" w:color="auto"/>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rok</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2022</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2023</w:t>
            </w:r>
          </w:p>
        </w:tc>
        <w:tc>
          <w:tcPr>
            <w:tcW w:w="1515"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2024</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2025</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34"/>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platba za poistencov štátu</w:t>
            </w:r>
          </w:p>
        </w:tc>
        <w:tc>
          <w:tcPr>
            <w:tcW w:w="1514" w:type="dxa"/>
            <w:tcBorders>
              <w:top w:val="single" w:sz="6" w:space="0" w:color="auto"/>
              <w:left w:val="single" w:sz="6" w:space="0" w:color="auto"/>
              <w:bottom w:val="single" w:sz="6" w:space="0" w:color="auto"/>
              <w:right w:val="single" w:sz="6" w:space="0" w:color="auto"/>
            </w:tcBorders>
            <w:shd w:val="solid" w:color="FF8080"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FF0000"/>
              </w:rPr>
            </w:pPr>
            <w:r w:rsidRPr="008723F7">
              <w:rPr>
                <w:rFonts w:ascii="Times New Roman" w:eastAsiaTheme="minorHAnsi" w:hAnsi="Times New Roman"/>
                <w:color w:val="FF0000"/>
              </w:rPr>
              <w:t>1 202 969 007</w:t>
            </w:r>
          </w:p>
        </w:tc>
        <w:tc>
          <w:tcPr>
            <w:tcW w:w="1514" w:type="dxa"/>
            <w:tcBorders>
              <w:top w:val="single" w:sz="6" w:space="0" w:color="auto"/>
              <w:left w:val="single" w:sz="6" w:space="0" w:color="auto"/>
              <w:bottom w:val="single" w:sz="6" w:space="0" w:color="auto"/>
              <w:right w:val="single" w:sz="6" w:space="0" w:color="auto"/>
            </w:tcBorders>
            <w:shd w:val="solid" w:color="FF8080"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FF0000"/>
              </w:rPr>
            </w:pPr>
            <w:r w:rsidRPr="008723F7">
              <w:rPr>
                <w:rFonts w:ascii="Times New Roman" w:eastAsiaTheme="minorHAnsi" w:hAnsi="Times New Roman"/>
                <w:color w:val="FF0000"/>
              </w:rPr>
              <w:t>1 097 941 750</w:t>
            </w:r>
          </w:p>
        </w:tc>
        <w:tc>
          <w:tcPr>
            <w:tcW w:w="1515" w:type="dxa"/>
            <w:tcBorders>
              <w:top w:val="single" w:sz="6" w:space="0" w:color="auto"/>
              <w:left w:val="single" w:sz="6" w:space="0" w:color="auto"/>
              <w:bottom w:val="single" w:sz="6" w:space="0" w:color="auto"/>
              <w:right w:val="single" w:sz="6" w:space="0" w:color="auto"/>
            </w:tcBorders>
            <w:shd w:val="solid" w:color="FF8080"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FF0000"/>
              </w:rPr>
            </w:pPr>
            <w:r w:rsidRPr="008723F7">
              <w:rPr>
                <w:rFonts w:ascii="Times New Roman" w:eastAsiaTheme="minorHAnsi" w:hAnsi="Times New Roman"/>
                <w:color w:val="FF0000"/>
              </w:rPr>
              <w:t>985 604 223</w:t>
            </w:r>
          </w:p>
        </w:tc>
        <w:tc>
          <w:tcPr>
            <w:tcW w:w="1514" w:type="dxa"/>
            <w:tcBorders>
              <w:top w:val="single" w:sz="6" w:space="0" w:color="auto"/>
              <w:left w:val="single" w:sz="6" w:space="0" w:color="auto"/>
              <w:bottom w:val="single" w:sz="6" w:space="0" w:color="auto"/>
              <w:right w:val="single" w:sz="6" w:space="0" w:color="auto"/>
            </w:tcBorders>
            <w:shd w:val="solid" w:color="FF8080"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FF0000"/>
              </w:rPr>
            </w:pPr>
            <w:r w:rsidRPr="008723F7">
              <w:rPr>
                <w:rFonts w:ascii="Times New Roman" w:eastAsiaTheme="minorHAnsi" w:hAnsi="Times New Roman"/>
                <w:color w:val="FF0000"/>
              </w:rPr>
              <w:t>1 015 137 368</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34"/>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 xml:space="preserve">(rok – 2) </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2020</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2021</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2022</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2023</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34"/>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hrubý domáci produkt</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85,4</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88,0</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89,7</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90,3</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506"/>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podiel platby na  hrubom domácom produkte</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1,47%</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1,43%</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1,27%</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1,37%</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19"/>
        </w:trPr>
        <w:tc>
          <w:tcPr>
            <w:tcW w:w="2386"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05"/>
        </w:trPr>
        <w:tc>
          <w:tcPr>
            <w:tcW w:w="2386" w:type="dxa"/>
            <w:tcBorders>
              <w:top w:val="nil"/>
              <w:left w:val="nil"/>
              <w:bottom w:val="nil"/>
              <w:right w:val="nil"/>
            </w:tcBorders>
          </w:tcPr>
          <w:p w:rsidR="00CC7E4E" w:rsidRPr="008723F7" w:rsidRDefault="003C1715" w:rsidP="001678B8">
            <w:pPr>
              <w:autoSpaceDE w:val="0"/>
              <w:autoSpaceDN w:val="0"/>
              <w:adjustRightInd w:val="0"/>
              <w:spacing w:after="0" w:line="240" w:lineRule="auto"/>
              <w:rPr>
                <w:rFonts w:ascii="Times New Roman" w:eastAsiaTheme="minorHAnsi" w:hAnsi="Times New Roman"/>
                <w:color w:val="000000"/>
              </w:rPr>
            </w:pPr>
            <w:r w:rsidRPr="008723F7">
              <w:rPr>
                <w:rFonts w:ascii="Times New Roman" w:eastAsiaTheme="minorHAnsi" w:hAnsi="Times New Roman"/>
                <w:color w:val="000000"/>
              </w:rPr>
              <w:t>Po novom</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05"/>
        </w:trPr>
        <w:tc>
          <w:tcPr>
            <w:tcW w:w="2386" w:type="dxa"/>
            <w:tcBorders>
              <w:top w:val="single" w:sz="12" w:space="0" w:color="auto"/>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rok</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2022</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2023</w:t>
            </w:r>
          </w:p>
        </w:tc>
        <w:tc>
          <w:tcPr>
            <w:tcW w:w="1515"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2024</w:t>
            </w:r>
          </w:p>
        </w:tc>
        <w:tc>
          <w:tcPr>
            <w:tcW w:w="1514" w:type="dxa"/>
            <w:tcBorders>
              <w:top w:val="single" w:sz="12" w:space="0" w:color="auto"/>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2025</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05"/>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platba za poistencov štátu</w:t>
            </w:r>
          </w:p>
        </w:tc>
        <w:tc>
          <w:tcPr>
            <w:tcW w:w="1514" w:type="dxa"/>
            <w:tcBorders>
              <w:top w:val="single" w:sz="6" w:space="0" w:color="auto"/>
              <w:left w:val="single" w:sz="6" w:space="0" w:color="auto"/>
              <w:bottom w:val="single" w:sz="6" w:space="0" w:color="auto"/>
              <w:right w:val="single" w:sz="6" w:space="0" w:color="auto"/>
            </w:tcBorders>
            <w:shd w:val="solid" w:color="FF8080"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FF0000"/>
              </w:rPr>
            </w:pPr>
            <w:r w:rsidRPr="008723F7">
              <w:rPr>
                <w:rFonts w:ascii="Times New Roman" w:eastAsiaTheme="minorHAnsi" w:hAnsi="Times New Roman"/>
                <w:color w:val="FF0000"/>
              </w:rPr>
              <w:t>1 202 969 007</w:t>
            </w:r>
          </w:p>
        </w:tc>
        <w:tc>
          <w:tcPr>
            <w:tcW w:w="1514" w:type="dxa"/>
            <w:tcBorders>
              <w:top w:val="single" w:sz="6" w:space="0" w:color="auto"/>
              <w:left w:val="single" w:sz="6" w:space="0" w:color="auto"/>
              <w:bottom w:val="single" w:sz="6" w:space="0" w:color="auto"/>
              <w:right w:val="single" w:sz="6" w:space="0" w:color="auto"/>
            </w:tcBorders>
            <w:shd w:val="solid" w:color="FF8080"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FF0000"/>
              </w:rPr>
            </w:pPr>
            <w:r w:rsidRPr="008723F7">
              <w:rPr>
                <w:rFonts w:ascii="Times New Roman" w:eastAsiaTheme="minorHAnsi" w:hAnsi="Times New Roman"/>
                <w:color w:val="FF0000"/>
              </w:rPr>
              <w:t>1 672 700 000</w:t>
            </w:r>
          </w:p>
        </w:tc>
        <w:tc>
          <w:tcPr>
            <w:tcW w:w="1515" w:type="dxa"/>
            <w:tcBorders>
              <w:top w:val="single" w:sz="6" w:space="0" w:color="auto"/>
              <w:left w:val="single" w:sz="6" w:space="0" w:color="auto"/>
              <w:bottom w:val="single" w:sz="6" w:space="0" w:color="auto"/>
              <w:right w:val="single" w:sz="6" w:space="0" w:color="auto"/>
            </w:tcBorders>
            <w:shd w:val="solid" w:color="FF8080"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FF0000"/>
              </w:rPr>
            </w:pPr>
            <w:r w:rsidRPr="008723F7">
              <w:rPr>
                <w:rFonts w:ascii="Times New Roman" w:eastAsiaTheme="minorHAnsi" w:hAnsi="Times New Roman"/>
                <w:color w:val="FF0000"/>
              </w:rPr>
              <w:t>1 704 300 000</w:t>
            </w:r>
          </w:p>
        </w:tc>
        <w:tc>
          <w:tcPr>
            <w:tcW w:w="1514" w:type="dxa"/>
            <w:tcBorders>
              <w:top w:val="single" w:sz="6" w:space="0" w:color="auto"/>
              <w:left w:val="single" w:sz="6" w:space="0" w:color="auto"/>
              <w:bottom w:val="single" w:sz="6" w:space="0" w:color="auto"/>
              <w:right w:val="single" w:sz="6" w:space="0" w:color="auto"/>
            </w:tcBorders>
            <w:shd w:val="solid" w:color="FF8080" w:fill="auto"/>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FF0000"/>
              </w:rPr>
            </w:pPr>
            <w:r w:rsidRPr="008723F7">
              <w:rPr>
                <w:rFonts w:ascii="Times New Roman" w:eastAsiaTheme="minorHAnsi" w:hAnsi="Times New Roman"/>
                <w:color w:val="FF0000"/>
              </w:rPr>
              <w:t>1 715 700 000</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19"/>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 xml:space="preserve">(rok – 2) </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2020</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2021</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2022</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b/>
                <w:bCs/>
                <w:color w:val="000000"/>
              </w:rPr>
            </w:pPr>
            <w:r w:rsidRPr="008723F7">
              <w:rPr>
                <w:rFonts w:ascii="Times New Roman" w:eastAsiaTheme="minorHAnsi" w:hAnsi="Times New Roman"/>
                <w:b/>
                <w:bCs/>
                <w:color w:val="000000"/>
              </w:rPr>
              <w:t>2023</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319"/>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hrubý domáci produkt</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85,4</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88,0</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89,7</w:t>
            </w:r>
          </w:p>
        </w:tc>
        <w:tc>
          <w:tcPr>
            <w:tcW w:w="1514"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center"/>
              <w:rPr>
                <w:rFonts w:ascii="Times New Roman" w:eastAsiaTheme="minorHAnsi" w:hAnsi="Times New Roman"/>
                <w:color w:val="000000"/>
              </w:rPr>
            </w:pPr>
            <w:r w:rsidRPr="008723F7">
              <w:rPr>
                <w:rFonts w:ascii="Times New Roman" w:eastAsiaTheme="minorHAnsi" w:hAnsi="Times New Roman"/>
                <w:color w:val="000000"/>
              </w:rPr>
              <w:t>90,3</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r w:rsidR="00CC7E4E" w:rsidRPr="008723F7" w:rsidTr="00CC7E4E">
        <w:tblPrEx>
          <w:tblCellMar>
            <w:top w:w="0" w:type="dxa"/>
            <w:bottom w:w="0" w:type="dxa"/>
          </w:tblCellMar>
        </w:tblPrEx>
        <w:trPr>
          <w:trHeight w:val="506"/>
        </w:trPr>
        <w:tc>
          <w:tcPr>
            <w:tcW w:w="2386" w:type="dxa"/>
            <w:tcBorders>
              <w:top w:val="nil"/>
              <w:left w:val="single" w:sz="12" w:space="0" w:color="auto"/>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podiel platby na  hrubom domácom produkte</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1,47%</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1,90%</w:t>
            </w:r>
          </w:p>
        </w:tc>
        <w:tc>
          <w:tcPr>
            <w:tcW w:w="1515"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1,90%</w:t>
            </w:r>
          </w:p>
        </w:tc>
        <w:tc>
          <w:tcPr>
            <w:tcW w:w="1514" w:type="dxa"/>
            <w:tcBorders>
              <w:top w:val="nil"/>
              <w:left w:val="nil"/>
              <w:bottom w:val="single" w:sz="12" w:space="0" w:color="auto"/>
              <w:right w:val="single" w:sz="12" w:space="0" w:color="auto"/>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b/>
                <w:bCs/>
                <w:color w:val="000000"/>
              </w:rPr>
            </w:pPr>
            <w:r w:rsidRPr="008723F7">
              <w:rPr>
                <w:rFonts w:ascii="Times New Roman" w:eastAsiaTheme="minorHAnsi" w:hAnsi="Times New Roman"/>
                <w:b/>
                <w:bCs/>
                <w:color w:val="000000"/>
              </w:rPr>
              <w:t>1,90%</w:t>
            </w:r>
          </w:p>
        </w:tc>
        <w:tc>
          <w:tcPr>
            <w:tcW w:w="1515" w:type="dxa"/>
            <w:tcBorders>
              <w:top w:val="nil"/>
              <w:left w:val="nil"/>
              <w:bottom w:val="nil"/>
              <w:right w:val="nil"/>
            </w:tcBorders>
          </w:tcPr>
          <w:p w:rsidR="00CC7E4E" w:rsidRPr="008723F7" w:rsidRDefault="00CC7E4E" w:rsidP="001678B8">
            <w:pPr>
              <w:autoSpaceDE w:val="0"/>
              <w:autoSpaceDN w:val="0"/>
              <w:adjustRightInd w:val="0"/>
              <w:spacing w:after="0" w:line="240" w:lineRule="auto"/>
              <w:jc w:val="right"/>
              <w:rPr>
                <w:rFonts w:ascii="Times New Roman" w:eastAsiaTheme="minorHAnsi" w:hAnsi="Times New Roman"/>
                <w:color w:val="000000"/>
              </w:rPr>
            </w:pPr>
          </w:p>
        </w:tc>
      </w:tr>
    </w:tbl>
    <w:p w:rsidR="00CC7E4E" w:rsidRPr="008723F7" w:rsidRDefault="00CC7E4E" w:rsidP="001678B8">
      <w:pPr>
        <w:spacing w:after="0" w:line="240" w:lineRule="auto"/>
        <w:jc w:val="both"/>
        <w:rPr>
          <w:rFonts w:ascii="Times New Roman" w:hAnsi="Times New Roman"/>
        </w:rPr>
      </w:pPr>
    </w:p>
    <w:tbl>
      <w:tblPr>
        <w:tblW w:w="0" w:type="auto"/>
        <w:tblInd w:w="-30" w:type="dxa"/>
        <w:tblLayout w:type="fixed"/>
        <w:tblCellMar>
          <w:left w:w="70" w:type="dxa"/>
          <w:right w:w="70" w:type="dxa"/>
        </w:tblCellMar>
        <w:tblLook w:val="0000" w:firstRow="0" w:lastRow="0" w:firstColumn="0" w:lastColumn="0" w:noHBand="0" w:noVBand="0"/>
      </w:tblPr>
      <w:tblGrid>
        <w:gridCol w:w="2386"/>
        <w:gridCol w:w="1514"/>
        <w:gridCol w:w="1514"/>
        <w:gridCol w:w="1515"/>
        <w:gridCol w:w="1514"/>
      </w:tblGrid>
      <w:tr w:rsidR="003C1715" w:rsidRPr="008723F7" w:rsidTr="003C1715">
        <w:tblPrEx>
          <w:tblCellMar>
            <w:top w:w="0" w:type="dxa"/>
            <w:bottom w:w="0" w:type="dxa"/>
          </w:tblCellMar>
        </w:tblPrEx>
        <w:trPr>
          <w:trHeight w:val="305"/>
        </w:trPr>
        <w:tc>
          <w:tcPr>
            <w:tcW w:w="2386" w:type="dxa"/>
            <w:tcBorders>
              <w:top w:val="nil"/>
              <w:left w:val="nil"/>
              <w:bottom w:val="nil"/>
              <w:right w:val="nil"/>
            </w:tcBorders>
          </w:tcPr>
          <w:p w:rsidR="003C1715" w:rsidRPr="008723F7" w:rsidRDefault="003C1715" w:rsidP="001678B8">
            <w:pPr>
              <w:autoSpaceDE w:val="0"/>
              <w:autoSpaceDN w:val="0"/>
              <w:adjustRightInd w:val="0"/>
              <w:spacing w:after="0" w:line="240" w:lineRule="auto"/>
              <w:rPr>
                <w:rFonts w:ascii="Times New Roman" w:eastAsiaTheme="minorHAnsi" w:hAnsi="Times New Roman"/>
                <w:b/>
                <w:bCs/>
                <w:color w:val="000000"/>
              </w:rPr>
            </w:pPr>
            <w:r w:rsidRPr="008723F7">
              <w:rPr>
                <w:rFonts w:ascii="Times New Roman" w:eastAsiaTheme="minorHAnsi" w:hAnsi="Times New Roman"/>
                <w:b/>
                <w:bCs/>
                <w:color w:val="000000"/>
              </w:rPr>
              <w:t>Rozdiel</w:t>
            </w:r>
          </w:p>
        </w:tc>
        <w:tc>
          <w:tcPr>
            <w:tcW w:w="1514" w:type="dxa"/>
            <w:tcBorders>
              <w:top w:val="nil"/>
              <w:left w:val="nil"/>
              <w:bottom w:val="nil"/>
              <w:right w:val="nil"/>
            </w:tcBorders>
          </w:tcPr>
          <w:p w:rsidR="003C1715" w:rsidRPr="008723F7" w:rsidRDefault="003C1715" w:rsidP="001678B8">
            <w:pPr>
              <w:autoSpaceDE w:val="0"/>
              <w:autoSpaceDN w:val="0"/>
              <w:adjustRightInd w:val="0"/>
              <w:spacing w:after="0" w:line="240" w:lineRule="auto"/>
              <w:jc w:val="right"/>
              <w:rPr>
                <w:rFonts w:ascii="Times New Roman" w:eastAsiaTheme="minorHAnsi" w:hAnsi="Times New Roman"/>
                <w:color w:val="000000"/>
              </w:rPr>
            </w:pPr>
          </w:p>
        </w:tc>
        <w:tc>
          <w:tcPr>
            <w:tcW w:w="1514" w:type="dxa"/>
            <w:tcBorders>
              <w:top w:val="nil"/>
              <w:left w:val="nil"/>
              <w:bottom w:val="single" w:sz="12" w:space="0" w:color="auto"/>
              <w:right w:val="single" w:sz="12" w:space="0" w:color="auto"/>
            </w:tcBorders>
            <w:shd w:val="solid" w:color="FFFFFF" w:fill="auto"/>
          </w:tcPr>
          <w:p w:rsidR="003C1715" w:rsidRPr="008723F7" w:rsidRDefault="003C1715"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574 758 250</w:t>
            </w:r>
          </w:p>
        </w:tc>
        <w:tc>
          <w:tcPr>
            <w:tcW w:w="1515" w:type="dxa"/>
            <w:tcBorders>
              <w:top w:val="nil"/>
              <w:left w:val="nil"/>
              <w:bottom w:val="single" w:sz="12" w:space="0" w:color="auto"/>
              <w:right w:val="single" w:sz="12" w:space="0" w:color="auto"/>
            </w:tcBorders>
            <w:shd w:val="solid" w:color="FFFFFF" w:fill="auto"/>
          </w:tcPr>
          <w:p w:rsidR="003C1715" w:rsidRPr="008723F7" w:rsidRDefault="003C1715"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718 695 777</w:t>
            </w:r>
          </w:p>
        </w:tc>
        <w:tc>
          <w:tcPr>
            <w:tcW w:w="1514" w:type="dxa"/>
            <w:tcBorders>
              <w:top w:val="nil"/>
              <w:left w:val="nil"/>
              <w:bottom w:val="single" w:sz="12" w:space="0" w:color="auto"/>
              <w:right w:val="single" w:sz="12" w:space="0" w:color="auto"/>
            </w:tcBorders>
            <w:shd w:val="solid" w:color="FFFFFF" w:fill="auto"/>
          </w:tcPr>
          <w:p w:rsidR="003C1715" w:rsidRPr="008723F7" w:rsidRDefault="003C1715"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700 562 632</w:t>
            </w:r>
          </w:p>
        </w:tc>
      </w:tr>
    </w:tbl>
    <w:p w:rsidR="00CC7E4E" w:rsidRPr="008723F7" w:rsidRDefault="00CC7E4E" w:rsidP="001678B8">
      <w:pPr>
        <w:spacing w:after="0" w:line="240" w:lineRule="auto"/>
        <w:jc w:val="both"/>
        <w:rPr>
          <w:rFonts w:ascii="Times New Roman" w:hAnsi="Times New Roman"/>
        </w:rPr>
      </w:pPr>
    </w:p>
    <w:tbl>
      <w:tblPr>
        <w:tblW w:w="10114" w:type="dxa"/>
        <w:tblCellMar>
          <w:left w:w="70" w:type="dxa"/>
          <w:right w:w="70" w:type="dxa"/>
        </w:tblCellMar>
        <w:tblLook w:val="04A0" w:firstRow="1" w:lastRow="0" w:firstColumn="1" w:lastColumn="0" w:noHBand="0" w:noVBand="1"/>
      </w:tblPr>
      <w:tblGrid>
        <w:gridCol w:w="4584"/>
        <w:gridCol w:w="1328"/>
        <w:gridCol w:w="1091"/>
        <w:gridCol w:w="1037"/>
        <w:gridCol w:w="1037"/>
        <w:gridCol w:w="1037"/>
      </w:tblGrid>
      <w:tr w:rsidR="008723F7" w:rsidRPr="00CC7E4E" w:rsidTr="008723F7">
        <w:trPr>
          <w:trHeight w:val="303"/>
        </w:trPr>
        <w:tc>
          <w:tcPr>
            <w:tcW w:w="4584"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rPr>
                <w:rFonts w:ascii="Times New Roman" w:eastAsia="Times New Roman" w:hAnsi="Times New Roman"/>
                <w:b/>
                <w:bCs/>
                <w:lang w:eastAsia="sk-SK"/>
              </w:rPr>
            </w:pPr>
            <w:bookmarkStart w:id="1" w:name="_GoBack"/>
            <w:bookmarkEnd w:id="1"/>
            <w:r w:rsidRPr="00CC7E4E">
              <w:rPr>
                <w:rFonts w:ascii="Times New Roman" w:eastAsia="Times New Roman" w:hAnsi="Times New Roman"/>
                <w:b/>
                <w:bCs/>
                <w:lang w:eastAsia="sk-SK"/>
              </w:rPr>
              <w:t>Základ poistného z roku</w:t>
            </w:r>
          </w:p>
        </w:tc>
        <w:tc>
          <w:tcPr>
            <w:tcW w:w="1328" w:type="dxa"/>
            <w:tcBorders>
              <w:top w:val="single" w:sz="4" w:space="0" w:color="auto"/>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center"/>
              <w:rPr>
                <w:rFonts w:ascii="Times New Roman" w:eastAsia="Times New Roman" w:hAnsi="Times New Roman"/>
                <w:b/>
                <w:bCs/>
                <w:lang w:eastAsia="sk-SK"/>
              </w:rPr>
            </w:pPr>
            <w:r w:rsidRPr="00CC7E4E">
              <w:rPr>
                <w:rFonts w:ascii="Times New Roman" w:eastAsia="Times New Roman" w:hAnsi="Times New Roman"/>
                <w:b/>
                <w:bCs/>
                <w:lang w:eastAsia="sk-SK"/>
              </w:rPr>
              <w:t>S2021</w:t>
            </w:r>
          </w:p>
        </w:tc>
        <w:tc>
          <w:tcPr>
            <w:tcW w:w="1091" w:type="dxa"/>
            <w:tcBorders>
              <w:top w:val="single" w:sz="4" w:space="0" w:color="auto"/>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center"/>
              <w:rPr>
                <w:rFonts w:ascii="Times New Roman" w:eastAsia="Times New Roman" w:hAnsi="Times New Roman"/>
                <w:b/>
                <w:bCs/>
                <w:lang w:eastAsia="sk-SK"/>
              </w:rPr>
            </w:pPr>
            <w:r w:rsidRPr="00CC7E4E">
              <w:rPr>
                <w:rFonts w:ascii="Times New Roman" w:eastAsia="Times New Roman" w:hAnsi="Times New Roman"/>
                <w:b/>
                <w:bCs/>
                <w:lang w:eastAsia="sk-SK"/>
              </w:rPr>
              <w:t>2022 OS</w:t>
            </w:r>
          </w:p>
        </w:tc>
        <w:tc>
          <w:tcPr>
            <w:tcW w:w="1037" w:type="dxa"/>
            <w:tcBorders>
              <w:top w:val="single" w:sz="4" w:space="0" w:color="auto"/>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center"/>
              <w:rPr>
                <w:rFonts w:ascii="Times New Roman" w:eastAsia="Times New Roman" w:hAnsi="Times New Roman"/>
                <w:b/>
                <w:bCs/>
                <w:lang w:eastAsia="sk-SK"/>
              </w:rPr>
            </w:pPr>
            <w:r w:rsidRPr="00CC7E4E">
              <w:rPr>
                <w:rFonts w:ascii="Times New Roman" w:eastAsia="Times New Roman" w:hAnsi="Times New Roman"/>
                <w:b/>
                <w:bCs/>
                <w:lang w:eastAsia="sk-SK"/>
              </w:rPr>
              <w:t>2023</w:t>
            </w:r>
          </w:p>
        </w:tc>
        <w:tc>
          <w:tcPr>
            <w:tcW w:w="1037" w:type="dxa"/>
            <w:tcBorders>
              <w:top w:val="single" w:sz="4" w:space="0" w:color="auto"/>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center"/>
              <w:rPr>
                <w:rFonts w:ascii="Times New Roman" w:eastAsia="Times New Roman" w:hAnsi="Times New Roman"/>
                <w:b/>
                <w:bCs/>
                <w:lang w:eastAsia="sk-SK"/>
              </w:rPr>
            </w:pPr>
            <w:r w:rsidRPr="00CC7E4E">
              <w:rPr>
                <w:rFonts w:ascii="Times New Roman" w:eastAsia="Times New Roman" w:hAnsi="Times New Roman"/>
                <w:b/>
                <w:bCs/>
                <w:lang w:eastAsia="sk-SK"/>
              </w:rPr>
              <w:t>2024</w:t>
            </w:r>
          </w:p>
        </w:tc>
        <w:tc>
          <w:tcPr>
            <w:tcW w:w="1037" w:type="dxa"/>
            <w:tcBorders>
              <w:top w:val="single" w:sz="4" w:space="0" w:color="auto"/>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center"/>
              <w:rPr>
                <w:rFonts w:ascii="Times New Roman" w:eastAsia="Times New Roman" w:hAnsi="Times New Roman"/>
                <w:b/>
                <w:bCs/>
                <w:lang w:eastAsia="sk-SK"/>
              </w:rPr>
            </w:pPr>
            <w:r w:rsidRPr="00CC7E4E">
              <w:rPr>
                <w:rFonts w:ascii="Times New Roman" w:eastAsia="Times New Roman" w:hAnsi="Times New Roman"/>
                <w:b/>
                <w:bCs/>
                <w:lang w:eastAsia="sk-SK"/>
              </w:rPr>
              <w:t>2025</w:t>
            </w:r>
          </w:p>
        </w:tc>
      </w:tr>
      <w:tr w:rsidR="008723F7" w:rsidRPr="00CC7E4E" w:rsidTr="008723F7">
        <w:trPr>
          <w:trHeight w:val="303"/>
        </w:trPr>
        <w:tc>
          <w:tcPr>
            <w:tcW w:w="4584" w:type="dxa"/>
            <w:tcBorders>
              <w:top w:val="nil"/>
              <w:left w:val="single" w:sz="4" w:space="0" w:color="auto"/>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rPr>
                <w:rFonts w:ascii="Times New Roman" w:eastAsia="Times New Roman" w:hAnsi="Times New Roman"/>
                <w:lang w:eastAsia="sk-SK"/>
              </w:rPr>
            </w:pPr>
            <w:r w:rsidRPr="00CC7E4E">
              <w:rPr>
                <w:rFonts w:ascii="Times New Roman" w:eastAsia="Times New Roman" w:hAnsi="Times New Roman"/>
                <w:lang w:eastAsia="sk-SK"/>
              </w:rPr>
              <w:t xml:space="preserve">výber poistného od EAO vrátane RZP </w:t>
            </w:r>
          </w:p>
        </w:tc>
        <w:tc>
          <w:tcPr>
            <w:tcW w:w="1328"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lang w:eastAsia="sk-SK"/>
              </w:rPr>
            </w:pPr>
            <w:r w:rsidRPr="00CC7E4E">
              <w:rPr>
                <w:rFonts w:ascii="Times New Roman" w:eastAsia="Times New Roman" w:hAnsi="Times New Roman"/>
                <w:lang w:eastAsia="sk-SK"/>
              </w:rPr>
              <w:t>4 333 935 924</w:t>
            </w:r>
          </w:p>
        </w:tc>
        <w:tc>
          <w:tcPr>
            <w:tcW w:w="1091"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lang w:eastAsia="sk-SK"/>
              </w:rPr>
            </w:pPr>
            <w:r w:rsidRPr="00CC7E4E">
              <w:rPr>
                <w:rFonts w:ascii="Times New Roman" w:eastAsia="Times New Roman" w:hAnsi="Times New Roman"/>
                <w:lang w:eastAsia="sk-SK"/>
              </w:rPr>
              <w:t>4 729 014 000</w:t>
            </w:r>
          </w:p>
        </w:tc>
        <w:tc>
          <w:tcPr>
            <w:tcW w:w="1037"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lang w:eastAsia="sk-SK"/>
              </w:rPr>
            </w:pPr>
            <w:r w:rsidRPr="00CC7E4E">
              <w:rPr>
                <w:rFonts w:ascii="Times New Roman" w:eastAsia="Times New Roman" w:hAnsi="Times New Roman"/>
                <w:lang w:eastAsia="sk-SK"/>
              </w:rPr>
              <w:t>5 246 560 000</w:t>
            </w:r>
          </w:p>
        </w:tc>
        <w:tc>
          <w:tcPr>
            <w:tcW w:w="1037"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lang w:eastAsia="sk-SK"/>
              </w:rPr>
            </w:pPr>
            <w:r w:rsidRPr="00CC7E4E">
              <w:rPr>
                <w:rFonts w:ascii="Times New Roman" w:eastAsia="Times New Roman" w:hAnsi="Times New Roman"/>
                <w:lang w:eastAsia="sk-SK"/>
              </w:rPr>
              <w:t>5 646 115 000</w:t>
            </w:r>
          </w:p>
        </w:tc>
        <w:tc>
          <w:tcPr>
            <w:tcW w:w="1037"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lang w:eastAsia="sk-SK"/>
              </w:rPr>
            </w:pPr>
            <w:r w:rsidRPr="00CC7E4E">
              <w:rPr>
                <w:rFonts w:ascii="Times New Roman" w:eastAsia="Times New Roman" w:hAnsi="Times New Roman"/>
                <w:lang w:eastAsia="sk-SK"/>
              </w:rPr>
              <w:t>5 922 809 000</w:t>
            </w:r>
          </w:p>
        </w:tc>
      </w:tr>
      <w:tr w:rsidR="008723F7" w:rsidRPr="00CC7E4E" w:rsidTr="008723F7">
        <w:trPr>
          <w:trHeight w:val="303"/>
        </w:trPr>
        <w:tc>
          <w:tcPr>
            <w:tcW w:w="4584" w:type="dxa"/>
            <w:tcBorders>
              <w:top w:val="nil"/>
              <w:left w:val="single" w:sz="4" w:space="0" w:color="auto"/>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rPr>
                <w:rFonts w:ascii="Times New Roman" w:eastAsia="Times New Roman" w:hAnsi="Times New Roman"/>
                <w:color w:val="FF0000"/>
                <w:lang w:eastAsia="sk-SK"/>
              </w:rPr>
            </w:pPr>
            <w:r w:rsidRPr="00CC7E4E">
              <w:rPr>
                <w:rFonts w:ascii="Times New Roman" w:eastAsia="Times New Roman" w:hAnsi="Times New Roman"/>
                <w:color w:val="FF0000"/>
                <w:lang w:eastAsia="sk-SK"/>
              </w:rPr>
              <w:t xml:space="preserve"> - platba štátu vrátane RZP    fix od r. 2020</w:t>
            </w:r>
          </w:p>
        </w:tc>
        <w:tc>
          <w:tcPr>
            <w:tcW w:w="1328"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lang w:eastAsia="sk-SK"/>
              </w:rPr>
            </w:pPr>
            <w:r w:rsidRPr="00CC7E4E">
              <w:rPr>
                <w:rFonts w:ascii="Times New Roman" w:eastAsia="Times New Roman" w:hAnsi="Times New Roman"/>
                <w:lang w:eastAsia="sk-SK"/>
              </w:rPr>
              <w:t>1 292 124 120</w:t>
            </w:r>
          </w:p>
        </w:tc>
        <w:tc>
          <w:tcPr>
            <w:tcW w:w="1091"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color w:val="FF0000"/>
                <w:lang w:eastAsia="sk-SK"/>
              </w:rPr>
            </w:pPr>
            <w:r w:rsidRPr="00CC7E4E">
              <w:rPr>
                <w:rFonts w:ascii="Times New Roman" w:eastAsia="Times New Roman" w:hAnsi="Times New Roman"/>
                <w:color w:val="FF0000"/>
                <w:lang w:eastAsia="sk-SK"/>
              </w:rPr>
              <w:t>1 202 969 007</w:t>
            </w:r>
          </w:p>
        </w:tc>
        <w:tc>
          <w:tcPr>
            <w:tcW w:w="1037"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color w:val="FF0000"/>
                <w:lang w:eastAsia="sk-SK"/>
              </w:rPr>
            </w:pPr>
            <w:r w:rsidRPr="00CC7E4E">
              <w:rPr>
                <w:rFonts w:ascii="Times New Roman" w:eastAsia="Times New Roman" w:hAnsi="Times New Roman"/>
                <w:color w:val="FF0000"/>
                <w:lang w:eastAsia="sk-SK"/>
              </w:rPr>
              <w:t>1 097 941 750</w:t>
            </w:r>
          </w:p>
        </w:tc>
        <w:tc>
          <w:tcPr>
            <w:tcW w:w="1037"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color w:val="FF0000"/>
                <w:lang w:eastAsia="sk-SK"/>
              </w:rPr>
            </w:pPr>
            <w:r w:rsidRPr="00CC7E4E">
              <w:rPr>
                <w:rFonts w:ascii="Times New Roman" w:eastAsia="Times New Roman" w:hAnsi="Times New Roman"/>
                <w:color w:val="FF0000"/>
                <w:lang w:eastAsia="sk-SK"/>
              </w:rPr>
              <w:t>985 604 223</w:t>
            </w:r>
          </w:p>
        </w:tc>
        <w:tc>
          <w:tcPr>
            <w:tcW w:w="1037" w:type="dxa"/>
            <w:tcBorders>
              <w:top w:val="nil"/>
              <w:left w:val="nil"/>
              <w:bottom w:val="single" w:sz="4" w:space="0" w:color="auto"/>
              <w:right w:val="single" w:sz="4" w:space="0" w:color="auto"/>
            </w:tcBorders>
            <w:shd w:val="clear" w:color="000000" w:fill="E6B8B7"/>
            <w:noWrap/>
            <w:vAlign w:val="bottom"/>
            <w:hideMark/>
          </w:tcPr>
          <w:p w:rsidR="00CC7E4E" w:rsidRPr="00CC7E4E" w:rsidRDefault="00CC7E4E" w:rsidP="001678B8">
            <w:pPr>
              <w:spacing w:after="0" w:line="240" w:lineRule="auto"/>
              <w:jc w:val="right"/>
              <w:rPr>
                <w:rFonts w:ascii="Times New Roman" w:eastAsia="Times New Roman" w:hAnsi="Times New Roman"/>
                <w:color w:val="FF0000"/>
                <w:lang w:eastAsia="sk-SK"/>
              </w:rPr>
            </w:pPr>
            <w:r w:rsidRPr="00CC7E4E">
              <w:rPr>
                <w:rFonts w:ascii="Times New Roman" w:eastAsia="Times New Roman" w:hAnsi="Times New Roman"/>
                <w:color w:val="FF0000"/>
                <w:lang w:eastAsia="sk-SK"/>
              </w:rPr>
              <w:t>1 015 137 368</w:t>
            </w:r>
          </w:p>
        </w:tc>
      </w:tr>
    </w:tbl>
    <w:p w:rsidR="00CC7E4E" w:rsidRPr="008723F7" w:rsidRDefault="00CC7E4E" w:rsidP="001678B8">
      <w:pPr>
        <w:spacing w:after="0" w:line="240" w:lineRule="auto"/>
        <w:jc w:val="both"/>
        <w:rPr>
          <w:rFonts w:ascii="Times New Roman" w:hAnsi="Times New Roman"/>
        </w:rPr>
      </w:pPr>
    </w:p>
    <w:p w:rsidR="00175223" w:rsidRPr="008723F7" w:rsidRDefault="00175223" w:rsidP="001678B8">
      <w:pPr>
        <w:spacing w:after="0" w:line="240" w:lineRule="auto"/>
        <w:jc w:val="both"/>
        <w:rPr>
          <w:rFonts w:ascii="Times New Roman" w:hAnsi="Times New Roman"/>
        </w:rPr>
      </w:pPr>
      <w:r w:rsidRPr="008723F7">
        <w:rPr>
          <w:rFonts w:ascii="Times New Roman" w:hAnsi="Times New Roman"/>
        </w:rPr>
        <w:t>Navrhuje sa určenie minimálnej platby za poistencov štátu na úrovni 1,9 % z hrubého domáceho produktu SR spred dvoch rokov, vzhľadom k predpokladanému starnutiu populácie a vyššiemu počtu poistencov štátu.</w:t>
      </w:r>
    </w:p>
    <w:p w:rsidR="00175223" w:rsidRPr="008723F7" w:rsidRDefault="00175223" w:rsidP="001678B8">
      <w:pPr>
        <w:spacing w:after="0" w:line="240" w:lineRule="auto"/>
        <w:jc w:val="both"/>
        <w:rPr>
          <w:rFonts w:ascii="Times New Roman" w:hAnsi="Times New Roman"/>
        </w:rPr>
      </w:pPr>
      <w:r w:rsidRPr="008723F7">
        <w:rPr>
          <w:rFonts w:ascii="Times New Roman" w:hAnsi="Times New Roman"/>
        </w:rPr>
        <w:t xml:space="preserve">Výška percenta sa navrhuje s ohľadom na skutočnosť, že sa očakáva postupné ďalšie predlžovanie strednej dĺžky života predovšetkým seniorskej populácie. Keďže očakávaný vývoj počtu seniorov (ktorí sú výrazne zastúpení medzi osobami, za ktoré platí poistné štát) sa nesie v znamení pokračovania vzostupného trendu, aj samotný vývoj počtu poistencov štátu bude mať rastúcu tendenciu. Pokiaľ ide o vývoj počtu osôb vo veku nad 65 rokov, v druhej polovici 20. rokov 21. storočia by mohlo dôjsť k </w:t>
      </w:r>
      <w:r w:rsidRPr="008723F7">
        <w:rPr>
          <w:rFonts w:ascii="Times New Roman" w:hAnsi="Times New Roman"/>
        </w:rPr>
        <w:lastRenderedPageBreak/>
        <w:t>prelomeniu 20% hranice z celkovej populácie Slovenska, na začiatku 40. rokov by štvrtina slovenskej populácie mala byť staršia ako 65 rokov a nakoniec v horizonte prognózy do r. 2060 by sme mohli hovoriť o približne každom treťom obyvateľovi Slovenska, ktorý by spĺňal chronologicky stanovenú definíciu seniora.</w:t>
      </w:r>
      <w:r w:rsidRPr="008723F7">
        <w:rPr>
          <w:rStyle w:val="Odkaznapoznmkupodiarou"/>
          <w:rFonts w:ascii="Times New Roman" w:hAnsi="Times New Roman"/>
        </w:rPr>
        <w:footnoteReference w:id="1"/>
      </w:r>
    </w:p>
    <w:p w:rsidR="00175223" w:rsidRPr="008723F7" w:rsidRDefault="00175223" w:rsidP="001678B8">
      <w:pPr>
        <w:spacing w:after="0" w:line="240" w:lineRule="auto"/>
        <w:jc w:val="both"/>
        <w:rPr>
          <w:rFonts w:ascii="Times New Roman" w:hAnsi="Times New Roman"/>
        </w:rPr>
      </w:pPr>
      <w:r w:rsidRPr="008723F7">
        <w:rPr>
          <w:rFonts w:ascii="Times New Roman" w:hAnsi="Times New Roman"/>
        </w:rPr>
        <w:t>Vzhľadom k predpokladanému rastu seniorov a teda aj poistencov štátu sa javí ako potrebné nastaviť takú minimálnu hranicu pre platbu poistného za túto skupinu, ktorá bude zodpovedať vyššie popísaným trendom.</w:t>
      </w:r>
    </w:p>
    <w:p w:rsidR="00175223" w:rsidRPr="008723F7" w:rsidRDefault="00175223" w:rsidP="001678B8">
      <w:pPr>
        <w:pStyle w:val="Bezriadkovania"/>
        <w:ind w:firstLine="708"/>
        <w:rPr>
          <w:rFonts w:ascii="Times New Roman" w:hAnsi="Times New Roman"/>
        </w:rPr>
      </w:pPr>
    </w:p>
    <w:p w:rsidR="00175223" w:rsidRPr="008723F7" w:rsidRDefault="00175223" w:rsidP="001678B8">
      <w:pPr>
        <w:spacing w:after="0" w:line="240" w:lineRule="auto"/>
        <w:rPr>
          <w:rFonts w:ascii="Times New Roman" w:hAnsi="Times New Roman"/>
        </w:rPr>
      </w:pPr>
    </w:p>
    <w:p w:rsidR="008E5CFB" w:rsidRPr="008723F7" w:rsidRDefault="008E5CFB" w:rsidP="001678B8">
      <w:pPr>
        <w:tabs>
          <w:tab w:val="num" w:pos="1080"/>
        </w:tabs>
        <w:spacing w:after="0" w:line="240" w:lineRule="auto"/>
        <w:jc w:val="both"/>
        <w:rPr>
          <w:rFonts w:ascii="Times New Roman" w:hAnsi="Times New Roman"/>
          <w:b/>
        </w:rPr>
      </w:pPr>
      <w:r w:rsidRPr="008723F7">
        <w:rPr>
          <w:rFonts w:ascii="Times New Roman" w:hAnsi="Times New Roman"/>
          <w:b/>
        </w:rPr>
        <w:t>2.2.4.1 Úhrnný vplyv na rozpočet verejného zdravotného poistenia</w:t>
      </w:r>
    </w:p>
    <w:p w:rsidR="008E5CFB" w:rsidRPr="008723F7" w:rsidRDefault="008E5CFB" w:rsidP="001678B8">
      <w:pPr>
        <w:tabs>
          <w:tab w:val="num" w:pos="1080"/>
        </w:tabs>
        <w:spacing w:after="0" w:line="240" w:lineRule="auto"/>
        <w:jc w:val="both"/>
        <w:rPr>
          <w:rFonts w:ascii="Times New Roman" w:hAnsi="Times New Roman"/>
        </w:rPr>
      </w:pP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Priamy vplyv na rozpočet verejného zdravotného poistenia má  časť A, B a H materiálu.</w:t>
      </w: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Zvýšenie príjmov zdravotných poisťovní sa prejaví na zvýšení výdavkov – úhrady poskytovateľom zdravotnej starostlivosti.</w:t>
      </w:r>
    </w:p>
    <w:p w:rsidR="008E5CFB" w:rsidRPr="008723F7" w:rsidRDefault="008E5CFB" w:rsidP="001678B8">
      <w:pPr>
        <w:tabs>
          <w:tab w:val="num" w:pos="1080"/>
        </w:tabs>
        <w:spacing w:after="0" w:line="240" w:lineRule="auto"/>
        <w:jc w:val="both"/>
        <w:rPr>
          <w:rFonts w:ascii="Times New Roman" w:hAnsi="Times New Roman"/>
        </w:rPr>
      </w:pP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Úhrn týchto vplyvov je nasledovný:</w:t>
      </w:r>
    </w:p>
    <w:p w:rsidR="008E5CFB" w:rsidRPr="008723F7" w:rsidRDefault="008E5CFB" w:rsidP="001678B8">
      <w:pPr>
        <w:tabs>
          <w:tab w:val="num" w:pos="1080"/>
        </w:tabs>
        <w:spacing w:after="0" w:line="240" w:lineRule="auto"/>
        <w:jc w:val="both"/>
        <w:rPr>
          <w:rFonts w:ascii="Times New Roman" w:hAnsi="Times New Roman"/>
        </w:rPr>
      </w:pP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Dopad na príjmy zdravotných poisťovní:</w:t>
      </w:r>
    </w:p>
    <w:tbl>
      <w:tblPr>
        <w:tblW w:w="9770" w:type="dxa"/>
        <w:tblInd w:w="-713" w:type="dxa"/>
        <w:tblCellMar>
          <w:left w:w="70" w:type="dxa"/>
          <w:right w:w="70" w:type="dxa"/>
        </w:tblCellMar>
        <w:tblLook w:val="04A0" w:firstRow="1" w:lastRow="0" w:firstColumn="1" w:lastColumn="0" w:noHBand="0" w:noVBand="1"/>
      </w:tblPr>
      <w:tblGrid>
        <w:gridCol w:w="4700"/>
        <w:gridCol w:w="690"/>
        <w:gridCol w:w="1460"/>
        <w:gridCol w:w="1460"/>
        <w:gridCol w:w="1460"/>
      </w:tblGrid>
      <w:tr w:rsidR="00BF3D94" w:rsidRPr="008723F7" w:rsidTr="00BF3D94">
        <w:trPr>
          <w:trHeight w:val="300"/>
        </w:trPr>
        <w:tc>
          <w:tcPr>
            <w:tcW w:w="4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050" w:type="dxa"/>
            <w:tcBorders>
              <w:top w:val="single" w:sz="8" w:space="0" w:color="auto"/>
              <w:left w:val="nil"/>
              <w:bottom w:val="single" w:sz="4" w:space="0" w:color="auto"/>
              <w:right w:val="nil"/>
            </w:tcBorders>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2022</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r>
      <w:tr w:rsidR="00BF3D94" w:rsidRPr="008723F7" w:rsidTr="00BF3D94">
        <w:trPr>
          <w:trHeight w:val="300"/>
        </w:trPr>
        <w:tc>
          <w:tcPr>
            <w:tcW w:w="4700" w:type="dxa"/>
            <w:tcBorders>
              <w:top w:val="nil"/>
              <w:left w:val="single" w:sz="8" w:space="0" w:color="auto"/>
              <w:bottom w:val="single" w:sz="4" w:space="0" w:color="auto"/>
              <w:right w:val="single" w:sz="4" w:space="0" w:color="auto"/>
            </w:tcBorders>
            <w:shd w:val="clear" w:color="auto" w:fill="auto"/>
            <w:noWrap/>
            <w:vAlign w:val="bottom"/>
          </w:tcPr>
          <w:p w:rsidR="00BF3D94" w:rsidRPr="008723F7" w:rsidRDefault="00BF3D94"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platba za poistencov štátu</w:t>
            </w:r>
          </w:p>
        </w:tc>
        <w:tc>
          <w:tcPr>
            <w:tcW w:w="1050" w:type="dxa"/>
            <w:tcBorders>
              <w:top w:val="nil"/>
              <w:left w:val="nil"/>
              <w:bottom w:val="single" w:sz="4" w:space="0" w:color="auto"/>
              <w:right w:val="nil"/>
            </w:tcBorders>
          </w:tcPr>
          <w:p w:rsidR="00BF3D94" w:rsidRPr="008723F7" w:rsidRDefault="00BF3D94" w:rsidP="001678B8">
            <w:pPr>
              <w:spacing w:after="0" w:line="240" w:lineRule="auto"/>
              <w:jc w:val="right"/>
              <w:rPr>
                <w:rFonts w:ascii="Times New Roman" w:eastAsiaTheme="minorHAnsi" w:hAnsi="Times New Roman"/>
                <w:b/>
                <w:bCs/>
                <w:color w:val="333333"/>
              </w:rPr>
            </w:pPr>
          </w:p>
        </w:tc>
        <w:tc>
          <w:tcPr>
            <w:tcW w:w="1340" w:type="dxa"/>
            <w:tcBorders>
              <w:top w:val="nil"/>
              <w:left w:val="nil"/>
              <w:bottom w:val="single" w:sz="4" w:space="0" w:color="auto"/>
              <w:right w:val="single" w:sz="4" w:space="0" w:color="auto"/>
            </w:tcBorders>
            <w:shd w:val="clear" w:color="auto" w:fill="auto"/>
            <w:noWrap/>
            <w:vAlign w:val="center"/>
          </w:tcPr>
          <w:p w:rsidR="00BF3D94" w:rsidRPr="008723F7" w:rsidRDefault="00BF3D94" w:rsidP="001678B8">
            <w:pPr>
              <w:spacing w:after="0" w:line="240" w:lineRule="auto"/>
              <w:jc w:val="right"/>
              <w:rPr>
                <w:rFonts w:ascii="Times New Roman" w:eastAsia="Times New Roman" w:hAnsi="Times New Roman"/>
                <w:color w:val="000000"/>
                <w:lang w:eastAsia="sk-SK"/>
              </w:rPr>
            </w:pPr>
            <w:r w:rsidRPr="008723F7">
              <w:rPr>
                <w:rFonts w:ascii="Times New Roman" w:eastAsiaTheme="minorHAnsi" w:hAnsi="Times New Roman"/>
                <w:b/>
                <w:bCs/>
                <w:color w:val="333333"/>
              </w:rPr>
              <w:t>574 758 250</w:t>
            </w:r>
          </w:p>
        </w:tc>
        <w:tc>
          <w:tcPr>
            <w:tcW w:w="1340" w:type="dxa"/>
            <w:tcBorders>
              <w:top w:val="nil"/>
              <w:left w:val="nil"/>
              <w:bottom w:val="single" w:sz="4" w:space="0" w:color="auto"/>
              <w:right w:val="single" w:sz="4" w:space="0" w:color="auto"/>
            </w:tcBorders>
            <w:shd w:val="clear" w:color="auto" w:fill="auto"/>
            <w:noWrap/>
          </w:tcPr>
          <w:p w:rsidR="00BF3D94" w:rsidRPr="008723F7" w:rsidRDefault="00BF3D94" w:rsidP="001678B8">
            <w:pPr>
              <w:autoSpaceDE w:val="0"/>
              <w:autoSpaceDN w:val="0"/>
              <w:adjustRightInd w:val="0"/>
              <w:spacing w:after="0" w:line="240" w:lineRule="auto"/>
              <w:jc w:val="right"/>
              <w:rPr>
                <w:rFonts w:ascii="Times New Roman" w:eastAsiaTheme="minorHAnsi" w:hAnsi="Times New Roman"/>
                <w:b/>
                <w:bCs/>
                <w:color w:val="333333"/>
              </w:rPr>
            </w:pPr>
            <w:r w:rsidRPr="008723F7">
              <w:rPr>
                <w:rFonts w:ascii="Times New Roman" w:eastAsiaTheme="minorHAnsi" w:hAnsi="Times New Roman"/>
                <w:b/>
                <w:bCs/>
                <w:color w:val="333333"/>
              </w:rPr>
              <w:t>718 695 777</w:t>
            </w:r>
          </w:p>
        </w:tc>
        <w:tc>
          <w:tcPr>
            <w:tcW w:w="1340" w:type="dxa"/>
            <w:tcBorders>
              <w:top w:val="nil"/>
              <w:left w:val="nil"/>
              <w:bottom w:val="single" w:sz="4" w:space="0" w:color="auto"/>
              <w:right w:val="single" w:sz="4" w:space="0" w:color="auto"/>
            </w:tcBorders>
            <w:shd w:val="clear" w:color="auto" w:fill="auto"/>
            <w:noWrap/>
            <w:vAlign w:val="center"/>
          </w:tcPr>
          <w:p w:rsidR="00BF3D94" w:rsidRPr="008723F7" w:rsidRDefault="00BF3D94" w:rsidP="001678B8">
            <w:pPr>
              <w:spacing w:after="0" w:line="240" w:lineRule="auto"/>
              <w:jc w:val="right"/>
              <w:rPr>
                <w:rFonts w:ascii="Times New Roman" w:eastAsia="Times New Roman" w:hAnsi="Times New Roman"/>
                <w:color w:val="000000"/>
                <w:lang w:eastAsia="sk-SK"/>
              </w:rPr>
            </w:pPr>
            <w:r w:rsidRPr="008723F7">
              <w:rPr>
                <w:rFonts w:ascii="Times New Roman" w:eastAsiaTheme="minorHAnsi" w:hAnsi="Times New Roman"/>
                <w:b/>
                <w:bCs/>
                <w:color w:val="333333"/>
              </w:rPr>
              <w:t>700 562 632</w:t>
            </w:r>
          </w:p>
        </w:tc>
      </w:tr>
      <w:tr w:rsidR="00BF3D94" w:rsidRPr="008723F7" w:rsidTr="00BF3D94">
        <w:trPr>
          <w:trHeight w:val="300"/>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stanovenie minimálneho vymeriavacieho základu</w:t>
            </w:r>
          </w:p>
        </w:tc>
        <w:tc>
          <w:tcPr>
            <w:tcW w:w="1050" w:type="dxa"/>
            <w:tcBorders>
              <w:top w:val="nil"/>
              <w:left w:val="nil"/>
              <w:bottom w:val="single" w:sz="4" w:space="0" w:color="auto"/>
              <w:right w:val="nil"/>
            </w:tcBorders>
          </w:tcPr>
          <w:p w:rsidR="00BF3D94" w:rsidRPr="008723F7" w:rsidRDefault="00BF3D94" w:rsidP="001678B8">
            <w:pPr>
              <w:spacing w:after="0" w:line="240" w:lineRule="auto"/>
              <w:jc w:val="right"/>
              <w:rPr>
                <w:rFonts w:ascii="Times New Roman" w:hAnsi="Times New Roman"/>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21 290 205,47 </w:t>
            </w:r>
          </w:p>
        </w:tc>
        <w:tc>
          <w:tcPr>
            <w:tcW w:w="1340" w:type="dxa"/>
            <w:tcBorders>
              <w:top w:val="nil"/>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21 758 589,99 </w:t>
            </w:r>
          </w:p>
        </w:tc>
        <w:tc>
          <w:tcPr>
            <w:tcW w:w="1340" w:type="dxa"/>
            <w:tcBorders>
              <w:top w:val="nil"/>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22 084 968,84 </w:t>
            </w:r>
          </w:p>
        </w:tc>
      </w:tr>
      <w:tr w:rsidR="00BF3D94" w:rsidRPr="008723F7" w:rsidTr="00BF3D94">
        <w:trPr>
          <w:trHeight w:val="315"/>
        </w:trPr>
        <w:tc>
          <w:tcPr>
            <w:tcW w:w="4700" w:type="dxa"/>
            <w:tcBorders>
              <w:top w:val="nil"/>
              <w:left w:val="single" w:sz="8" w:space="0" w:color="auto"/>
              <w:bottom w:val="single" w:sz="8" w:space="0" w:color="auto"/>
              <w:right w:val="single" w:sz="4" w:space="0" w:color="auto"/>
            </w:tcBorders>
            <w:shd w:val="clear" w:color="auto" w:fill="auto"/>
            <w:noWrap/>
            <w:vAlign w:val="bottom"/>
            <w:hideMark/>
          </w:tcPr>
          <w:p w:rsidR="00BF3D94" w:rsidRPr="008723F7" w:rsidRDefault="00BF3D94"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spolu</w:t>
            </w:r>
          </w:p>
        </w:tc>
        <w:tc>
          <w:tcPr>
            <w:tcW w:w="1050" w:type="dxa"/>
            <w:tcBorders>
              <w:top w:val="nil"/>
              <w:left w:val="nil"/>
              <w:bottom w:val="single" w:sz="8" w:space="0" w:color="auto"/>
              <w:right w:val="nil"/>
            </w:tcBorders>
          </w:tcPr>
          <w:p w:rsidR="00BF3D94" w:rsidRPr="008723F7" w:rsidRDefault="00BF3D94" w:rsidP="001678B8">
            <w:pPr>
              <w:spacing w:after="0" w:line="240" w:lineRule="auto"/>
              <w:jc w:val="right"/>
              <w:rPr>
                <w:rFonts w:ascii="Times New Roman" w:eastAsia="Times New Roman" w:hAnsi="Times New Roman"/>
                <w:color w:val="000000"/>
                <w:lang w:eastAsia="sk-SK"/>
              </w:rPr>
            </w:pPr>
          </w:p>
        </w:tc>
        <w:tc>
          <w:tcPr>
            <w:tcW w:w="1340" w:type="dxa"/>
            <w:tcBorders>
              <w:top w:val="nil"/>
              <w:left w:val="nil"/>
              <w:bottom w:val="single" w:sz="8" w:space="0" w:color="auto"/>
              <w:right w:val="single" w:sz="4" w:space="0" w:color="auto"/>
            </w:tcBorders>
            <w:shd w:val="clear" w:color="auto" w:fill="auto"/>
            <w:noWrap/>
            <w:vAlign w:val="center"/>
            <w:hideMark/>
          </w:tcPr>
          <w:p w:rsidR="00BF3D94" w:rsidRPr="008723F7" w:rsidRDefault="001678B8"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340" w:type="dxa"/>
            <w:tcBorders>
              <w:top w:val="nil"/>
              <w:left w:val="nil"/>
              <w:bottom w:val="single" w:sz="8" w:space="0" w:color="auto"/>
              <w:right w:val="single" w:sz="4" w:space="0" w:color="auto"/>
            </w:tcBorders>
            <w:shd w:val="clear" w:color="auto" w:fill="auto"/>
            <w:noWrap/>
            <w:vAlign w:val="center"/>
            <w:hideMark/>
          </w:tcPr>
          <w:p w:rsidR="00BF3D94" w:rsidRPr="008723F7" w:rsidRDefault="001678B8"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340" w:type="dxa"/>
            <w:tcBorders>
              <w:top w:val="nil"/>
              <w:left w:val="nil"/>
              <w:bottom w:val="single" w:sz="8" w:space="0" w:color="auto"/>
              <w:right w:val="single" w:sz="4" w:space="0" w:color="auto"/>
            </w:tcBorders>
            <w:shd w:val="clear" w:color="auto" w:fill="auto"/>
            <w:noWrap/>
            <w:vAlign w:val="center"/>
            <w:hideMark/>
          </w:tcPr>
          <w:p w:rsidR="00BF3D94" w:rsidRPr="008723F7" w:rsidRDefault="001678B8"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r>
    </w:tbl>
    <w:p w:rsidR="008E5CFB" w:rsidRPr="008723F7" w:rsidRDefault="008E5CFB" w:rsidP="001678B8">
      <w:pPr>
        <w:tabs>
          <w:tab w:val="num" w:pos="1080"/>
        </w:tabs>
        <w:spacing w:after="0" w:line="240" w:lineRule="auto"/>
        <w:jc w:val="both"/>
        <w:rPr>
          <w:rFonts w:ascii="Times New Roman" w:hAnsi="Times New Roman"/>
        </w:rPr>
      </w:pPr>
    </w:p>
    <w:p w:rsidR="008E5CFB" w:rsidRPr="008723F7" w:rsidRDefault="008E5CFB" w:rsidP="001678B8">
      <w:pPr>
        <w:tabs>
          <w:tab w:val="num" w:pos="1080"/>
        </w:tabs>
        <w:spacing w:after="0" w:line="240" w:lineRule="auto"/>
        <w:jc w:val="both"/>
        <w:rPr>
          <w:rFonts w:ascii="Times New Roman" w:hAnsi="Times New Roman"/>
        </w:rPr>
      </w:pPr>
      <w:r w:rsidRPr="008723F7">
        <w:rPr>
          <w:rFonts w:ascii="Times New Roman" w:hAnsi="Times New Roman"/>
        </w:rPr>
        <w:t>Dopad na výdavky zdravotných poisťovní:</w:t>
      </w:r>
    </w:p>
    <w:tbl>
      <w:tblPr>
        <w:tblW w:w="9770" w:type="dxa"/>
        <w:tblInd w:w="-713" w:type="dxa"/>
        <w:tblCellMar>
          <w:left w:w="70" w:type="dxa"/>
          <w:right w:w="70" w:type="dxa"/>
        </w:tblCellMar>
        <w:tblLook w:val="04A0" w:firstRow="1" w:lastRow="0" w:firstColumn="1" w:lastColumn="0" w:noHBand="0" w:noVBand="1"/>
      </w:tblPr>
      <w:tblGrid>
        <w:gridCol w:w="4700"/>
        <w:gridCol w:w="1050"/>
        <w:gridCol w:w="1340"/>
        <w:gridCol w:w="1340"/>
        <w:gridCol w:w="1340"/>
      </w:tblGrid>
      <w:tr w:rsidR="00BF3D94" w:rsidRPr="008723F7" w:rsidTr="008723F7">
        <w:trPr>
          <w:trHeight w:val="300"/>
        </w:trPr>
        <w:tc>
          <w:tcPr>
            <w:tcW w:w="4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050" w:type="dxa"/>
            <w:tcBorders>
              <w:top w:val="single" w:sz="8" w:space="0" w:color="auto"/>
              <w:left w:val="nil"/>
              <w:bottom w:val="single" w:sz="4" w:space="0" w:color="auto"/>
              <w:right w:val="nil"/>
            </w:tcBorders>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2022</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r>
      <w:tr w:rsidR="00BF3D94" w:rsidRPr="008723F7" w:rsidTr="008723F7">
        <w:trPr>
          <w:trHeight w:val="300"/>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zvýšenie príspevkov</w:t>
            </w:r>
          </w:p>
        </w:tc>
        <w:tc>
          <w:tcPr>
            <w:tcW w:w="1050" w:type="dxa"/>
            <w:tcBorders>
              <w:top w:val="nil"/>
              <w:left w:val="nil"/>
              <w:bottom w:val="single" w:sz="4" w:space="0" w:color="auto"/>
              <w:right w:val="nil"/>
            </w:tcBorders>
          </w:tcPr>
          <w:p w:rsidR="00BF3D94" w:rsidRPr="008723F7" w:rsidRDefault="00BF3D94" w:rsidP="001678B8">
            <w:pPr>
              <w:spacing w:after="0" w:line="240" w:lineRule="auto"/>
              <w:jc w:val="right"/>
              <w:rPr>
                <w:rFonts w:ascii="Times New Roman" w:eastAsia="Times New Roman" w:hAnsi="Times New Roman"/>
                <w:color w:val="000000"/>
                <w:lang w:eastAsia="sk-SK"/>
              </w:rPr>
            </w:pPr>
          </w:p>
        </w:tc>
        <w:tc>
          <w:tcPr>
            <w:tcW w:w="1340" w:type="dxa"/>
            <w:tcBorders>
              <w:top w:val="nil"/>
              <w:left w:val="nil"/>
              <w:bottom w:val="single" w:sz="4" w:space="0" w:color="auto"/>
              <w:right w:val="single" w:sz="4" w:space="0" w:color="auto"/>
            </w:tcBorders>
            <w:shd w:val="clear" w:color="auto" w:fill="auto"/>
            <w:noWrap/>
            <w:vAlign w:val="center"/>
            <w:hideMark/>
          </w:tcPr>
          <w:p w:rsidR="00BF3D94" w:rsidRPr="008723F7" w:rsidRDefault="00BF3D94" w:rsidP="001678B8">
            <w:pPr>
              <w:spacing w:after="0" w:line="240" w:lineRule="auto"/>
              <w:jc w:val="right"/>
              <w:rPr>
                <w:rFonts w:ascii="Times New Roman" w:eastAsia="Times New Roman" w:hAnsi="Times New Roman"/>
                <w:color w:val="000000"/>
                <w:lang w:eastAsia="sk-SK"/>
              </w:rPr>
            </w:pPr>
            <w:r w:rsidRPr="008723F7">
              <w:rPr>
                <w:rFonts w:ascii="Times New Roman" w:hAnsi="Times New Roman"/>
                <w:color w:val="000000"/>
              </w:rPr>
              <w:t>13 524 921</w:t>
            </w:r>
          </w:p>
        </w:tc>
        <w:tc>
          <w:tcPr>
            <w:tcW w:w="1340" w:type="dxa"/>
            <w:tcBorders>
              <w:top w:val="nil"/>
              <w:left w:val="nil"/>
              <w:bottom w:val="single" w:sz="4" w:space="0" w:color="auto"/>
              <w:right w:val="single" w:sz="4" w:space="0" w:color="auto"/>
            </w:tcBorders>
            <w:shd w:val="clear" w:color="auto" w:fill="auto"/>
            <w:noWrap/>
            <w:vAlign w:val="center"/>
            <w:hideMark/>
          </w:tcPr>
          <w:p w:rsidR="00BF3D94" w:rsidRPr="008723F7" w:rsidRDefault="00BF3D94" w:rsidP="001678B8">
            <w:pPr>
              <w:spacing w:after="0" w:line="240" w:lineRule="auto"/>
              <w:jc w:val="right"/>
              <w:rPr>
                <w:rFonts w:ascii="Times New Roman" w:eastAsia="Times New Roman" w:hAnsi="Times New Roman"/>
                <w:color w:val="000000"/>
                <w:lang w:eastAsia="sk-SK"/>
              </w:rPr>
            </w:pPr>
            <w:r w:rsidRPr="008723F7">
              <w:rPr>
                <w:rFonts w:ascii="Times New Roman" w:hAnsi="Times New Roman"/>
                <w:color w:val="000000"/>
              </w:rPr>
              <w:t>14 465 464</w:t>
            </w:r>
          </w:p>
        </w:tc>
        <w:tc>
          <w:tcPr>
            <w:tcW w:w="1340" w:type="dxa"/>
            <w:tcBorders>
              <w:top w:val="nil"/>
              <w:left w:val="nil"/>
              <w:bottom w:val="single" w:sz="4" w:space="0" w:color="auto"/>
              <w:right w:val="single" w:sz="4" w:space="0" w:color="auto"/>
            </w:tcBorders>
            <w:shd w:val="clear" w:color="auto" w:fill="auto"/>
            <w:noWrap/>
            <w:vAlign w:val="center"/>
            <w:hideMark/>
          </w:tcPr>
          <w:p w:rsidR="00BF3D94" w:rsidRPr="008723F7" w:rsidRDefault="00BF3D94" w:rsidP="001678B8">
            <w:pPr>
              <w:spacing w:after="0" w:line="240" w:lineRule="auto"/>
              <w:jc w:val="right"/>
              <w:rPr>
                <w:rFonts w:ascii="Times New Roman" w:eastAsia="Times New Roman" w:hAnsi="Times New Roman"/>
                <w:color w:val="000000"/>
                <w:lang w:eastAsia="sk-SK"/>
              </w:rPr>
            </w:pPr>
            <w:r w:rsidRPr="008723F7">
              <w:rPr>
                <w:rFonts w:ascii="Times New Roman" w:hAnsi="Times New Roman"/>
                <w:color w:val="000000"/>
              </w:rPr>
              <w:t>15 120 320</w:t>
            </w:r>
          </w:p>
        </w:tc>
      </w:tr>
      <w:tr w:rsidR="00BF3D94" w:rsidRPr="008723F7" w:rsidTr="008723F7">
        <w:trPr>
          <w:trHeight w:val="300"/>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BF3D94" w:rsidRPr="008723F7" w:rsidRDefault="00BF3D94" w:rsidP="001678B8">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úhrady poskytovateľom</w:t>
            </w:r>
          </w:p>
        </w:tc>
        <w:tc>
          <w:tcPr>
            <w:tcW w:w="1050" w:type="dxa"/>
            <w:tcBorders>
              <w:top w:val="nil"/>
              <w:left w:val="nil"/>
              <w:bottom w:val="single" w:sz="4" w:space="0" w:color="auto"/>
              <w:right w:val="nil"/>
            </w:tcBorders>
          </w:tcPr>
          <w:p w:rsidR="00BF3D94" w:rsidRPr="008723F7" w:rsidRDefault="00BF3D94" w:rsidP="001678B8">
            <w:pPr>
              <w:spacing w:after="0" w:line="240" w:lineRule="auto"/>
              <w:jc w:val="right"/>
              <w:rPr>
                <w:rFonts w:ascii="Times New Roman" w:eastAsia="Times New Roman" w:hAnsi="Times New Roman"/>
                <w:color w:val="000000"/>
                <w:lang w:eastAsia="sk-SK"/>
              </w:rPr>
            </w:pPr>
          </w:p>
        </w:tc>
        <w:tc>
          <w:tcPr>
            <w:tcW w:w="1340" w:type="dxa"/>
            <w:tcBorders>
              <w:top w:val="nil"/>
              <w:left w:val="nil"/>
              <w:bottom w:val="single" w:sz="4" w:space="0" w:color="auto"/>
              <w:right w:val="single" w:sz="4" w:space="0" w:color="auto"/>
            </w:tcBorders>
            <w:shd w:val="clear" w:color="auto" w:fill="auto"/>
            <w:noWrap/>
            <w:vAlign w:val="bottom"/>
            <w:hideMark/>
          </w:tcPr>
          <w:p w:rsidR="00BF3D94" w:rsidRPr="008723F7" w:rsidRDefault="008723F7"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561 233 329</w:t>
            </w:r>
          </w:p>
        </w:tc>
        <w:tc>
          <w:tcPr>
            <w:tcW w:w="1340" w:type="dxa"/>
            <w:tcBorders>
              <w:top w:val="nil"/>
              <w:left w:val="nil"/>
              <w:bottom w:val="single" w:sz="4" w:space="0" w:color="auto"/>
              <w:right w:val="single" w:sz="4" w:space="0" w:color="auto"/>
            </w:tcBorders>
            <w:shd w:val="clear" w:color="auto" w:fill="auto"/>
            <w:noWrap/>
            <w:vAlign w:val="bottom"/>
            <w:hideMark/>
          </w:tcPr>
          <w:p w:rsidR="00BF3D94" w:rsidRPr="008723F7" w:rsidRDefault="001678B8"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725 808 902</w:t>
            </w:r>
          </w:p>
        </w:tc>
        <w:tc>
          <w:tcPr>
            <w:tcW w:w="1340" w:type="dxa"/>
            <w:tcBorders>
              <w:top w:val="nil"/>
              <w:left w:val="nil"/>
              <w:bottom w:val="single" w:sz="4" w:space="0" w:color="auto"/>
              <w:right w:val="single" w:sz="4" w:space="0" w:color="auto"/>
            </w:tcBorders>
            <w:shd w:val="clear" w:color="auto" w:fill="auto"/>
            <w:noWrap/>
            <w:vAlign w:val="bottom"/>
            <w:hideMark/>
          </w:tcPr>
          <w:p w:rsidR="00BF3D94" w:rsidRPr="008723F7" w:rsidRDefault="001678B8" w:rsidP="001678B8">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707 527 280</w:t>
            </w:r>
          </w:p>
        </w:tc>
      </w:tr>
      <w:tr w:rsidR="008723F7" w:rsidRPr="008723F7" w:rsidTr="008723F7">
        <w:trPr>
          <w:trHeight w:val="315"/>
        </w:trPr>
        <w:tc>
          <w:tcPr>
            <w:tcW w:w="4700" w:type="dxa"/>
            <w:tcBorders>
              <w:top w:val="nil"/>
              <w:left w:val="single" w:sz="8" w:space="0" w:color="auto"/>
              <w:bottom w:val="single" w:sz="8" w:space="0" w:color="auto"/>
              <w:right w:val="single" w:sz="4" w:space="0" w:color="auto"/>
            </w:tcBorders>
            <w:shd w:val="clear" w:color="auto" w:fill="auto"/>
            <w:noWrap/>
            <w:vAlign w:val="bottom"/>
            <w:hideMark/>
          </w:tcPr>
          <w:p w:rsidR="008723F7" w:rsidRPr="008723F7" w:rsidRDefault="008723F7" w:rsidP="008723F7">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spolu</w:t>
            </w:r>
          </w:p>
        </w:tc>
        <w:tc>
          <w:tcPr>
            <w:tcW w:w="1050" w:type="dxa"/>
            <w:tcBorders>
              <w:top w:val="nil"/>
              <w:left w:val="nil"/>
              <w:bottom w:val="single" w:sz="8" w:space="0" w:color="auto"/>
              <w:right w:val="nil"/>
            </w:tcBorders>
          </w:tcPr>
          <w:p w:rsidR="008723F7" w:rsidRPr="008723F7" w:rsidRDefault="008723F7" w:rsidP="008723F7">
            <w:pPr>
              <w:spacing w:after="0" w:line="240" w:lineRule="auto"/>
              <w:jc w:val="right"/>
              <w:rPr>
                <w:rFonts w:ascii="Times New Roman" w:eastAsia="Times New Roman" w:hAnsi="Times New Roman"/>
                <w:color w:val="000000"/>
                <w:lang w:eastAsia="sk-SK"/>
              </w:rPr>
            </w:pPr>
          </w:p>
        </w:tc>
        <w:tc>
          <w:tcPr>
            <w:tcW w:w="1340" w:type="dxa"/>
            <w:tcBorders>
              <w:top w:val="nil"/>
              <w:left w:val="nil"/>
              <w:bottom w:val="single" w:sz="8" w:space="0" w:color="auto"/>
              <w:right w:val="single" w:sz="4" w:space="0" w:color="auto"/>
            </w:tcBorders>
            <w:shd w:val="clear" w:color="auto" w:fill="auto"/>
            <w:noWrap/>
            <w:vAlign w:val="center"/>
            <w:hideMark/>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340" w:type="dxa"/>
            <w:tcBorders>
              <w:top w:val="nil"/>
              <w:left w:val="nil"/>
              <w:bottom w:val="single" w:sz="8" w:space="0" w:color="auto"/>
              <w:right w:val="single" w:sz="4" w:space="0" w:color="auto"/>
            </w:tcBorders>
            <w:shd w:val="clear" w:color="auto" w:fill="auto"/>
            <w:noWrap/>
            <w:vAlign w:val="center"/>
            <w:hideMark/>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340" w:type="dxa"/>
            <w:tcBorders>
              <w:top w:val="nil"/>
              <w:left w:val="nil"/>
              <w:bottom w:val="single" w:sz="8" w:space="0" w:color="auto"/>
              <w:right w:val="single" w:sz="4" w:space="0" w:color="auto"/>
            </w:tcBorders>
            <w:shd w:val="clear" w:color="auto" w:fill="auto"/>
            <w:noWrap/>
            <w:vAlign w:val="center"/>
            <w:hideMark/>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r>
    </w:tbl>
    <w:p w:rsidR="008E5CFB" w:rsidRPr="008723F7" w:rsidRDefault="008E5CFB" w:rsidP="001678B8">
      <w:pPr>
        <w:tabs>
          <w:tab w:val="num" w:pos="1080"/>
        </w:tabs>
        <w:spacing w:after="0" w:line="240" w:lineRule="auto"/>
        <w:jc w:val="both"/>
        <w:rPr>
          <w:rFonts w:ascii="Times New Roman" w:eastAsia="Times New Roman" w:hAnsi="Times New Roman"/>
          <w:bCs/>
          <w:lang w:eastAsia="sk-SK"/>
        </w:rPr>
        <w:sectPr w:rsidR="008E5CFB" w:rsidRPr="008723F7" w:rsidSect="006356EA">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pPr>
      <w:r w:rsidRPr="008723F7">
        <w:rPr>
          <w:rFonts w:ascii="Times New Roman" w:hAnsi="Times New Roman"/>
        </w:rPr>
        <w:t xml:space="preserve"> </w:t>
      </w:r>
    </w:p>
    <w:p w:rsidR="008E5CFB" w:rsidRPr="008723F7" w:rsidRDefault="008E5CFB" w:rsidP="001678B8">
      <w:pPr>
        <w:tabs>
          <w:tab w:val="num" w:pos="1080"/>
        </w:tabs>
        <w:spacing w:after="0" w:line="240" w:lineRule="auto"/>
        <w:jc w:val="right"/>
        <w:rPr>
          <w:rFonts w:ascii="Times New Roman" w:eastAsia="Times New Roman" w:hAnsi="Times New Roman"/>
          <w:bCs/>
          <w:lang w:eastAsia="sk-SK"/>
        </w:rPr>
      </w:pPr>
      <w:r w:rsidRPr="008723F7">
        <w:rPr>
          <w:rFonts w:ascii="Times New Roman" w:eastAsia="Times New Roman" w:hAnsi="Times New Roman"/>
          <w:bCs/>
          <w:lang w:eastAsia="sk-SK"/>
        </w:rPr>
        <w:lastRenderedPageBreak/>
        <w:t xml:space="preserve">Tabuľka č. 3 </w:t>
      </w:r>
    </w:p>
    <w:p w:rsidR="00193ADC" w:rsidRPr="008723F7" w:rsidRDefault="00193ADC" w:rsidP="001678B8">
      <w:pPr>
        <w:tabs>
          <w:tab w:val="num" w:pos="1080"/>
        </w:tabs>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Vplyv na príjmy rozpočtu verejného zdravotného poistenia</w:t>
      </w:r>
    </w:p>
    <w:p w:rsidR="00193ADC" w:rsidRPr="008723F7" w:rsidRDefault="00193ADC" w:rsidP="001678B8">
      <w:pPr>
        <w:tabs>
          <w:tab w:val="num" w:pos="1080"/>
        </w:tabs>
        <w:spacing w:after="0" w:line="240" w:lineRule="auto"/>
        <w:jc w:val="right"/>
        <w:rPr>
          <w:rFonts w:ascii="Times New Roman" w:eastAsia="Times New Roman" w:hAnsi="Times New Roman"/>
          <w:bCs/>
          <w:lang w:eastAsia="sk-SK"/>
        </w:rPr>
      </w:pPr>
    </w:p>
    <w:p w:rsidR="00193ADC" w:rsidRPr="008723F7" w:rsidRDefault="00193ADC" w:rsidP="001678B8">
      <w:pPr>
        <w:tabs>
          <w:tab w:val="num" w:pos="1080"/>
        </w:tabs>
        <w:spacing w:after="0" w:line="240" w:lineRule="auto"/>
        <w:jc w:val="right"/>
        <w:rPr>
          <w:rFonts w:ascii="Times New Roman" w:eastAsia="Times New Roman" w:hAnsi="Times New Roman"/>
          <w:bCs/>
          <w:lang w:eastAsia="sk-SK"/>
        </w:rPr>
      </w:pPr>
    </w:p>
    <w:p w:rsidR="008E5CFB" w:rsidRPr="008723F7" w:rsidRDefault="00E005E4" w:rsidP="001678B8">
      <w:pPr>
        <w:tabs>
          <w:tab w:val="num" w:pos="1080"/>
        </w:tabs>
        <w:spacing w:after="0" w:line="240" w:lineRule="auto"/>
        <w:rPr>
          <w:rFonts w:ascii="Times New Roman" w:eastAsia="Times New Roman" w:hAnsi="Times New Roman"/>
          <w:bCs/>
          <w:lang w:eastAsia="sk-SK"/>
        </w:rPr>
      </w:pPr>
      <w:r w:rsidRPr="008723F7">
        <w:rPr>
          <w:rFonts w:ascii="Times New Roman" w:hAnsi="Times New Roman"/>
        </w:rPr>
        <w:t>v tabuľke č. 3 Vplyv na príjmy rozpočtu Ministerstva zdravotníctva SR riadok „Dopad na príjmy verejnej správy celkom“, vzhľadom na to, že sa číselný údaj za rok 2026 správne matematicky nezhoduje so súčtom číselných údajov uvedených ako jednotlivé položky ekonomickej klasifikácie – transfery.</w:t>
      </w:r>
    </w:p>
    <w:p w:rsidR="008E5CFB" w:rsidRPr="008723F7" w:rsidRDefault="008E5CFB" w:rsidP="001678B8">
      <w:pPr>
        <w:tabs>
          <w:tab w:val="num" w:pos="1080"/>
        </w:tabs>
        <w:spacing w:after="0" w:line="240" w:lineRule="auto"/>
        <w:jc w:val="both"/>
        <w:rPr>
          <w:rFonts w:ascii="Times New Roman" w:eastAsia="Times New Roman" w:hAnsi="Times New Roman"/>
          <w:bCs/>
          <w:lang w:eastAsia="sk-SK"/>
        </w:rPr>
      </w:pPr>
    </w:p>
    <w:tbl>
      <w:tblPr>
        <w:tblpPr w:leftFromText="141" w:rightFromText="141" w:horzAnchor="margin" w:tblpXSpec="center" w:tblpY="533"/>
        <w:tblW w:w="14636" w:type="dxa"/>
        <w:tblCellMar>
          <w:left w:w="70" w:type="dxa"/>
          <w:right w:w="70" w:type="dxa"/>
        </w:tblCellMar>
        <w:tblLook w:val="0000" w:firstRow="0" w:lastRow="0" w:firstColumn="0" w:lastColumn="0" w:noHBand="0" w:noVBand="0"/>
      </w:tblPr>
      <w:tblGrid>
        <w:gridCol w:w="4950"/>
        <w:gridCol w:w="1500"/>
        <w:gridCol w:w="1500"/>
        <w:gridCol w:w="1500"/>
        <w:gridCol w:w="1500"/>
        <w:gridCol w:w="3686"/>
      </w:tblGrid>
      <w:tr w:rsidR="00F234C7" w:rsidRPr="008723F7" w:rsidTr="00F234C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Príjmy (v eurách)</w:t>
            </w:r>
          </w:p>
        </w:tc>
        <w:tc>
          <w:tcPr>
            <w:tcW w:w="1500" w:type="dxa"/>
            <w:tcBorders>
              <w:top w:val="single" w:sz="4" w:space="0" w:color="auto"/>
              <w:left w:val="nil"/>
              <w:bottom w:val="single" w:sz="4" w:space="0" w:color="auto"/>
              <w:right w:val="nil"/>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F234C7" w:rsidRPr="008723F7" w:rsidTr="00F234C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F234C7" w:rsidRPr="008723F7" w:rsidRDefault="00F234C7" w:rsidP="001678B8">
            <w:pPr>
              <w:spacing w:after="0" w:line="240" w:lineRule="auto"/>
              <w:rPr>
                <w:rFonts w:ascii="Times New Roman" w:eastAsia="Times New Roman" w:hAnsi="Times New Roman"/>
                <w:b/>
                <w:bCs/>
                <w:color w:val="FFFFFF"/>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6" w:type="dxa"/>
            <w:tcBorders>
              <w:top w:val="single" w:sz="4" w:space="0" w:color="auto"/>
              <w:left w:val="single" w:sz="4" w:space="0" w:color="auto"/>
              <w:bottom w:val="single" w:sz="4" w:space="0" w:color="auto"/>
              <w:right w:val="single" w:sz="4" w:space="0" w:color="auto"/>
            </w:tcBorders>
            <w:vAlign w:val="center"/>
          </w:tcPr>
          <w:p w:rsidR="00F234C7" w:rsidRPr="008723F7" w:rsidRDefault="00F234C7" w:rsidP="001678B8">
            <w:pPr>
              <w:spacing w:after="0" w:line="240" w:lineRule="auto"/>
              <w:rPr>
                <w:rFonts w:ascii="Times New Roman" w:eastAsia="Times New Roman" w:hAnsi="Times New Roman"/>
                <w:b/>
                <w:bCs/>
                <w:color w:val="FFFFFF"/>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vertAlign w:val="superscript"/>
                <w:lang w:eastAsia="sk-SK"/>
              </w:rPr>
            </w:pPr>
            <w:r w:rsidRPr="008723F7">
              <w:rPr>
                <w:rFonts w:ascii="Times New Roman" w:eastAsia="Times New Roman" w:hAnsi="Times New Roman"/>
                <w:b/>
                <w:bCs/>
                <w:lang w:eastAsia="sk-SK"/>
              </w:rPr>
              <w:t>Daňové príjmy (100)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723F7" w:rsidRPr="008723F7" w:rsidTr="00F234C7">
        <w:trPr>
          <w:trHeight w:val="255"/>
        </w:trPr>
        <w:tc>
          <w:tcPr>
            <w:tcW w:w="4950" w:type="dxa"/>
            <w:tcBorders>
              <w:top w:val="nil"/>
              <w:left w:val="single" w:sz="4" w:space="0" w:color="auto"/>
              <w:bottom w:val="single" w:sz="4" w:space="0" w:color="auto"/>
              <w:right w:val="single" w:sz="4" w:space="0" w:color="auto"/>
            </w:tcBorders>
          </w:tcPr>
          <w:p w:rsidR="008723F7" w:rsidRPr="008723F7" w:rsidRDefault="008723F7" w:rsidP="008723F7">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verejné zdravotné poistenie (154)</w:t>
            </w:r>
          </w:p>
        </w:tc>
        <w:tc>
          <w:tcPr>
            <w:tcW w:w="1500" w:type="dxa"/>
            <w:tcBorders>
              <w:top w:val="single" w:sz="4" w:space="0" w:color="auto"/>
              <w:left w:val="nil"/>
              <w:bottom w:val="single" w:sz="4" w:space="0" w:color="auto"/>
              <w:right w:val="single" w:sz="4" w:space="0" w:color="auto"/>
            </w:tcBorders>
          </w:tcPr>
          <w:p w:rsidR="008723F7" w:rsidRPr="008723F7" w:rsidRDefault="008723F7" w:rsidP="008723F7">
            <w:pPr>
              <w:spacing w:after="0" w:line="240" w:lineRule="auto"/>
              <w:jc w:val="right"/>
              <w:rPr>
                <w:rFonts w:ascii="Times New Roman" w:eastAsia="Times New Roman" w:hAnsi="Times New Roman"/>
                <w:b/>
                <w:color w:val="000000"/>
                <w:lang w:eastAsia="sk-SK"/>
              </w:rPr>
            </w:pPr>
          </w:p>
        </w:tc>
        <w:tc>
          <w:tcPr>
            <w:tcW w:w="1500" w:type="dxa"/>
            <w:tcBorders>
              <w:top w:val="nil"/>
              <w:left w:val="single" w:sz="4" w:space="0" w:color="auto"/>
              <w:bottom w:val="single" w:sz="4" w:space="0" w:color="auto"/>
              <w:right w:val="single" w:sz="4" w:space="0" w:color="auto"/>
            </w:tcBorders>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500" w:type="dxa"/>
            <w:tcBorders>
              <w:top w:val="nil"/>
              <w:left w:val="nil"/>
              <w:bottom w:val="single" w:sz="4" w:space="0" w:color="auto"/>
              <w:right w:val="single" w:sz="4" w:space="0" w:color="auto"/>
            </w:tcBorders>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500" w:type="dxa"/>
            <w:tcBorders>
              <w:top w:val="nil"/>
              <w:left w:val="nil"/>
              <w:bottom w:val="single" w:sz="4" w:space="0" w:color="auto"/>
              <w:right w:val="single" w:sz="4" w:space="0" w:color="auto"/>
            </w:tcBorders>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c>
          <w:tcPr>
            <w:tcW w:w="3686" w:type="dxa"/>
            <w:tcBorders>
              <w:top w:val="nil"/>
              <w:left w:val="nil"/>
              <w:bottom w:val="single" w:sz="4" w:space="0" w:color="auto"/>
              <w:right w:val="single" w:sz="4" w:space="0" w:color="auto"/>
            </w:tcBorders>
            <w:noWrap/>
            <w:vAlign w:val="bottom"/>
          </w:tcPr>
          <w:p w:rsidR="008723F7" w:rsidRPr="008723F7" w:rsidRDefault="008723F7" w:rsidP="008723F7">
            <w:pPr>
              <w:spacing w:after="0" w:line="240" w:lineRule="auto"/>
              <w:rPr>
                <w:rFonts w:ascii="Times New Roman" w:eastAsia="Times New Roman" w:hAnsi="Times New Roman"/>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Nedaňové príjmy (200)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Granty a transfery (300)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723F7" w:rsidRPr="008723F7" w:rsidTr="00F234C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723F7" w:rsidRPr="008723F7" w:rsidRDefault="008723F7" w:rsidP="008723F7">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príjmy verejnej správy celkom</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723F7" w:rsidRPr="008723F7" w:rsidRDefault="008723F7" w:rsidP="008723F7">
            <w:pPr>
              <w:spacing w:after="0" w:line="240" w:lineRule="auto"/>
              <w:jc w:val="right"/>
              <w:rPr>
                <w:rFonts w:ascii="Times New Roman" w:eastAsia="Times New Roman" w:hAnsi="Times New Roman"/>
                <w:b/>
                <w:color w:val="000000"/>
                <w:lang w:eastAsia="sk-SK"/>
              </w:rPr>
            </w:pPr>
            <w:r w:rsidRPr="008723F7">
              <w:rPr>
                <w:rFonts w:ascii="Times New Roman" w:eastAsia="Times New Roman" w:hAnsi="Times New Roman"/>
                <w:b/>
                <w:color w:val="000000"/>
                <w:lang w:eastAsia="sk-SK"/>
              </w:rPr>
              <w:t>0</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tcPr>
          <w:p w:rsidR="008723F7" w:rsidRPr="008723F7" w:rsidRDefault="008723F7" w:rsidP="008723F7">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CFB" w:rsidRPr="008723F7" w:rsidRDefault="008E5CFB"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1 –  príjmy rozpísať až do položiek platnej ekonomickej klasifikácie</w:t>
      </w:r>
    </w:p>
    <w:p w:rsidR="008E5CFB" w:rsidRPr="008723F7" w:rsidRDefault="008E5CFB" w:rsidP="001678B8">
      <w:pPr>
        <w:tabs>
          <w:tab w:val="num" w:pos="1080"/>
        </w:tabs>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CFB" w:rsidRPr="008723F7" w:rsidRDefault="008E5CFB"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193ADC" w:rsidRPr="008723F7" w:rsidRDefault="00193ADC" w:rsidP="001678B8">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193ADC" w:rsidRPr="008723F7" w:rsidRDefault="00193ADC" w:rsidP="001678B8">
      <w:pPr>
        <w:tabs>
          <w:tab w:val="num" w:pos="1080"/>
        </w:tabs>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lastRenderedPageBreak/>
        <w:t>Vplyv na príjmy rozpočtu Ministerstva zdravotníctva SR</w:t>
      </w:r>
    </w:p>
    <w:p w:rsidR="00193ADC" w:rsidRPr="008723F7" w:rsidRDefault="00193ADC" w:rsidP="001678B8">
      <w:pPr>
        <w:tabs>
          <w:tab w:val="num" w:pos="1080"/>
        </w:tabs>
        <w:spacing w:after="0" w:line="240" w:lineRule="auto"/>
        <w:jc w:val="right"/>
        <w:rPr>
          <w:rFonts w:ascii="Times New Roman" w:eastAsia="Times New Roman" w:hAnsi="Times New Roman"/>
          <w:bCs/>
          <w:lang w:eastAsia="sk-SK"/>
        </w:rPr>
      </w:pPr>
    </w:p>
    <w:p w:rsidR="00193ADC" w:rsidRPr="008723F7" w:rsidRDefault="00193ADC" w:rsidP="001678B8">
      <w:pPr>
        <w:tabs>
          <w:tab w:val="num" w:pos="1080"/>
        </w:tabs>
        <w:spacing w:after="0" w:line="240" w:lineRule="auto"/>
        <w:jc w:val="right"/>
        <w:rPr>
          <w:rFonts w:ascii="Times New Roman" w:eastAsia="Times New Roman" w:hAnsi="Times New Roman"/>
          <w:bCs/>
          <w:lang w:eastAsia="sk-SK"/>
        </w:rPr>
      </w:pPr>
    </w:p>
    <w:p w:rsidR="00193ADC" w:rsidRPr="008723F7" w:rsidRDefault="00193ADC" w:rsidP="001678B8">
      <w:pPr>
        <w:tabs>
          <w:tab w:val="num" w:pos="1080"/>
        </w:tabs>
        <w:spacing w:after="0" w:line="240" w:lineRule="auto"/>
        <w:jc w:val="right"/>
        <w:rPr>
          <w:rFonts w:ascii="Times New Roman" w:eastAsia="Times New Roman" w:hAnsi="Times New Roman"/>
          <w:bCs/>
          <w:lang w:eastAsia="sk-SK"/>
        </w:rPr>
      </w:pPr>
    </w:p>
    <w:p w:rsidR="00193ADC" w:rsidRPr="008723F7" w:rsidRDefault="00193ADC" w:rsidP="001678B8">
      <w:pPr>
        <w:tabs>
          <w:tab w:val="num" w:pos="1080"/>
        </w:tabs>
        <w:spacing w:after="0" w:line="240" w:lineRule="auto"/>
        <w:jc w:val="both"/>
        <w:rPr>
          <w:rFonts w:ascii="Times New Roman" w:eastAsia="Times New Roman" w:hAnsi="Times New Roman"/>
          <w:bCs/>
          <w:lang w:eastAsia="sk-SK"/>
        </w:rPr>
      </w:pPr>
    </w:p>
    <w:tbl>
      <w:tblPr>
        <w:tblpPr w:leftFromText="141" w:rightFromText="141" w:horzAnchor="margin" w:tblpXSpec="center" w:tblpY="533"/>
        <w:tblW w:w="14636" w:type="dxa"/>
        <w:tblCellMar>
          <w:left w:w="70" w:type="dxa"/>
          <w:right w:w="70" w:type="dxa"/>
        </w:tblCellMar>
        <w:tblLook w:val="0000" w:firstRow="0" w:lastRow="0" w:firstColumn="0" w:lastColumn="0" w:noHBand="0" w:noVBand="0"/>
      </w:tblPr>
      <w:tblGrid>
        <w:gridCol w:w="4950"/>
        <w:gridCol w:w="1500"/>
        <w:gridCol w:w="1500"/>
        <w:gridCol w:w="1500"/>
        <w:gridCol w:w="1500"/>
        <w:gridCol w:w="3686"/>
      </w:tblGrid>
      <w:tr w:rsidR="00F234C7" w:rsidRPr="008723F7" w:rsidTr="00F234C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Príjmy (v eurách)</w:t>
            </w:r>
          </w:p>
        </w:tc>
        <w:tc>
          <w:tcPr>
            <w:tcW w:w="1500" w:type="dxa"/>
            <w:tcBorders>
              <w:top w:val="single" w:sz="4" w:space="0" w:color="auto"/>
              <w:left w:val="nil"/>
              <w:bottom w:val="single" w:sz="4" w:space="0" w:color="auto"/>
              <w:right w:val="nil"/>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F234C7" w:rsidRPr="008723F7" w:rsidTr="00F234C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F234C7" w:rsidRPr="008723F7" w:rsidRDefault="00F234C7" w:rsidP="001678B8">
            <w:pPr>
              <w:spacing w:after="0" w:line="240" w:lineRule="auto"/>
              <w:rPr>
                <w:rFonts w:ascii="Times New Roman" w:eastAsia="Times New Roman" w:hAnsi="Times New Roman"/>
                <w:b/>
                <w:bCs/>
                <w:color w:val="FFFFFF"/>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6" w:type="dxa"/>
            <w:tcBorders>
              <w:top w:val="single" w:sz="4" w:space="0" w:color="auto"/>
              <w:left w:val="single" w:sz="4" w:space="0" w:color="auto"/>
              <w:bottom w:val="single" w:sz="4" w:space="0" w:color="auto"/>
              <w:right w:val="single" w:sz="4" w:space="0" w:color="auto"/>
            </w:tcBorders>
            <w:vAlign w:val="center"/>
          </w:tcPr>
          <w:p w:rsidR="00F234C7" w:rsidRPr="008723F7" w:rsidRDefault="00F234C7" w:rsidP="001678B8">
            <w:pPr>
              <w:spacing w:after="0" w:line="240" w:lineRule="auto"/>
              <w:rPr>
                <w:rFonts w:ascii="Times New Roman" w:eastAsia="Times New Roman" w:hAnsi="Times New Roman"/>
                <w:b/>
                <w:bCs/>
                <w:color w:val="FFFFFF"/>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vertAlign w:val="superscript"/>
                <w:lang w:eastAsia="sk-SK"/>
              </w:rPr>
            </w:pPr>
            <w:r w:rsidRPr="008723F7">
              <w:rPr>
                <w:rFonts w:ascii="Times New Roman" w:eastAsia="Times New Roman" w:hAnsi="Times New Roman"/>
                <w:b/>
                <w:bCs/>
                <w:lang w:eastAsia="sk-SK"/>
              </w:rPr>
              <w:t>Daňové príjmy (100)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Nedaňové príjmy (200)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Granty a transfery (300)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transfery zo štátneho rozpočtu (312001)</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right"/>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zvýšenie rozpočtu kapitoly z dôvodu uhrádzania zdravotnej starostlivosti pre žiadateľov o azyl)</w:t>
            </w:r>
          </w:p>
        </w:tc>
      </w:tr>
      <w:tr w:rsidR="00BF3D94" w:rsidRPr="008723F7" w:rsidTr="00F234C7">
        <w:trPr>
          <w:trHeight w:val="255"/>
        </w:trPr>
        <w:tc>
          <w:tcPr>
            <w:tcW w:w="4950" w:type="dxa"/>
            <w:tcBorders>
              <w:top w:val="nil"/>
              <w:left w:val="single" w:sz="4" w:space="0" w:color="auto"/>
              <w:bottom w:val="single" w:sz="4" w:space="0" w:color="auto"/>
              <w:right w:val="single" w:sz="4" w:space="0" w:color="auto"/>
            </w:tcBorders>
          </w:tcPr>
          <w:p w:rsidR="00BF3D94" w:rsidRPr="008723F7" w:rsidRDefault="00BF3D94" w:rsidP="001678B8">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transfery zo zdravotných poisťovní (312003)</w:t>
            </w:r>
          </w:p>
        </w:tc>
        <w:tc>
          <w:tcPr>
            <w:tcW w:w="1500" w:type="dxa"/>
            <w:tcBorders>
              <w:top w:val="single" w:sz="4" w:space="0" w:color="auto"/>
              <w:left w:val="nil"/>
              <w:bottom w:val="single" w:sz="4" w:space="0" w:color="auto"/>
              <w:right w:val="single" w:sz="4" w:space="0" w:color="auto"/>
            </w:tcBorders>
          </w:tcPr>
          <w:p w:rsidR="00BF3D94" w:rsidRPr="008723F7" w:rsidRDefault="00BF3D94" w:rsidP="001678B8">
            <w:pPr>
              <w:spacing w:after="0" w:line="240" w:lineRule="auto"/>
              <w:jc w:val="right"/>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vAlign w:val="bottom"/>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500" w:type="dxa"/>
            <w:tcBorders>
              <w:top w:val="nil"/>
              <w:left w:val="nil"/>
              <w:bottom w:val="single" w:sz="4" w:space="0" w:color="auto"/>
              <w:right w:val="single" w:sz="4" w:space="0" w:color="auto"/>
            </w:tcBorders>
            <w:vAlign w:val="bottom"/>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500" w:type="dxa"/>
            <w:tcBorders>
              <w:top w:val="nil"/>
              <w:left w:val="nil"/>
              <w:bottom w:val="single" w:sz="4" w:space="0" w:color="auto"/>
              <w:right w:val="single" w:sz="4" w:space="0" w:color="auto"/>
            </w:tcBorders>
            <w:vAlign w:val="bottom"/>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c>
          <w:tcPr>
            <w:tcW w:w="3686" w:type="dxa"/>
            <w:tcBorders>
              <w:top w:val="nil"/>
              <w:left w:val="nil"/>
              <w:bottom w:val="single" w:sz="4" w:space="0" w:color="auto"/>
              <w:right w:val="single" w:sz="4" w:space="0" w:color="auto"/>
            </w:tcBorders>
            <w:noWrap/>
            <w:vAlign w:val="bottom"/>
          </w:tcPr>
          <w:p w:rsidR="00BF3D94" w:rsidRPr="008723F7" w:rsidRDefault="00BF3D94"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zvýšenie percenta príspevkov odvádzaných zdravotnými poisťovňami</w:t>
            </w: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BF3D94" w:rsidRPr="008723F7" w:rsidTr="00F234C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BF3D94" w:rsidRPr="008723F7" w:rsidRDefault="00BF3D94"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príjmy verejnej správy celkom</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BF3D94" w:rsidRPr="008723F7" w:rsidRDefault="00BF3D94" w:rsidP="001678B8">
            <w:pPr>
              <w:spacing w:after="0" w:line="240" w:lineRule="auto"/>
              <w:jc w:val="right"/>
              <w:rPr>
                <w:rFonts w:ascii="Times New Roman" w:hAnsi="Times New Roman"/>
                <w:b/>
                <w:color w:val="000000"/>
              </w:rPr>
            </w:pPr>
            <w:r w:rsidRPr="008723F7">
              <w:rPr>
                <w:rFonts w:ascii="Times New Roman" w:hAnsi="Times New Roman"/>
                <w:b/>
                <w:color w:val="000000"/>
              </w:rPr>
              <w:t>0</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BF3D94" w:rsidRPr="008723F7" w:rsidRDefault="00BF3D94" w:rsidP="001678B8">
            <w:pPr>
              <w:spacing w:after="0" w:line="240" w:lineRule="auto"/>
              <w:jc w:val="right"/>
              <w:rPr>
                <w:rFonts w:ascii="Times New Roman" w:hAnsi="Times New Roman"/>
                <w:b/>
                <w:color w:val="000000"/>
              </w:rPr>
            </w:pPr>
            <w:r w:rsidRPr="008723F7">
              <w:rPr>
                <w:rFonts w:ascii="Times New Roman" w:hAnsi="Times New Roman"/>
                <w:b/>
                <w:color w:val="000000"/>
              </w:rPr>
              <w:t>13 574 921</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BF3D94" w:rsidRPr="008723F7" w:rsidRDefault="00BF3D94" w:rsidP="001678B8">
            <w:pPr>
              <w:spacing w:after="0" w:line="240" w:lineRule="auto"/>
              <w:jc w:val="right"/>
              <w:rPr>
                <w:rFonts w:ascii="Times New Roman" w:hAnsi="Times New Roman"/>
                <w:b/>
                <w:color w:val="000000"/>
              </w:rPr>
            </w:pPr>
            <w:r w:rsidRPr="008723F7">
              <w:rPr>
                <w:rFonts w:ascii="Times New Roman" w:hAnsi="Times New Roman"/>
                <w:b/>
                <w:color w:val="000000"/>
              </w:rPr>
              <w:t>14 515 464</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BF3D94" w:rsidRPr="008723F7" w:rsidRDefault="00BF3D94" w:rsidP="001678B8">
            <w:pPr>
              <w:spacing w:after="0" w:line="240" w:lineRule="auto"/>
              <w:jc w:val="right"/>
              <w:rPr>
                <w:rFonts w:ascii="Times New Roman" w:hAnsi="Times New Roman"/>
                <w:b/>
                <w:color w:val="000000"/>
              </w:rPr>
            </w:pPr>
            <w:r w:rsidRPr="008723F7">
              <w:rPr>
                <w:rFonts w:ascii="Times New Roman" w:hAnsi="Times New Roman"/>
                <w:b/>
                <w:color w:val="000000"/>
              </w:rPr>
              <w:t>15 170 320</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tcPr>
          <w:p w:rsidR="00BF3D94" w:rsidRPr="008723F7" w:rsidRDefault="00BF3D94"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193ADC" w:rsidRPr="008723F7" w:rsidRDefault="00193ADC"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1 –  príjmy rozpísať až do položiek platnej ekonomickej klasifikácie</w:t>
      </w:r>
    </w:p>
    <w:p w:rsidR="00193ADC" w:rsidRPr="008723F7" w:rsidRDefault="00193ADC" w:rsidP="001678B8">
      <w:pPr>
        <w:tabs>
          <w:tab w:val="num" w:pos="1080"/>
        </w:tabs>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193ADC" w:rsidRPr="008723F7" w:rsidRDefault="00193ADC"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193ADC" w:rsidRPr="008723F7" w:rsidRDefault="00193ADC" w:rsidP="001678B8">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193ADC" w:rsidRPr="008723F7" w:rsidRDefault="00193ADC" w:rsidP="001678B8">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193ADC" w:rsidRPr="008723F7" w:rsidRDefault="00193ADC" w:rsidP="001678B8">
      <w:pPr>
        <w:tabs>
          <w:tab w:val="num" w:pos="1080"/>
        </w:tabs>
        <w:spacing w:after="0" w:line="240" w:lineRule="auto"/>
        <w:jc w:val="both"/>
        <w:rPr>
          <w:rFonts w:ascii="Times New Roman" w:eastAsia="Times New Roman" w:hAnsi="Times New Roman"/>
          <w:bCs/>
          <w:lang w:eastAsia="sk-SK"/>
        </w:rPr>
      </w:pPr>
    </w:p>
    <w:tbl>
      <w:tblPr>
        <w:tblpPr w:leftFromText="141" w:rightFromText="141" w:horzAnchor="margin" w:tblpXSpec="center" w:tblpY="533"/>
        <w:tblW w:w="14636" w:type="dxa"/>
        <w:tblCellMar>
          <w:left w:w="70" w:type="dxa"/>
          <w:right w:w="70" w:type="dxa"/>
        </w:tblCellMar>
        <w:tblLook w:val="0000" w:firstRow="0" w:lastRow="0" w:firstColumn="0" w:lastColumn="0" w:noHBand="0" w:noVBand="0"/>
      </w:tblPr>
      <w:tblGrid>
        <w:gridCol w:w="4950"/>
        <w:gridCol w:w="1500"/>
        <w:gridCol w:w="1500"/>
        <w:gridCol w:w="1500"/>
        <w:gridCol w:w="1500"/>
        <w:gridCol w:w="3686"/>
      </w:tblGrid>
      <w:tr w:rsidR="00F234C7" w:rsidRPr="008723F7" w:rsidTr="00F234C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single" w:sz="4" w:space="0" w:color="auto"/>
              <w:left w:val="nil"/>
              <w:bottom w:val="single" w:sz="4" w:space="0" w:color="auto"/>
              <w:right w:val="nil"/>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34C7" w:rsidRPr="008723F7" w:rsidRDefault="00F234C7" w:rsidP="001678B8">
            <w:pPr>
              <w:spacing w:after="0" w:line="240" w:lineRule="auto"/>
              <w:jc w:val="center"/>
              <w:rPr>
                <w:rFonts w:ascii="Times New Roman" w:eastAsia="Times New Roman" w:hAnsi="Times New Roman"/>
                <w:b/>
                <w:bCs/>
                <w:lang w:eastAsia="sk-SK"/>
              </w:rPr>
            </w:pPr>
          </w:p>
        </w:tc>
      </w:tr>
      <w:tr w:rsidR="00F234C7" w:rsidRPr="008723F7" w:rsidTr="00F234C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F234C7" w:rsidRPr="008723F7" w:rsidRDefault="00F234C7" w:rsidP="001678B8">
            <w:pPr>
              <w:spacing w:after="0" w:line="240" w:lineRule="auto"/>
              <w:rPr>
                <w:rFonts w:ascii="Times New Roman" w:eastAsia="Times New Roman" w:hAnsi="Times New Roman"/>
                <w:b/>
                <w:bCs/>
                <w:color w:val="FFFFFF"/>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single" w:sz="4" w:space="0" w:color="auto"/>
              <w:left w:val="single" w:sz="4" w:space="0" w:color="auto"/>
              <w:bottom w:val="single" w:sz="4" w:space="0" w:color="auto"/>
              <w:right w:val="single" w:sz="4" w:space="0" w:color="auto"/>
            </w:tcBorders>
            <w:vAlign w:val="center"/>
          </w:tcPr>
          <w:p w:rsidR="00F234C7" w:rsidRPr="008723F7" w:rsidRDefault="00F234C7" w:rsidP="001678B8">
            <w:pPr>
              <w:spacing w:after="0" w:line="240" w:lineRule="auto"/>
              <w:rPr>
                <w:rFonts w:ascii="Times New Roman" w:eastAsia="Times New Roman" w:hAnsi="Times New Roman"/>
                <w:b/>
                <w:bCs/>
                <w:color w:val="FFFFFF"/>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vertAlign w:val="superscript"/>
                <w:lang w:eastAsia="sk-SK"/>
              </w:rPr>
            </w:pP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Cs/>
                <w:lang w:eastAsia="sk-SK"/>
              </w:rPr>
            </w:pP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right"/>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right"/>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right"/>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right"/>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tcPr>
          <w:p w:rsidR="00F234C7" w:rsidRPr="008723F7" w:rsidRDefault="00F234C7" w:rsidP="001678B8">
            <w:pPr>
              <w:spacing w:after="0" w:line="240" w:lineRule="auto"/>
              <w:rPr>
                <w:rFonts w:ascii="Times New Roman" w:eastAsia="Times New Roman" w:hAnsi="Times New Roman"/>
                <w:b/>
                <w:bCs/>
                <w:lang w:eastAsia="sk-SK"/>
              </w:rPr>
            </w:pPr>
          </w:p>
        </w:tc>
        <w:tc>
          <w:tcPr>
            <w:tcW w:w="1500" w:type="dxa"/>
            <w:tcBorders>
              <w:top w:val="single" w:sz="4" w:space="0" w:color="auto"/>
              <w:left w:val="nil"/>
              <w:bottom w:val="single" w:sz="4" w:space="0" w:color="auto"/>
              <w:right w:val="single" w:sz="4" w:space="0" w:color="auto"/>
            </w:tcBorders>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shd w:val="clear" w:color="auto" w:fill="auto"/>
          </w:tcPr>
          <w:p w:rsidR="00F234C7" w:rsidRPr="008723F7" w:rsidRDefault="00F234C7"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F234C7" w:rsidRPr="008723F7" w:rsidRDefault="00F234C7" w:rsidP="001678B8">
            <w:pPr>
              <w:spacing w:after="0" w:line="240" w:lineRule="auto"/>
              <w:rPr>
                <w:rFonts w:ascii="Times New Roman" w:eastAsia="Times New Roman" w:hAnsi="Times New Roman"/>
                <w:lang w:eastAsia="sk-SK"/>
              </w:rPr>
            </w:pPr>
          </w:p>
        </w:tc>
      </w:tr>
      <w:tr w:rsidR="00F234C7" w:rsidRPr="008723F7" w:rsidTr="00F234C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rPr>
                <w:rFonts w:ascii="Times New Roman" w:eastAsia="Times New Roman" w:hAnsi="Times New Roman"/>
                <w:b/>
                <w:bCs/>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F234C7" w:rsidRPr="008723F7" w:rsidRDefault="00F234C7" w:rsidP="001678B8">
            <w:pPr>
              <w:spacing w:after="0" w:line="240" w:lineRule="auto"/>
              <w:jc w:val="right"/>
              <w:rPr>
                <w:rFonts w:ascii="Times New Roman" w:hAnsi="Times New Roman"/>
                <w:b/>
                <w:color w:val="000000"/>
              </w:rPr>
            </w:pP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F234C7" w:rsidRPr="008723F7" w:rsidRDefault="00F234C7" w:rsidP="001678B8">
            <w:pPr>
              <w:spacing w:after="0" w:line="240" w:lineRule="auto"/>
              <w:jc w:val="right"/>
              <w:rPr>
                <w:rFonts w:ascii="Times New Roman" w:hAnsi="Times New Roman"/>
                <w:b/>
                <w:color w:val="000000"/>
              </w:rPr>
            </w:pP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F234C7" w:rsidRPr="008723F7" w:rsidRDefault="00F234C7" w:rsidP="001678B8">
            <w:pPr>
              <w:spacing w:after="0" w:line="240" w:lineRule="auto"/>
              <w:jc w:val="right"/>
              <w:rPr>
                <w:rFonts w:ascii="Times New Roman" w:hAnsi="Times New Roman"/>
                <w:b/>
                <w:color w:val="000000"/>
              </w:rPr>
            </w:pP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F234C7" w:rsidRPr="008723F7" w:rsidRDefault="00F234C7" w:rsidP="001678B8">
            <w:pPr>
              <w:spacing w:after="0" w:line="240" w:lineRule="auto"/>
              <w:jc w:val="right"/>
              <w:rPr>
                <w:rFonts w:ascii="Times New Roman" w:hAnsi="Times New Roman"/>
                <w:b/>
                <w:color w:val="000000"/>
              </w:rPr>
            </w:pP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tcPr>
          <w:p w:rsidR="00F234C7" w:rsidRPr="008723F7" w:rsidRDefault="00F234C7" w:rsidP="001678B8">
            <w:pPr>
              <w:spacing w:after="0" w:line="240" w:lineRule="auto"/>
              <w:rPr>
                <w:rFonts w:ascii="Times New Roman" w:eastAsia="Times New Roman" w:hAnsi="Times New Roman"/>
                <w:lang w:eastAsia="sk-SK"/>
              </w:rPr>
            </w:pPr>
          </w:p>
        </w:tc>
      </w:tr>
    </w:tbl>
    <w:p w:rsidR="00193ADC" w:rsidRPr="008723F7" w:rsidRDefault="00193ADC"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1 –  príjmy rozpísať až do položiek platnej ekonomickej klasifikácie</w:t>
      </w:r>
    </w:p>
    <w:p w:rsidR="00193ADC" w:rsidRPr="008723F7" w:rsidRDefault="00193ADC" w:rsidP="001678B8">
      <w:pPr>
        <w:tabs>
          <w:tab w:val="num" w:pos="1080"/>
        </w:tabs>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193ADC" w:rsidRPr="008723F7" w:rsidRDefault="00193ADC"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193ADC" w:rsidRPr="008723F7" w:rsidRDefault="00193ADC" w:rsidP="001678B8">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193ADC" w:rsidRPr="008723F7" w:rsidRDefault="00193ADC" w:rsidP="001678B8">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471A3F" w:rsidRPr="008723F7" w:rsidRDefault="00471A3F" w:rsidP="001678B8">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471A3F" w:rsidRPr="008723F7" w:rsidRDefault="00471A3F" w:rsidP="001678B8">
      <w:pPr>
        <w:tabs>
          <w:tab w:val="num" w:pos="1080"/>
        </w:tabs>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lastRenderedPageBreak/>
        <w:t>Vplyv na príjmy rozpočtu Ministerstva vnútra SR</w:t>
      </w:r>
    </w:p>
    <w:p w:rsidR="00471A3F" w:rsidRPr="008723F7" w:rsidRDefault="00471A3F" w:rsidP="001678B8">
      <w:pPr>
        <w:tabs>
          <w:tab w:val="num" w:pos="1080"/>
        </w:tabs>
        <w:spacing w:after="0" w:line="240" w:lineRule="auto"/>
        <w:jc w:val="right"/>
        <w:rPr>
          <w:rFonts w:ascii="Times New Roman" w:eastAsia="Times New Roman" w:hAnsi="Times New Roman"/>
          <w:bCs/>
          <w:lang w:eastAsia="sk-SK"/>
        </w:rPr>
      </w:pPr>
    </w:p>
    <w:p w:rsidR="00471A3F" w:rsidRPr="008723F7" w:rsidRDefault="00471A3F" w:rsidP="001678B8">
      <w:pPr>
        <w:tabs>
          <w:tab w:val="num" w:pos="1080"/>
        </w:tabs>
        <w:spacing w:after="0" w:line="240" w:lineRule="auto"/>
        <w:jc w:val="right"/>
        <w:rPr>
          <w:rFonts w:ascii="Times New Roman" w:eastAsia="Times New Roman" w:hAnsi="Times New Roman"/>
          <w:bCs/>
          <w:lang w:eastAsia="sk-SK"/>
        </w:rPr>
      </w:pPr>
    </w:p>
    <w:p w:rsidR="00471A3F" w:rsidRPr="008723F7" w:rsidRDefault="00471A3F" w:rsidP="001678B8">
      <w:pPr>
        <w:tabs>
          <w:tab w:val="num" w:pos="1080"/>
        </w:tabs>
        <w:spacing w:after="0" w:line="240" w:lineRule="auto"/>
        <w:jc w:val="right"/>
        <w:rPr>
          <w:rFonts w:ascii="Times New Roman" w:eastAsia="Times New Roman" w:hAnsi="Times New Roman"/>
          <w:bCs/>
          <w:lang w:eastAsia="sk-SK"/>
        </w:rPr>
      </w:pPr>
    </w:p>
    <w:p w:rsidR="00471A3F" w:rsidRPr="008723F7" w:rsidRDefault="00471A3F" w:rsidP="001678B8">
      <w:pPr>
        <w:tabs>
          <w:tab w:val="num" w:pos="1080"/>
        </w:tabs>
        <w:spacing w:after="0" w:line="240" w:lineRule="auto"/>
        <w:jc w:val="both"/>
        <w:rPr>
          <w:rFonts w:ascii="Times New Roman" w:eastAsia="Times New Roman" w:hAnsi="Times New Roman"/>
          <w:bCs/>
          <w:lang w:eastAsia="sk-SK"/>
        </w:rPr>
      </w:pPr>
    </w:p>
    <w:tbl>
      <w:tblPr>
        <w:tblpPr w:leftFromText="141" w:rightFromText="141" w:horzAnchor="margin" w:tblpXSpec="center" w:tblpY="533"/>
        <w:tblW w:w="14636" w:type="dxa"/>
        <w:tblCellMar>
          <w:left w:w="70" w:type="dxa"/>
          <w:right w:w="70" w:type="dxa"/>
        </w:tblCellMar>
        <w:tblLook w:val="0000" w:firstRow="0" w:lastRow="0" w:firstColumn="0" w:lastColumn="0" w:noHBand="0" w:noVBand="0"/>
      </w:tblPr>
      <w:tblGrid>
        <w:gridCol w:w="4950"/>
        <w:gridCol w:w="1500"/>
        <w:gridCol w:w="1500"/>
        <w:gridCol w:w="1500"/>
        <w:gridCol w:w="1500"/>
        <w:gridCol w:w="3686"/>
      </w:tblGrid>
      <w:tr w:rsidR="00764050" w:rsidRPr="008723F7" w:rsidTr="007702C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4050" w:rsidRPr="008723F7" w:rsidRDefault="00764050"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Príjmy (v eurách)</w:t>
            </w:r>
          </w:p>
        </w:tc>
        <w:tc>
          <w:tcPr>
            <w:tcW w:w="1500" w:type="dxa"/>
            <w:tcBorders>
              <w:top w:val="single" w:sz="4" w:space="0" w:color="auto"/>
              <w:left w:val="nil"/>
              <w:bottom w:val="single" w:sz="4" w:space="0" w:color="auto"/>
              <w:right w:val="nil"/>
            </w:tcBorders>
            <w:shd w:val="clear" w:color="auto" w:fill="BFBFBF" w:themeFill="background1" w:themeFillShade="BF"/>
          </w:tcPr>
          <w:p w:rsidR="00764050" w:rsidRPr="008723F7" w:rsidRDefault="00764050" w:rsidP="001678B8">
            <w:pPr>
              <w:spacing w:after="0" w:line="240" w:lineRule="auto"/>
              <w:jc w:val="center"/>
              <w:rPr>
                <w:rFonts w:ascii="Times New Roman" w:eastAsia="Times New Roman" w:hAnsi="Times New Roman"/>
                <w:b/>
                <w:bCs/>
                <w:lang w:eastAsia="sk-SK"/>
              </w:rPr>
            </w:pP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64050" w:rsidRPr="008723F7" w:rsidRDefault="00764050"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64050" w:rsidRPr="008723F7" w:rsidRDefault="00764050"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7702C2" w:rsidRPr="008723F7" w:rsidTr="007702C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6" w:type="dxa"/>
            <w:tcBorders>
              <w:top w:val="single" w:sz="4" w:space="0" w:color="auto"/>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r>
      <w:tr w:rsidR="007702C2" w:rsidRPr="008723F7" w:rsidTr="007702C2">
        <w:trPr>
          <w:trHeight w:val="255"/>
        </w:trPr>
        <w:tc>
          <w:tcPr>
            <w:tcW w:w="495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vertAlign w:val="superscript"/>
                <w:lang w:eastAsia="sk-SK"/>
              </w:rPr>
            </w:pPr>
            <w:r w:rsidRPr="008723F7">
              <w:rPr>
                <w:rFonts w:ascii="Times New Roman" w:eastAsia="Times New Roman" w:hAnsi="Times New Roman"/>
                <w:b/>
                <w:bCs/>
                <w:lang w:eastAsia="sk-SK"/>
              </w:rPr>
              <w:t>Daňové príjmy (100)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495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Nedaňové príjmy (200)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495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Granty a transfery (300)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495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transfery zo štátneho rozpočtu (312001)</w:t>
            </w:r>
          </w:p>
        </w:tc>
        <w:tc>
          <w:tcPr>
            <w:tcW w:w="1500"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 xml:space="preserve"> – 50 000</w:t>
            </w:r>
          </w:p>
        </w:tc>
        <w:tc>
          <w:tcPr>
            <w:tcW w:w="1500"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1500"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3686"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zníženie rozpočtu kapitoly z dôvodu uhrádzania zdravotnej starostlivosti pre žiadateľov o azyl)</w:t>
            </w:r>
          </w:p>
        </w:tc>
      </w:tr>
      <w:tr w:rsidR="007702C2" w:rsidRPr="008723F7" w:rsidTr="007702C2">
        <w:trPr>
          <w:trHeight w:val="255"/>
        </w:trPr>
        <w:tc>
          <w:tcPr>
            <w:tcW w:w="495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4950"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príjmy verejnej správy celkom</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1500"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1500"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471A3F" w:rsidRPr="008723F7" w:rsidRDefault="00471A3F"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1 –  príjmy rozpísať až do položiek platnej ekonomickej klasifikácie</w:t>
      </w:r>
    </w:p>
    <w:p w:rsidR="00471A3F" w:rsidRPr="008723F7" w:rsidRDefault="00471A3F" w:rsidP="001678B8">
      <w:pPr>
        <w:tabs>
          <w:tab w:val="num" w:pos="1080"/>
        </w:tabs>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471A3F" w:rsidRPr="008723F7" w:rsidRDefault="00471A3F"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471A3F" w:rsidRPr="008723F7" w:rsidRDefault="00471A3F" w:rsidP="001678B8">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471A3F" w:rsidRPr="008723F7" w:rsidRDefault="00471A3F" w:rsidP="001678B8">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471A3F" w:rsidRPr="008723F7" w:rsidRDefault="00471A3F"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578"/>
        <w:jc w:val="right"/>
        <w:rPr>
          <w:rFonts w:ascii="Times New Roman" w:eastAsia="Times New Roman" w:hAnsi="Times New Roman"/>
          <w:bCs/>
          <w:lang w:eastAsia="sk-SK"/>
        </w:rPr>
      </w:pPr>
    </w:p>
    <w:p w:rsidR="008E5CFB" w:rsidRPr="008723F7" w:rsidRDefault="008E5CFB" w:rsidP="001678B8">
      <w:pPr>
        <w:tabs>
          <w:tab w:val="num" w:pos="1080"/>
        </w:tabs>
        <w:spacing w:after="0" w:line="240" w:lineRule="auto"/>
        <w:ind w:right="-32"/>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Tabuľka č. 4 </w:t>
      </w:r>
    </w:p>
    <w:p w:rsidR="00471A3F" w:rsidRPr="008723F7" w:rsidRDefault="00471A3F" w:rsidP="001678B8">
      <w:pPr>
        <w:tabs>
          <w:tab w:val="num" w:pos="1080"/>
        </w:tabs>
        <w:spacing w:after="0" w:line="240" w:lineRule="auto"/>
        <w:ind w:right="-32"/>
        <w:rPr>
          <w:rFonts w:ascii="Times New Roman" w:eastAsia="Times New Roman" w:hAnsi="Times New Roman"/>
          <w:bCs/>
          <w:lang w:eastAsia="sk-SK"/>
        </w:rPr>
      </w:pPr>
      <w:r w:rsidRPr="008723F7">
        <w:rPr>
          <w:rFonts w:ascii="Times New Roman" w:eastAsia="Times New Roman" w:hAnsi="Times New Roman"/>
          <w:bCs/>
          <w:lang w:eastAsia="sk-SK"/>
        </w:rPr>
        <w:lastRenderedPageBreak/>
        <w:t xml:space="preserve">Vplyv na </w:t>
      </w:r>
      <w:r w:rsidR="0072221D" w:rsidRPr="008723F7">
        <w:rPr>
          <w:rFonts w:ascii="Times New Roman" w:eastAsia="Times New Roman" w:hAnsi="Times New Roman"/>
          <w:bCs/>
          <w:lang w:eastAsia="sk-SK"/>
        </w:rPr>
        <w:t>výdavky rozpočtu verejného zdravotného poistenia</w:t>
      </w:r>
    </w:p>
    <w:p w:rsidR="008E5CFB" w:rsidRPr="008723F7" w:rsidRDefault="008E5CFB" w:rsidP="001678B8">
      <w:pPr>
        <w:tabs>
          <w:tab w:val="num" w:pos="1080"/>
        </w:tabs>
        <w:spacing w:after="0" w:line="240" w:lineRule="auto"/>
        <w:jc w:val="both"/>
        <w:rPr>
          <w:rFonts w:ascii="Times New Roman" w:eastAsia="Times New Roman" w:hAnsi="Times New Roman"/>
          <w:bCs/>
          <w:lang w:eastAsia="sk-SK"/>
        </w:rPr>
      </w:pPr>
    </w:p>
    <w:tbl>
      <w:tblPr>
        <w:tblpPr w:leftFromText="141" w:rightFromText="141" w:vertAnchor="text" w:horzAnchor="page" w:tblpX="629" w:tblpY="2"/>
        <w:tblW w:w="15876" w:type="dxa"/>
        <w:tblCellMar>
          <w:left w:w="70" w:type="dxa"/>
          <w:right w:w="70" w:type="dxa"/>
        </w:tblCellMar>
        <w:tblLook w:val="0000" w:firstRow="0" w:lastRow="0" w:firstColumn="0" w:lastColumn="0" w:noHBand="0" w:noVBand="0"/>
      </w:tblPr>
      <w:tblGrid>
        <w:gridCol w:w="5665"/>
        <w:gridCol w:w="1701"/>
        <w:gridCol w:w="1701"/>
        <w:gridCol w:w="1276"/>
        <w:gridCol w:w="1418"/>
        <w:gridCol w:w="4115"/>
      </w:tblGrid>
      <w:tr w:rsidR="007702C2" w:rsidRPr="008723F7" w:rsidTr="007702C2">
        <w:trPr>
          <w:cantSplit/>
          <w:trHeight w:val="255"/>
        </w:trPr>
        <w:tc>
          <w:tcPr>
            <w:tcW w:w="56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Výdavky (v eurách)</w:t>
            </w:r>
          </w:p>
        </w:tc>
        <w:tc>
          <w:tcPr>
            <w:tcW w:w="1701" w:type="dxa"/>
            <w:tcBorders>
              <w:top w:val="single" w:sz="4" w:space="0" w:color="auto"/>
              <w:left w:val="nil"/>
              <w:bottom w:val="single" w:sz="4" w:space="0" w:color="auto"/>
              <w:right w:val="nil"/>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395"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4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7702C2" w:rsidRPr="008723F7" w:rsidTr="007702C2">
        <w:trPr>
          <w:cantSplit/>
          <w:trHeight w:val="255"/>
        </w:trPr>
        <w:tc>
          <w:tcPr>
            <w:tcW w:w="5665" w:type="dxa"/>
            <w:vMerge/>
            <w:tcBorders>
              <w:top w:val="single" w:sz="4" w:space="0" w:color="auto"/>
              <w:left w:val="single" w:sz="4" w:space="0" w:color="auto"/>
              <w:bottom w:val="single" w:sz="4" w:space="0" w:color="000000"/>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701"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276"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418"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4115" w:type="dxa"/>
            <w:tcBorders>
              <w:top w:val="single" w:sz="4" w:space="0" w:color="auto"/>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Bežné výdavky (600)</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701"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Mzdy, platy, služobné príjmy a ostatné osobné vyrovnania (610)</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701"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Poistné a príspevok do poisťovní (620) </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Tovary a služby (630)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BF3D94" w:rsidRPr="008723F7" w:rsidTr="007702C2">
        <w:trPr>
          <w:trHeight w:val="255"/>
        </w:trPr>
        <w:tc>
          <w:tcPr>
            <w:tcW w:w="5665" w:type="dxa"/>
            <w:tcBorders>
              <w:top w:val="nil"/>
              <w:left w:val="single" w:sz="4" w:space="0" w:color="auto"/>
              <w:bottom w:val="single" w:sz="4" w:space="0" w:color="auto"/>
              <w:right w:val="single" w:sz="4" w:space="0" w:color="auto"/>
            </w:tcBorders>
          </w:tcPr>
          <w:p w:rsidR="00BF3D94" w:rsidRPr="008723F7" w:rsidRDefault="00BF3D94" w:rsidP="001678B8">
            <w:pPr>
              <w:pStyle w:val="Odsekzoznamu"/>
              <w:numPr>
                <w:ilvl w:val="0"/>
                <w:numId w:val="12"/>
              </w:numPr>
              <w:contextualSpacing/>
              <w:rPr>
                <w:sz w:val="22"/>
                <w:szCs w:val="22"/>
                <w:lang w:eastAsia="sk-SK"/>
              </w:rPr>
            </w:pPr>
            <w:r w:rsidRPr="008723F7">
              <w:rPr>
                <w:sz w:val="22"/>
                <w:szCs w:val="22"/>
                <w:lang w:eastAsia="sk-SK"/>
              </w:rPr>
              <w:t>poplatky a odvody (637012)</w:t>
            </w:r>
          </w:p>
        </w:tc>
        <w:tc>
          <w:tcPr>
            <w:tcW w:w="1701" w:type="dxa"/>
            <w:tcBorders>
              <w:top w:val="single" w:sz="4" w:space="0" w:color="auto"/>
              <w:left w:val="nil"/>
              <w:bottom w:val="single" w:sz="4" w:space="0" w:color="auto"/>
              <w:right w:val="single" w:sz="4" w:space="0" w:color="auto"/>
            </w:tcBorders>
          </w:tcPr>
          <w:p w:rsidR="00BF3D94" w:rsidRPr="008723F7" w:rsidRDefault="00BF3D94" w:rsidP="001678B8">
            <w:pPr>
              <w:spacing w:after="0" w:line="240" w:lineRule="auto"/>
              <w:jc w:val="right"/>
              <w:rPr>
                <w:rFonts w:ascii="Times New Roman" w:eastAsia="Times New Roman" w:hAnsi="Times New Roman"/>
                <w:b/>
                <w:bCs/>
                <w:lang w:eastAsia="sk-SK"/>
              </w:rPr>
            </w:pPr>
          </w:p>
        </w:tc>
        <w:tc>
          <w:tcPr>
            <w:tcW w:w="1701" w:type="dxa"/>
            <w:tcBorders>
              <w:top w:val="nil"/>
              <w:left w:val="single" w:sz="4" w:space="0" w:color="auto"/>
              <w:bottom w:val="single" w:sz="4" w:space="0" w:color="auto"/>
              <w:right w:val="single" w:sz="4" w:space="0" w:color="auto"/>
            </w:tcBorders>
            <w:vAlign w:val="bottom"/>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276" w:type="dxa"/>
            <w:tcBorders>
              <w:top w:val="nil"/>
              <w:left w:val="nil"/>
              <w:bottom w:val="single" w:sz="4" w:space="0" w:color="auto"/>
              <w:right w:val="single" w:sz="4" w:space="0" w:color="auto"/>
            </w:tcBorders>
            <w:vAlign w:val="bottom"/>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418" w:type="dxa"/>
            <w:tcBorders>
              <w:top w:val="nil"/>
              <w:left w:val="nil"/>
              <w:bottom w:val="single" w:sz="4" w:space="0" w:color="auto"/>
              <w:right w:val="single" w:sz="4" w:space="0" w:color="auto"/>
            </w:tcBorders>
            <w:vAlign w:val="bottom"/>
          </w:tcPr>
          <w:p w:rsidR="00BF3D94" w:rsidRPr="008723F7" w:rsidRDefault="00BF3D94"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c>
          <w:tcPr>
            <w:tcW w:w="4115" w:type="dxa"/>
            <w:tcBorders>
              <w:top w:val="nil"/>
              <w:left w:val="nil"/>
              <w:bottom w:val="single" w:sz="4" w:space="0" w:color="auto"/>
              <w:right w:val="single" w:sz="4" w:space="0" w:color="auto"/>
            </w:tcBorders>
            <w:noWrap/>
            <w:vAlign w:val="bottom"/>
          </w:tcPr>
          <w:p w:rsidR="00BF3D94" w:rsidRPr="008723F7" w:rsidRDefault="00BF3D94"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zvýšenie percenta príspevkov odvádzaných zdravotnými poisťovňami</w:t>
            </w:r>
          </w:p>
        </w:tc>
      </w:tr>
      <w:tr w:rsidR="008723F7" w:rsidRPr="008723F7" w:rsidTr="007702C2">
        <w:trPr>
          <w:trHeight w:val="255"/>
        </w:trPr>
        <w:tc>
          <w:tcPr>
            <w:tcW w:w="5665" w:type="dxa"/>
            <w:tcBorders>
              <w:top w:val="nil"/>
              <w:left w:val="single" w:sz="4" w:space="0" w:color="auto"/>
              <w:bottom w:val="single" w:sz="4" w:space="0" w:color="auto"/>
              <w:right w:val="single" w:sz="4" w:space="0" w:color="auto"/>
            </w:tcBorders>
          </w:tcPr>
          <w:p w:rsidR="008723F7" w:rsidRPr="008723F7" w:rsidRDefault="008723F7" w:rsidP="008723F7">
            <w:pPr>
              <w:pStyle w:val="Odsekzoznamu"/>
              <w:numPr>
                <w:ilvl w:val="0"/>
                <w:numId w:val="12"/>
              </w:numPr>
              <w:contextualSpacing/>
              <w:rPr>
                <w:sz w:val="22"/>
                <w:szCs w:val="22"/>
                <w:lang w:eastAsia="sk-SK"/>
              </w:rPr>
            </w:pPr>
            <w:r w:rsidRPr="008723F7">
              <w:rPr>
                <w:sz w:val="22"/>
                <w:szCs w:val="22"/>
                <w:lang w:eastAsia="sk-SK"/>
              </w:rPr>
              <w:t>platby zdravotníckym zariadeniam (637034)</w:t>
            </w:r>
          </w:p>
        </w:tc>
        <w:tc>
          <w:tcPr>
            <w:tcW w:w="1701" w:type="dxa"/>
            <w:tcBorders>
              <w:top w:val="single" w:sz="4" w:space="0" w:color="auto"/>
              <w:left w:val="nil"/>
              <w:bottom w:val="single" w:sz="4" w:space="0" w:color="auto"/>
              <w:right w:val="single" w:sz="4" w:space="0" w:color="auto"/>
            </w:tcBorders>
          </w:tcPr>
          <w:p w:rsidR="008723F7" w:rsidRPr="008723F7" w:rsidRDefault="008723F7" w:rsidP="008723F7">
            <w:pPr>
              <w:spacing w:after="0" w:line="240" w:lineRule="auto"/>
              <w:jc w:val="right"/>
              <w:rPr>
                <w:rFonts w:ascii="Times New Roman" w:eastAsia="Times New Roman" w:hAnsi="Times New Roman"/>
                <w:b/>
                <w:lang w:eastAsia="sk-SK"/>
              </w:rPr>
            </w:pPr>
          </w:p>
        </w:tc>
        <w:tc>
          <w:tcPr>
            <w:tcW w:w="1701" w:type="dxa"/>
            <w:tcBorders>
              <w:top w:val="nil"/>
              <w:left w:val="single" w:sz="4" w:space="0" w:color="auto"/>
              <w:bottom w:val="single" w:sz="4" w:space="0" w:color="auto"/>
              <w:right w:val="single" w:sz="4" w:space="0" w:color="auto"/>
            </w:tcBorders>
            <w:vAlign w:val="bottom"/>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561 233 329</w:t>
            </w:r>
          </w:p>
        </w:tc>
        <w:tc>
          <w:tcPr>
            <w:tcW w:w="1276" w:type="dxa"/>
            <w:tcBorders>
              <w:top w:val="nil"/>
              <w:left w:val="nil"/>
              <w:bottom w:val="single" w:sz="4" w:space="0" w:color="auto"/>
              <w:right w:val="single" w:sz="4" w:space="0" w:color="auto"/>
            </w:tcBorders>
            <w:vAlign w:val="bottom"/>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725 808 902</w:t>
            </w:r>
          </w:p>
        </w:tc>
        <w:tc>
          <w:tcPr>
            <w:tcW w:w="1418" w:type="dxa"/>
            <w:tcBorders>
              <w:top w:val="nil"/>
              <w:left w:val="nil"/>
              <w:bottom w:val="single" w:sz="4" w:space="0" w:color="auto"/>
              <w:right w:val="single" w:sz="4" w:space="0" w:color="auto"/>
            </w:tcBorders>
            <w:vAlign w:val="bottom"/>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707 527 280</w:t>
            </w:r>
          </w:p>
        </w:tc>
        <w:tc>
          <w:tcPr>
            <w:tcW w:w="4115" w:type="dxa"/>
            <w:tcBorders>
              <w:top w:val="nil"/>
              <w:left w:val="nil"/>
              <w:bottom w:val="single" w:sz="4" w:space="0" w:color="auto"/>
              <w:right w:val="single" w:sz="4" w:space="0" w:color="auto"/>
            </w:tcBorders>
            <w:noWrap/>
            <w:vAlign w:val="bottom"/>
          </w:tcPr>
          <w:p w:rsidR="008723F7" w:rsidRPr="008723F7" w:rsidRDefault="008723F7" w:rsidP="008723F7">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zvýšenie výdavkov zdravotných poisťovní poskytovateľom z dôvodu zvýšenia príjmov z titulu zavedenia minimálneho poistného zamestnanca</w:t>
            </w:r>
          </w:p>
        </w:tc>
      </w:tr>
      <w:tr w:rsidR="008723F7" w:rsidRPr="008723F7" w:rsidTr="008E73AE">
        <w:trPr>
          <w:trHeight w:val="255"/>
        </w:trPr>
        <w:tc>
          <w:tcPr>
            <w:tcW w:w="5665" w:type="dxa"/>
            <w:tcBorders>
              <w:top w:val="nil"/>
              <w:left w:val="single" w:sz="4" w:space="0" w:color="auto"/>
              <w:bottom w:val="single" w:sz="4" w:space="0" w:color="auto"/>
              <w:right w:val="single" w:sz="4" w:space="0" w:color="auto"/>
            </w:tcBorders>
          </w:tcPr>
          <w:p w:rsidR="008723F7" w:rsidRPr="008723F7" w:rsidRDefault="008723F7" w:rsidP="008723F7">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Bežné transfery (640)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8723F7" w:rsidRPr="008723F7" w:rsidRDefault="008723F7" w:rsidP="008723F7">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p>
        </w:tc>
        <w:tc>
          <w:tcPr>
            <w:tcW w:w="1276" w:type="dxa"/>
            <w:tcBorders>
              <w:top w:val="nil"/>
              <w:left w:val="nil"/>
              <w:bottom w:val="single" w:sz="4" w:space="0" w:color="auto"/>
              <w:right w:val="single" w:sz="4" w:space="0" w:color="auto"/>
            </w:tcBorders>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p>
        </w:tc>
        <w:tc>
          <w:tcPr>
            <w:tcW w:w="1418" w:type="dxa"/>
            <w:tcBorders>
              <w:top w:val="nil"/>
              <w:left w:val="nil"/>
              <w:bottom w:val="single" w:sz="4" w:space="0" w:color="auto"/>
              <w:right w:val="single" w:sz="4" w:space="0" w:color="auto"/>
            </w:tcBorders>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p>
        </w:tc>
        <w:tc>
          <w:tcPr>
            <w:tcW w:w="4115" w:type="dxa"/>
            <w:tcBorders>
              <w:top w:val="nil"/>
              <w:left w:val="nil"/>
              <w:bottom w:val="single" w:sz="4" w:space="0" w:color="auto"/>
              <w:right w:val="single" w:sz="4" w:space="0" w:color="auto"/>
            </w:tcBorders>
            <w:noWrap/>
            <w:vAlign w:val="bottom"/>
          </w:tcPr>
          <w:p w:rsidR="008723F7" w:rsidRPr="008723F7" w:rsidRDefault="008723F7" w:rsidP="008723F7">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Splácanie úrokov a ostatné platby súvisiace s </w:t>
            </w:r>
            <w:r w:rsidRPr="008723F7">
              <w:rPr>
                <w:rFonts w:ascii="Times New Roman" w:hAnsi="Times New Roman"/>
              </w:rPr>
              <w:t xml:space="preserve"> </w:t>
            </w:r>
            <w:r w:rsidRPr="008723F7">
              <w:rPr>
                <w:rFonts w:ascii="Times New Roman" w:eastAsia="Times New Roman" w:hAnsi="Times New Roman"/>
                <w:lang w:eastAsia="sk-SK"/>
              </w:rPr>
              <w:t>úverom, pôžičkou, návratnou finančnou výpomocou a finančným prenájmom (650)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Kapitálové výdavky (700)</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701"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Obstarávanie kapitálových aktív (710)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Kapitálové transfery (720)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z transakcií s finančnými aktívami a finančnými pasívami (800)</w:t>
            </w:r>
          </w:p>
        </w:tc>
        <w:tc>
          <w:tcPr>
            <w:tcW w:w="1701"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701"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276"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418"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723F7" w:rsidRPr="008723F7" w:rsidTr="002003D4">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23F7" w:rsidRPr="008723F7" w:rsidRDefault="008723F7" w:rsidP="008723F7">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výdavky verejnej správy celkom</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tcPr>
          <w:p w:rsidR="008723F7" w:rsidRPr="008723F7" w:rsidRDefault="008723F7" w:rsidP="008723F7">
            <w:pPr>
              <w:spacing w:after="0" w:line="240" w:lineRule="auto"/>
              <w:jc w:val="right"/>
              <w:rPr>
                <w:rFonts w:ascii="Times New Roman" w:hAnsi="Times New Roman"/>
                <w:b/>
                <w:color w:val="000000"/>
              </w:rPr>
            </w:pPr>
            <w:r w:rsidRPr="008723F7">
              <w:rPr>
                <w:rFonts w:ascii="Times New Roman" w:hAnsi="Times New Roman"/>
                <w:b/>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574 758 250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740 274 366</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723F7" w:rsidRPr="008723F7" w:rsidRDefault="008723F7" w:rsidP="008723F7">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722 647 600</w:t>
            </w:r>
          </w:p>
        </w:tc>
        <w:tc>
          <w:tcPr>
            <w:tcW w:w="411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723F7" w:rsidRPr="008723F7" w:rsidRDefault="008723F7" w:rsidP="008723F7">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CFB" w:rsidRPr="008723F7" w:rsidRDefault="008E5CFB" w:rsidP="001678B8">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2 –  výdavky rozpísať až do položiek platnej ekonomickej klasifikácie</w:t>
      </w:r>
    </w:p>
    <w:p w:rsidR="008E5CFB" w:rsidRPr="008723F7" w:rsidRDefault="008E5CFB" w:rsidP="001678B8">
      <w:pPr>
        <w:tabs>
          <w:tab w:val="num" w:pos="1080"/>
        </w:tabs>
        <w:spacing w:after="0" w:line="240" w:lineRule="auto"/>
        <w:ind w:left="-900"/>
        <w:jc w:val="both"/>
        <w:rPr>
          <w:rFonts w:ascii="Times New Roman" w:eastAsia="Times New Roman" w:hAnsi="Times New Roman"/>
          <w:bCs/>
          <w:lang w:eastAsia="sk-SK"/>
        </w:rPr>
      </w:pPr>
    </w:p>
    <w:p w:rsidR="008E5CFB" w:rsidRPr="008723F7" w:rsidRDefault="008E5CFB" w:rsidP="001678B8">
      <w:pPr>
        <w:tabs>
          <w:tab w:val="num" w:pos="1080"/>
        </w:tabs>
        <w:spacing w:after="0" w:line="240" w:lineRule="auto"/>
        <w:ind w:left="-900"/>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CFB" w:rsidRPr="008723F7" w:rsidRDefault="008E5CFB" w:rsidP="001678B8">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471A3F" w:rsidRPr="008723F7" w:rsidRDefault="00471A3F" w:rsidP="001678B8">
      <w:pPr>
        <w:tabs>
          <w:tab w:val="num" w:pos="1080"/>
        </w:tabs>
        <w:spacing w:after="0" w:line="240" w:lineRule="auto"/>
        <w:ind w:left="-900"/>
        <w:jc w:val="both"/>
        <w:rPr>
          <w:rFonts w:ascii="Times New Roman" w:eastAsia="Times New Roman" w:hAnsi="Times New Roman"/>
          <w:bCs/>
          <w:lang w:eastAsia="sk-SK"/>
        </w:rPr>
      </w:pPr>
    </w:p>
    <w:p w:rsidR="00471A3F" w:rsidRPr="008723F7" w:rsidRDefault="00471A3F" w:rsidP="001678B8">
      <w:pPr>
        <w:tabs>
          <w:tab w:val="num" w:pos="1080"/>
        </w:tabs>
        <w:spacing w:after="0" w:line="240" w:lineRule="auto"/>
        <w:ind w:left="-900"/>
        <w:jc w:val="both"/>
        <w:rPr>
          <w:rFonts w:ascii="Times New Roman" w:eastAsia="Times New Roman" w:hAnsi="Times New Roman"/>
          <w:bCs/>
          <w:lang w:eastAsia="sk-SK"/>
        </w:rPr>
      </w:pPr>
    </w:p>
    <w:p w:rsidR="00BF3D94" w:rsidRPr="008723F7" w:rsidRDefault="00BF3D94" w:rsidP="001678B8">
      <w:pPr>
        <w:tabs>
          <w:tab w:val="num" w:pos="1080"/>
        </w:tabs>
        <w:spacing w:after="0" w:line="240" w:lineRule="auto"/>
        <w:ind w:right="-32"/>
        <w:rPr>
          <w:rFonts w:ascii="Times New Roman" w:eastAsia="Times New Roman" w:hAnsi="Times New Roman"/>
          <w:bCs/>
          <w:lang w:eastAsia="sk-SK"/>
        </w:rPr>
      </w:pPr>
    </w:p>
    <w:p w:rsidR="00471A3F" w:rsidRPr="008723F7" w:rsidRDefault="00471A3F" w:rsidP="001678B8">
      <w:pPr>
        <w:tabs>
          <w:tab w:val="num" w:pos="1080"/>
        </w:tabs>
        <w:spacing w:after="0" w:line="240" w:lineRule="auto"/>
        <w:ind w:right="-32"/>
        <w:rPr>
          <w:rFonts w:ascii="Times New Roman" w:eastAsia="Times New Roman" w:hAnsi="Times New Roman"/>
          <w:bCs/>
          <w:lang w:eastAsia="sk-SK"/>
        </w:rPr>
      </w:pPr>
      <w:r w:rsidRPr="008723F7">
        <w:rPr>
          <w:rFonts w:ascii="Times New Roman" w:eastAsia="Times New Roman" w:hAnsi="Times New Roman"/>
          <w:bCs/>
          <w:lang w:eastAsia="sk-SK"/>
        </w:rPr>
        <w:t xml:space="preserve">Vplyv na </w:t>
      </w:r>
      <w:r w:rsidR="00A82995" w:rsidRPr="008723F7">
        <w:rPr>
          <w:rFonts w:ascii="Times New Roman" w:eastAsia="Times New Roman" w:hAnsi="Times New Roman"/>
          <w:bCs/>
          <w:lang w:eastAsia="sk-SK"/>
        </w:rPr>
        <w:t>výdavky rozpočtu</w:t>
      </w:r>
      <w:r w:rsidRPr="008723F7">
        <w:rPr>
          <w:rFonts w:ascii="Times New Roman" w:eastAsia="Times New Roman" w:hAnsi="Times New Roman"/>
          <w:bCs/>
          <w:lang w:eastAsia="sk-SK"/>
        </w:rPr>
        <w:t xml:space="preserve"> Ministerstva zdravotníctva SR</w:t>
      </w:r>
    </w:p>
    <w:p w:rsidR="00471A3F" w:rsidRPr="008723F7" w:rsidRDefault="00471A3F" w:rsidP="001678B8">
      <w:pPr>
        <w:tabs>
          <w:tab w:val="num" w:pos="1080"/>
        </w:tabs>
        <w:spacing w:after="0" w:line="240" w:lineRule="auto"/>
        <w:jc w:val="both"/>
        <w:rPr>
          <w:rFonts w:ascii="Times New Roman" w:eastAsia="Times New Roman" w:hAnsi="Times New Roman"/>
          <w:bCs/>
          <w:lang w:eastAsia="sk-SK"/>
        </w:rPr>
      </w:pPr>
    </w:p>
    <w:tbl>
      <w:tblPr>
        <w:tblpPr w:leftFromText="141" w:rightFromText="141" w:vertAnchor="text" w:horzAnchor="page" w:tblpX="629" w:tblpY="2"/>
        <w:tblW w:w="15876" w:type="dxa"/>
        <w:tblCellMar>
          <w:left w:w="70" w:type="dxa"/>
          <w:right w:w="70" w:type="dxa"/>
        </w:tblCellMar>
        <w:tblLook w:val="0000" w:firstRow="0" w:lastRow="0" w:firstColumn="0" w:lastColumn="0" w:noHBand="0" w:noVBand="0"/>
      </w:tblPr>
      <w:tblGrid>
        <w:gridCol w:w="5665"/>
        <w:gridCol w:w="1418"/>
        <w:gridCol w:w="1559"/>
        <w:gridCol w:w="1276"/>
        <w:gridCol w:w="1276"/>
        <w:gridCol w:w="4682"/>
      </w:tblGrid>
      <w:tr w:rsidR="007702C2" w:rsidRPr="008723F7" w:rsidTr="007702C2">
        <w:trPr>
          <w:cantSplit/>
          <w:trHeight w:val="255"/>
        </w:trPr>
        <w:tc>
          <w:tcPr>
            <w:tcW w:w="56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lastRenderedPageBreak/>
              <w:t>Výdavky (v eurách)</w:t>
            </w:r>
          </w:p>
        </w:tc>
        <w:tc>
          <w:tcPr>
            <w:tcW w:w="1418" w:type="dxa"/>
            <w:tcBorders>
              <w:top w:val="single" w:sz="4" w:space="0" w:color="auto"/>
              <w:left w:val="nil"/>
              <w:bottom w:val="single" w:sz="4" w:space="0" w:color="auto"/>
              <w:right w:val="nil"/>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111"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4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7702C2" w:rsidRPr="008723F7" w:rsidTr="007702C2">
        <w:trPr>
          <w:cantSplit/>
          <w:trHeight w:val="255"/>
        </w:trPr>
        <w:tc>
          <w:tcPr>
            <w:tcW w:w="5665" w:type="dxa"/>
            <w:vMerge/>
            <w:tcBorders>
              <w:top w:val="single" w:sz="4" w:space="0" w:color="auto"/>
              <w:left w:val="single" w:sz="4" w:space="0" w:color="auto"/>
              <w:bottom w:val="single" w:sz="4" w:space="0" w:color="000000"/>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276"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276"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4682" w:type="dxa"/>
            <w:tcBorders>
              <w:top w:val="single" w:sz="4" w:space="0" w:color="auto"/>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Bežné výdavky (600)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Mzdy, platy, služobné príjmy a ostatné osobné vyrovnania (610)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Poistné a príspevok do poisťovní (620) </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Tovary a služby (630)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B66AE" w:rsidRPr="008723F7" w:rsidTr="007702C2">
        <w:trPr>
          <w:trHeight w:val="255"/>
        </w:trPr>
        <w:tc>
          <w:tcPr>
            <w:tcW w:w="5665" w:type="dxa"/>
            <w:tcBorders>
              <w:top w:val="nil"/>
              <w:left w:val="single" w:sz="4" w:space="0" w:color="auto"/>
              <w:bottom w:val="single" w:sz="4" w:space="0" w:color="auto"/>
              <w:right w:val="single" w:sz="4" w:space="0" w:color="auto"/>
            </w:tcBorders>
          </w:tcPr>
          <w:p w:rsidR="007B66AE" w:rsidRPr="008723F7" w:rsidRDefault="007B66AE" w:rsidP="001678B8">
            <w:pPr>
              <w:pStyle w:val="Odsekzoznamu"/>
              <w:numPr>
                <w:ilvl w:val="0"/>
                <w:numId w:val="12"/>
              </w:numPr>
              <w:contextualSpacing/>
              <w:rPr>
                <w:sz w:val="22"/>
                <w:szCs w:val="22"/>
                <w:lang w:eastAsia="sk-SK"/>
              </w:rPr>
            </w:pPr>
            <w:r w:rsidRPr="008723F7">
              <w:rPr>
                <w:sz w:val="22"/>
                <w:szCs w:val="22"/>
                <w:lang w:eastAsia="sk-SK"/>
              </w:rPr>
              <w:t>zabezpečovanie bežnej činnosti operačných stredísk a Národného centra zdravotníckych informácií</w:t>
            </w:r>
          </w:p>
        </w:tc>
        <w:tc>
          <w:tcPr>
            <w:tcW w:w="1418" w:type="dxa"/>
            <w:tcBorders>
              <w:top w:val="single" w:sz="4" w:space="0" w:color="auto"/>
              <w:left w:val="nil"/>
              <w:bottom w:val="single" w:sz="4" w:space="0" w:color="auto"/>
              <w:right w:val="single" w:sz="4" w:space="0" w:color="auto"/>
            </w:tcBorders>
          </w:tcPr>
          <w:p w:rsidR="007B66AE" w:rsidRPr="008723F7" w:rsidRDefault="007B66AE" w:rsidP="001678B8">
            <w:pPr>
              <w:spacing w:after="0" w:line="240" w:lineRule="auto"/>
              <w:jc w:val="right"/>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vAlign w:val="bottom"/>
          </w:tcPr>
          <w:p w:rsidR="007B66AE" w:rsidRPr="008723F7" w:rsidRDefault="007B66AE"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276" w:type="dxa"/>
            <w:tcBorders>
              <w:top w:val="nil"/>
              <w:left w:val="nil"/>
              <w:bottom w:val="single" w:sz="4" w:space="0" w:color="auto"/>
              <w:right w:val="single" w:sz="4" w:space="0" w:color="auto"/>
            </w:tcBorders>
            <w:vAlign w:val="bottom"/>
          </w:tcPr>
          <w:p w:rsidR="007B66AE" w:rsidRPr="008723F7" w:rsidRDefault="007B66AE"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276" w:type="dxa"/>
            <w:tcBorders>
              <w:top w:val="nil"/>
              <w:left w:val="nil"/>
              <w:bottom w:val="single" w:sz="4" w:space="0" w:color="auto"/>
              <w:right w:val="single" w:sz="4" w:space="0" w:color="auto"/>
            </w:tcBorders>
            <w:vAlign w:val="bottom"/>
          </w:tcPr>
          <w:p w:rsidR="007B66AE" w:rsidRPr="008723F7" w:rsidRDefault="007B66AE" w:rsidP="001678B8">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c>
          <w:tcPr>
            <w:tcW w:w="4682" w:type="dxa"/>
            <w:tcBorders>
              <w:top w:val="nil"/>
              <w:left w:val="nil"/>
              <w:bottom w:val="single" w:sz="4" w:space="0" w:color="auto"/>
              <w:right w:val="single" w:sz="4" w:space="0" w:color="auto"/>
            </w:tcBorders>
            <w:noWrap/>
            <w:vAlign w:val="bottom"/>
          </w:tcPr>
          <w:p w:rsidR="007B66AE" w:rsidRPr="008723F7" w:rsidRDefault="007B66AE"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Bežné transfery (640)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pStyle w:val="Odsekzoznamu"/>
              <w:numPr>
                <w:ilvl w:val="0"/>
                <w:numId w:val="12"/>
              </w:numPr>
              <w:rPr>
                <w:sz w:val="22"/>
                <w:szCs w:val="22"/>
                <w:lang w:eastAsia="sk-SK"/>
              </w:rPr>
            </w:pPr>
            <w:r w:rsidRPr="008723F7">
              <w:rPr>
                <w:sz w:val="22"/>
                <w:szCs w:val="22"/>
                <w:lang w:eastAsia="sk-SK"/>
              </w:rPr>
              <w:t>Sociálnej poisťovni a zdravotným poisťovniam (641 003)</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i/>
                <w:lang w:eastAsia="sk-SK"/>
              </w:rPr>
              <w:t>úhrady zdravotnej starostlivosti pre žiadateľov o azyl (refundácia pre VšZP)</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Splácanie úrokov a ostatné platby súvisiace s </w:t>
            </w:r>
            <w:r w:rsidRPr="008723F7">
              <w:rPr>
                <w:rFonts w:ascii="Times New Roman" w:hAnsi="Times New Roman"/>
              </w:rPr>
              <w:t xml:space="preserve"> </w:t>
            </w:r>
            <w:r w:rsidRPr="008723F7">
              <w:rPr>
                <w:rFonts w:ascii="Times New Roman" w:eastAsia="Times New Roman" w:hAnsi="Times New Roman"/>
                <w:lang w:eastAsia="sk-SK"/>
              </w:rPr>
              <w:t>úverom, pôžičkou, návratnou finančnou výpomocou a finančným prenájmom (650)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Kapitálové výdavky (700)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Obstarávanie kapitálových aktív (710)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Kapitálové transfery (720)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538"/>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z transakcií s finančnými aktívami a finančnými pasívami (800)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276"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276"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4682"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výdavky verejnej správy celkom</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hAnsi="Times New Roman"/>
                <w:b/>
                <w:color w:val="000000"/>
              </w:rPr>
            </w:pPr>
            <w:r w:rsidRPr="008723F7">
              <w:rPr>
                <w:rFonts w:ascii="Times New Roman" w:hAnsi="Times New Roman"/>
                <w:b/>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702C2" w:rsidRPr="008723F7" w:rsidRDefault="007B66AE" w:rsidP="001678B8">
            <w:pPr>
              <w:spacing w:after="0" w:line="240" w:lineRule="auto"/>
              <w:jc w:val="right"/>
              <w:rPr>
                <w:rFonts w:ascii="Times New Roman" w:hAnsi="Times New Roman"/>
                <w:b/>
                <w:color w:val="000000"/>
              </w:rPr>
            </w:pPr>
            <w:r w:rsidRPr="008723F7">
              <w:rPr>
                <w:rFonts w:ascii="Times New Roman" w:hAnsi="Times New Roman"/>
                <w:b/>
                <w:color w:val="000000"/>
              </w:rPr>
              <w:t>13 574 921</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7702C2" w:rsidRPr="008723F7" w:rsidRDefault="007B66AE" w:rsidP="001678B8">
            <w:pPr>
              <w:spacing w:after="0" w:line="240" w:lineRule="auto"/>
              <w:jc w:val="right"/>
              <w:rPr>
                <w:rFonts w:ascii="Times New Roman" w:hAnsi="Times New Roman"/>
                <w:b/>
                <w:color w:val="000000"/>
              </w:rPr>
            </w:pPr>
            <w:r w:rsidRPr="008723F7">
              <w:rPr>
                <w:rFonts w:ascii="Times New Roman" w:hAnsi="Times New Roman"/>
                <w:b/>
                <w:color w:val="000000"/>
              </w:rPr>
              <w:t>14 515 464</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7702C2" w:rsidRPr="008723F7" w:rsidRDefault="007B66AE" w:rsidP="001678B8">
            <w:pPr>
              <w:spacing w:after="0" w:line="240" w:lineRule="auto"/>
              <w:jc w:val="right"/>
              <w:rPr>
                <w:rFonts w:ascii="Times New Roman" w:hAnsi="Times New Roman"/>
                <w:b/>
                <w:color w:val="000000"/>
              </w:rPr>
            </w:pPr>
            <w:r w:rsidRPr="008723F7">
              <w:rPr>
                <w:rFonts w:ascii="Times New Roman" w:hAnsi="Times New Roman"/>
                <w:b/>
                <w:color w:val="000000"/>
              </w:rPr>
              <w:t>15 170 320</w:t>
            </w:r>
          </w:p>
        </w:tc>
        <w:tc>
          <w:tcPr>
            <w:tcW w:w="468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471A3F" w:rsidRPr="008723F7" w:rsidRDefault="00471A3F" w:rsidP="001678B8">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2 –  výdavky rozpísať až do položiek platnej ekonomickej klasifikácie</w:t>
      </w:r>
    </w:p>
    <w:p w:rsidR="00471A3F" w:rsidRPr="008723F7" w:rsidRDefault="00471A3F" w:rsidP="001678B8">
      <w:pPr>
        <w:tabs>
          <w:tab w:val="num" w:pos="1080"/>
        </w:tabs>
        <w:spacing w:after="0" w:line="240" w:lineRule="auto"/>
        <w:ind w:left="-900"/>
        <w:jc w:val="both"/>
        <w:rPr>
          <w:rFonts w:ascii="Times New Roman" w:eastAsia="Times New Roman" w:hAnsi="Times New Roman"/>
          <w:bCs/>
          <w:lang w:eastAsia="sk-SK"/>
        </w:rPr>
      </w:pPr>
    </w:p>
    <w:p w:rsidR="00471A3F" w:rsidRPr="008723F7" w:rsidRDefault="00471A3F" w:rsidP="001678B8">
      <w:pPr>
        <w:tabs>
          <w:tab w:val="num" w:pos="1080"/>
        </w:tabs>
        <w:spacing w:after="0" w:line="240" w:lineRule="auto"/>
        <w:ind w:left="-900"/>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471A3F" w:rsidRPr="008723F7" w:rsidRDefault="00471A3F" w:rsidP="001678B8">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72221D" w:rsidRPr="008723F7" w:rsidRDefault="0072221D" w:rsidP="001678B8">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72221D" w:rsidRPr="008723F7" w:rsidRDefault="0072221D" w:rsidP="001678B8">
      <w:pPr>
        <w:tabs>
          <w:tab w:val="num" w:pos="1080"/>
        </w:tabs>
        <w:spacing w:after="0" w:line="240" w:lineRule="auto"/>
        <w:ind w:right="-32"/>
        <w:rPr>
          <w:rFonts w:ascii="Times New Roman" w:eastAsia="Times New Roman" w:hAnsi="Times New Roman"/>
          <w:bCs/>
          <w:lang w:eastAsia="sk-SK"/>
        </w:rPr>
      </w:pPr>
      <w:r w:rsidRPr="008723F7">
        <w:rPr>
          <w:rFonts w:ascii="Times New Roman" w:eastAsia="Times New Roman" w:hAnsi="Times New Roman"/>
          <w:bCs/>
          <w:lang w:eastAsia="sk-SK"/>
        </w:rPr>
        <w:lastRenderedPageBreak/>
        <w:t xml:space="preserve">Vplyv na </w:t>
      </w:r>
      <w:r w:rsidR="00A82995" w:rsidRPr="008723F7">
        <w:rPr>
          <w:rFonts w:ascii="Times New Roman" w:eastAsia="Times New Roman" w:hAnsi="Times New Roman"/>
          <w:bCs/>
          <w:lang w:eastAsia="sk-SK"/>
        </w:rPr>
        <w:t>výdavky rozpočtu</w:t>
      </w:r>
      <w:r w:rsidRPr="008723F7">
        <w:rPr>
          <w:rFonts w:ascii="Times New Roman" w:eastAsia="Times New Roman" w:hAnsi="Times New Roman"/>
          <w:bCs/>
          <w:lang w:eastAsia="sk-SK"/>
        </w:rPr>
        <w:t xml:space="preserve"> Ministerstva vnútra SR</w:t>
      </w:r>
    </w:p>
    <w:p w:rsidR="0072221D" w:rsidRPr="008723F7" w:rsidRDefault="0072221D" w:rsidP="001678B8">
      <w:pPr>
        <w:tabs>
          <w:tab w:val="num" w:pos="1080"/>
        </w:tabs>
        <w:spacing w:after="0" w:line="240" w:lineRule="auto"/>
        <w:jc w:val="both"/>
        <w:rPr>
          <w:rFonts w:ascii="Times New Roman" w:eastAsia="Times New Roman" w:hAnsi="Times New Roman"/>
          <w:bCs/>
          <w:lang w:eastAsia="sk-SK"/>
        </w:rPr>
      </w:pPr>
    </w:p>
    <w:tbl>
      <w:tblPr>
        <w:tblpPr w:leftFromText="141" w:rightFromText="141" w:vertAnchor="text" w:horzAnchor="page" w:tblpX="629" w:tblpY="2"/>
        <w:tblW w:w="15593" w:type="dxa"/>
        <w:tblCellMar>
          <w:left w:w="70" w:type="dxa"/>
          <w:right w:w="70" w:type="dxa"/>
        </w:tblCellMar>
        <w:tblLook w:val="0000" w:firstRow="0" w:lastRow="0" w:firstColumn="0" w:lastColumn="0" w:noHBand="0" w:noVBand="0"/>
      </w:tblPr>
      <w:tblGrid>
        <w:gridCol w:w="5665"/>
        <w:gridCol w:w="1418"/>
        <w:gridCol w:w="1418"/>
        <w:gridCol w:w="1559"/>
        <w:gridCol w:w="1418"/>
        <w:gridCol w:w="4115"/>
      </w:tblGrid>
      <w:tr w:rsidR="007702C2" w:rsidRPr="008723F7" w:rsidTr="007702C2">
        <w:trPr>
          <w:cantSplit/>
          <w:trHeight w:val="255"/>
        </w:trPr>
        <w:tc>
          <w:tcPr>
            <w:tcW w:w="56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Výdavky (v eurách)</w:t>
            </w:r>
          </w:p>
        </w:tc>
        <w:tc>
          <w:tcPr>
            <w:tcW w:w="1418" w:type="dxa"/>
            <w:tcBorders>
              <w:top w:val="single" w:sz="4" w:space="0" w:color="auto"/>
              <w:left w:val="nil"/>
              <w:bottom w:val="single" w:sz="4" w:space="0" w:color="auto"/>
              <w:right w:val="nil"/>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395"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4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7702C2" w:rsidRPr="008723F7" w:rsidTr="007702C2">
        <w:trPr>
          <w:cantSplit/>
          <w:trHeight w:val="255"/>
        </w:trPr>
        <w:tc>
          <w:tcPr>
            <w:tcW w:w="5665" w:type="dxa"/>
            <w:vMerge/>
            <w:tcBorders>
              <w:top w:val="single" w:sz="4" w:space="0" w:color="auto"/>
              <w:left w:val="single" w:sz="4" w:space="0" w:color="auto"/>
              <w:bottom w:val="single" w:sz="4" w:space="0" w:color="000000"/>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59"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418"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4115" w:type="dxa"/>
            <w:tcBorders>
              <w:top w:val="single" w:sz="4" w:space="0" w:color="auto"/>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Bežné výdavky (600)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Mzdy, platy, služobné príjmy a ostatné osobné vyrovnania (610)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559"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Poistné a príspevok do poisťovní (620) </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Tovary a služby (630)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Bežné transfery (640)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pStyle w:val="Odsekzoznamu"/>
              <w:numPr>
                <w:ilvl w:val="0"/>
                <w:numId w:val="12"/>
              </w:numPr>
              <w:rPr>
                <w:sz w:val="22"/>
                <w:szCs w:val="22"/>
                <w:lang w:eastAsia="sk-SK"/>
              </w:rPr>
            </w:pPr>
            <w:r w:rsidRPr="008723F7">
              <w:rPr>
                <w:sz w:val="22"/>
                <w:szCs w:val="22"/>
                <w:lang w:eastAsia="sk-SK"/>
              </w:rPr>
              <w:t>Sociálnej poisťovni a zdravotným poisťovniam (641 003)</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hAnsi="Times New Roman"/>
                <w:b/>
                <w:bCs/>
                <w:lang w:eastAsia="sk-SK"/>
              </w:rPr>
            </w:pPr>
            <w:r w:rsidRPr="008723F7">
              <w:rPr>
                <w:rFonts w:ascii="Times New Roman" w:hAnsi="Times New Roman"/>
                <w:b/>
                <w:bCs/>
                <w:lang w:eastAsia="sk-SK"/>
              </w:rPr>
              <w:t>0</w:t>
            </w: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pStyle w:val="Odsekzoznamu"/>
              <w:numPr>
                <w:ilvl w:val="0"/>
                <w:numId w:val="12"/>
              </w:numPr>
              <w:jc w:val="right"/>
              <w:rPr>
                <w:b/>
                <w:bCs/>
                <w:sz w:val="22"/>
                <w:szCs w:val="22"/>
                <w:lang w:eastAsia="sk-SK"/>
              </w:rPr>
            </w:pPr>
            <w:r w:rsidRPr="008723F7">
              <w:rPr>
                <w:b/>
                <w:bCs/>
                <w:sz w:val="22"/>
                <w:szCs w:val="22"/>
                <w:lang w:eastAsia="sk-SK"/>
              </w:rPr>
              <w:t>50 000</w:t>
            </w:r>
          </w:p>
        </w:tc>
        <w:tc>
          <w:tcPr>
            <w:tcW w:w="1559" w:type="dxa"/>
            <w:tcBorders>
              <w:top w:val="nil"/>
              <w:left w:val="nil"/>
              <w:bottom w:val="single" w:sz="4" w:space="0" w:color="auto"/>
              <w:right w:val="single" w:sz="4" w:space="0" w:color="auto"/>
            </w:tcBorders>
          </w:tcPr>
          <w:p w:rsidR="007702C2" w:rsidRPr="008723F7" w:rsidRDefault="007702C2" w:rsidP="001678B8">
            <w:pPr>
              <w:pStyle w:val="Odsekzoznamu"/>
              <w:numPr>
                <w:ilvl w:val="0"/>
                <w:numId w:val="12"/>
              </w:numPr>
              <w:jc w:val="right"/>
              <w:rPr>
                <w:b/>
                <w:bCs/>
                <w:sz w:val="22"/>
                <w:szCs w:val="22"/>
                <w:lang w:eastAsia="sk-SK"/>
              </w:rPr>
            </w:pPr>
            <w:r w:rsidRPr="008723F7">
              <w:rPr>
                <w:b/>
                <w:bCs/>
                <w:sz w:val="22"/>
                <w:szCs w:val="22"/>
                <w:lang w:eastAsia="sk-SK"/>
              </w:rPr>
              <w:t>50 000</w:t>
            </w:r>
          </w:p>
        </w:tc>
        <w:tc>
          <w:tcPr>
            <w:tcW w:w="1418" w:type="dxa"/>
            <w:tcBorders>
              <w:top w:val="nil"/>
              <w:left w:val="nil"/>
              <w:bottom w:val="single" w:sz="4" w:space="0" w:color="auto"/>
              <w:right w:val="single" w:sz="4" w:space="0" w:color="auto"/>
            </w:tcBorders>
          </w:tcPr>
          <w:p w:rsidR="007702C2" w:rsidRPr="008723F7" w:rsidRDefault="007702C2" w:rsidP="001678B8">
            <w:pPr>
              <w:pStyle w:val="Odsekzoznamu"/>
              <w:numPr>
                <w:ilvl w:val="0"/>
                <w:numId w:val="12"/>
              </w:numPr>
              <w:jc w:val="right"/>
              <w:rPr>
                <w:b/>
                <w:bCs/>
                <w:sz w:val="22"/>
                <w:szCs w:val="22"/>
                <w:lang w:eastAsia="sk-SK"/>
              </w:rPr>
            </w:pPr>
            <w:r w:rsidRPr="008723F7">
              <w:rPr>
                <w:b/>
                <w:bCs/>
                <w:sz w:val="22"/>
                <w:szCs w:val="22"/>
                <w:lang w:eastAsia="sk-SK"/>
              </w:rPr>
              <w:t>50 000</w:t>
            </w: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i/>
                <w:lang w:eastAsia="sk-SK"/>
              </w:rPr>
              <w:t xml:space="preserve">zníženie výdavkov o úhrady zdravotnej starostlivosti pre žiadateľov o azyl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Splácanie úrokov a ostatné platby súvisiace s </w:t>
            </w:r>
            <w:r w:rsidRPr="008723F7">
              <w:rPr>
                <w:rFonts w:ascii="Times New Roman" w:hAnsi="Times New Roman"/>
              </w:rPr>
              <w:t xml:space="preserve"> </w:t>
            </w:r>
            <w:r w:rsidRPr="008723F7">
              <w:rPr>
                <w:rFonts w:ascii="Times New Roman" w:eastAsia="Times New Roman" w:hAnsi="Times New Roman"/>
                <w:lang w:eastAsia="sk-SK"/>
              </w:rPr>
              <w:t>úverom, pôžičkou, návratnou finančnou výpomocou a finančným prenájmom (650)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Kapitálové výdavky (700)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Obstarávanie kapitálových aktív (710)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Kapitálové transfery (720)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z transakcií s finančnými aktívami a finančnými pasívami (800)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59"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418"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411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109"/>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výdavky verejnej správy celkom</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hAnsi="Times New Roman"/>
                <w:b/>
                <w:bCs/>
                <w:lang w:eastAsia="sk-SK"/>
              </w:rPr>
            </w:pPr>
            <w:r w:rsidRPr="008723F7">
              <w:rPr>
                <w:rFonts w:ascii="Times New Roman" w:hAnsi="Times New Roman"/>
                <w:b/>
                <w:bCs/>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pStyle w:val="Odsekzoznamu"/>
              <w:numPr>
                <w:ilvl w:val="0"/>
                <w:numId w:val="12"/>
              </w:numPr>
              <w:jc w:val="right"/>
              <w:rPr>
                <w:b/>
                <w:bCs/>
                <w:sz w:val="22"/>
                <w:szCs w:val="22"/>
                <w:lang w:eastAsia="sk-SK"/>
              </w:rPr>
            </w:pPr>
            <w:r w:rsidRPr="008723F7">
              <w:rPr>
                <w:b/>
                <w:bCs/>
                <w:sz w:val="22"/>
                <w:szCs w:val="22"/>
                <w:lang w:eastAsia="sk-SK"/>
              </w:rPr>
              <w:t>50 000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pStyle w:val="Odsekzoznamu"/>
              <w:numPr>
                <w:ilvl w:val="0"/>
                <w:numId w:val="12"/>
              </w:numPr>
              <w:jc w:val="right"/>
              <w:rPr>
                <w:b/>
                <w:bCs/>
                <w:sz w:val="22"/>
                <w:szCs w:val="22"/>
                <w:lang w:eastAsia="sk-SK"/>
              </w:rPr>
            </w:pPr>
            <w:r w:rsidRPr="008723F7">
              <w:rPr>
                <w:b/>
                <w:bCs/>
                <w:sz w:val="22"/>
                <w:szCs w:val="22"/>
                <w:lang w:eastAsia="sk-SK"/>
              </w:rPr>
              <w:t>50 000</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pStyle w:val="Odsekzoznamu"/>
              <w:numPr>
                <w:ilvl w:val="0"/>
                <w:numId w:val="12"/>
              </w:numPr>
              <w:jc w:val="right"/>
              <w:rPr>
                <w:b/>
                <w:bCs/>
                <w:sz w:val="22"/>
                <w:szCs w:val="22"/>
                <w:lang w:eastAsia="sk-SK"/>
              </w:rPr>
            </w:pPr>
            <w:r w:rsidRPr="008723F7">
              <w:rPr>
                <w:b/>
                <w:bCs/>
                <w:sz w:val="22"/>
                <w:szCs w:val="22"/>
                <w:lang w:eastAsia="sk-SK"/>
              </w:rPr>
              <w:t>50 000</w:t>
            </w:r>
          </w:p>
        </w:tc>
        <w:tc>
          <w:tcPr>
            <w:tcW w:w="411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72221D" w:rsidRPr="008723F7" w:rsidRDefault="0072221D" w:rsidP="001678B8">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2 –  výdavky rozpísať až do položiek platnej ekonomickej klasifikácie</w:t>
      </w:r>
    </w:p>
    <w:p w:rsidR="0072221D" w:rsidRPr="008723F7" w:rsidRDefault="0072221D" w:rsidP="001678B8">
      <w:pPr>
        <w:tabs>
          <w:tab w:val="num" w:pos="1080"/>
        </w:tabs>
        <w:spacing w:after="0" w:line="240" w:lineRule="auto"/>
        <w:ind w:left="-900"/>
        <w:jc w:val="both"/>
        <w:rPr>
          <w:rFonts w:ascii="Times New Roman" w:eastAsia="Times New Roman" w:hAnsi="Times New Roman"/>
          <w:bCs/>
          <w:lang w:eastAsia="sk-SK"/>
        </w:rPr>
      </w:pPr>
    </w:p>
    <w:p w:rsidR="0072221D" w:rsidRPr="008723F7" w:rsidRDefault="0072221D" w:rsidP="001678B8">
      <w:pPr>
        <w:tabs>
          <w:tab w:val="num" w:pos="1080"/>
        </w:tabs>
        <w:spacing w:after="0" w:line="240" w:lineRule="auto"/>
        <w:ind w:left="-900"/>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72221D" w:rsidRPr="008723F7" w:rsidRDefault="0072221D" w:rsidP="001678B8">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536D8E" w:rsidRPr="008723F7" w:rsidRDefault="00536D8E" w:rsidP="001678B8">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536D8E" w:rsidRPr="008723F7" w:rsidRDefault="00536D8E" w:rsidP="001678B8">
      <w:pPr>
        <w:tabs>
          <w:tab w:val="num" w:pos="1080"/>
        </w:tabs>
        <w:spacing w:after="0" w:line="240" w:lineRule="auto"/>
        <w:ind w:right="-32"/>
        <w:rPr>
          <w:rFonts w:ascii="Times New Roman" w:eastAsia="Times New Roman" w:hAnsi="Times New Roman"/>
          <w:bCs/>
          <w:lang w:eastAsia="sk-SK"/>
        </w:rPr>
      </w:pPr>
      <w:r w:rsidRPr="008723F7">
        <w:rPr>
          <w:rFonts w:ascii="Times New Roman" w:eastAsia="Times New Roman" w:hAnsi="Times New Roman"/>
          <w:bCs/>
          <w:lang w:eastAsia="sk-SK"/>
        </w:rPr>
        <w:lastRenderedPageBreak/>
        <w:t>Vplyv na výdavky rozpočtu Úradu pre dohľad nad zdravotnou starostlivosťou</w:t>
      </w:r>
    </w:p>
    <w:p w:rsidR="00536D8E" w:rsidRPr="008723F7" w:rsidRDefault="00536D8E" w:rsidP="001678B8">
      <w:pPr>
        <w:tabs>
          <w:tab w:val="num" w:pos="1080"/>
        </w:tabs>
        <w:spacing w:after="0" w:line="240" w:lineRule="auto"/>
        <w:jc w:val="both"/>
        <w:rPr>
          <w:rFonts w:ascii="Times New Roman" w:eastAsia="Times New Roman" w:hAnsi="Times New Roman"/>
          <w:bCs/>
          <w:lang w:eastAsia="sk-SK"/>
        </w:rPr>
      </w:pPr>
    </w:p>
    <w:tbl>
      <w:tblPr>
        <w:tblpPr w:leftFromText="141" w:rightFromText="141" w:vertAnchor="text" w:horzAnchor="page" w:tblpX="629" w:tblpY="2"/>
        <w:tblW w:w="14596" w:type="dxa"/>
        <w:tblCellMar>
          <w:left w:w="70" w:type="dxa"/>
          <w:right w:w="70" w:type="dxa"/>
        </w:tblCellMar>
        <w:tblLook w:val="0000" w:firstRow="0" w:lastRow="0" w:firstColumn="0" w:lastColumn="0" w:noHBand="0" w:noVBand="0"/>
      </w:tblPr>
      <w:tblGrid>
        <w:gridCol w:w="5665"/>
        <w:gridCol w:w="1418"/>
        <w:gridCol w:w="1418"/>
        <w:gridCol w:w="1134"/>
        <w:gridCol w:w="1276"/>
        <w:gridCol w:w="3685"/>
      </w:tblGrid>
      <w:tr w:rsidR="007702C2" w:rsidRPr="008723F7" w:rsidTr="007702C2">
        <w:trPr>
          <w:cantSplit/>
          <w:trHeight w:val="255"/>
        </w:trPr>
        <w:tc>
          <w:tcPr>
            <w:tcW w:w="56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Výdavky (v eurách)</w:t>
            </w:r>
          </w:p>
        </w:tc>
        <w:tc>
          <w:tcPr>
            <w:tcW w:w="1418" w:type="dxa"/>
            <w:tcBorders>
              <w:top w:val="single" w:sz="4" w:space="0" w:color="auto"/>
              <w:left w:val="nil"/>
              <w:bottom w:val="single" w:sz="4" w:space="0" w:color="auto"/>
              <w:right w:val="nil"/>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828"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7702C2" w:rsidRPr="008723F7" w:rsidTr="007702C2">
        <w:trPr>
          <w:cantSplit/>
          <w:trHeight w:val="255"/>
        </w:trPr>
        <w:tc>
          <w:tcPr>
            <w:tcW w:w="5665" w:type="dxa"/>
            <w:vMerge/>
            <w:tcBorders>
              <w:top w:val="single" w:sz="4" w:space="0" w:color="auto"/>
              <w:left w:val="single" w:sz="4" w:space="0" w:color="auto"/>
              <w:bottom w:val="single" w:sz="4" w:space="0" w:color="000000"/>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134"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276"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5" w:type="dxa"/>
            <w:tcBorders>
              <w:top w:val="single" w:sz="4" w:space="0" w:color="auto"/>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Bežné výdavky (600)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134"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Mzdy, platy, služobné príjmy a ostatné osobné vyrovnania (610)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1134"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paušálna náhrada pre predsedu ÚDZS</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Poistné a príspevok do poisťovní (620) </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Tovary a služby (630)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Bežné transfery (640)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vAlign w:val="center"/>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Splácanie úrokov a ostatné platby súvisiace s </w:t>
            </w:r>
            <w:r w:rsidRPr="008723F7">
              <w:rPr>
                <w:rFonts w:ascii="Times New Roman" w:hAnsi="Times New Roman"/>
              </w:rPr>
              <w:t xml:space="preserve"> </w:t>
            </w:r>
            <w:r w:rsidRPr="008723F7">
              <w:rPr>
                <w:rFonts w:ascii="Times New Roman" w:eastAsia="Times New Roman" w:hAnsi="Times New Roman"/>
                <w:lang w:eastAsia="sk-SK"/>
              </w:rPr>
              <w:t>úverom, pôžičkou, návratnou finančnou výpomocou a finančným prenájmom (650)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Kapitálové výdavky (700)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p>
        </w:tc>
        <w:tc>
          <w:tcPr>
            <w:tcW w:w="1134"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Obstarávanie kapitálových aktív (710)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Kapitálové transfery (720)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z transakcií s finančnými aktívami a finančnými pasívami (800)</w:t>
            </w:r>
          </w:p>
        </w:tc>
        <w:tc>
          <w:tcPr>
            <w:tcW w:w="1418"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right"/>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shd w:val="clear" w:color="auto" w:fill="auto"/>
          </w:tcPr>
          <w:p w:rsidR="007702C2" w:rsidRPr="008723F7" w:rsidRDefault="007702C2"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134"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276" w:type="dxa"/>
            <w:tcBorders>
              <w:top w:val="nil"/>
              <w:left w:val="nil"/>
              <w:bottom w:val="single" w:sz="4" w:space="0" w:color="auto"/>
              <w:right w:val="single" w:sz="4" w:space="0" w:color="auto"/>
            </w:tcBorders>
            <w:shd w:val="clear" w:color="auto" w:fill="auto"/>
          </w:tcPr>
          <w:p w:rsidR="007702C2" w:rsidRPr="008723F7" w:rsidRDefault="007702C2" w:rsidP="001678B8">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5" w:type="dxa"/>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výdavky verejnej správy celkom</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eastAsia="Times New Roman" w:hAnsi="Times New Roman"/>
                <w:b/>
                <w:lang w:eastAsia="sk-SK"/>
              </w:rPr>
            </w:pPr>
            <w:r w:rsidRPr="008723F7">
              <w:rPr>
                <w:rFonts w:ascii="Times New Roman" w:eastAsia="Times New Roman" w:hAnsi="Times New Roman"/>
                <w:b/>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536D8E" w:rsidRPr="008723F7" w:rsidRDefault="00536D8E" w:rsidP="001678B8">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2 –  výdavky rozpísať až do položiek platnej ekonomickej klasifikácie</w:t>
      </w:r>
    </w:p>
    <w:p w:rsidR="00536D8E" w:rsidRPr="008723F7" w:rsidRDefault="00536D8E" w:rsidP="001678B8">
      <w:pPr>
        <w:tabs>
          <w:tab w:val="num" w:pos="1080"/>
        </w:tabs>
        <w:spacing w:after="0" w:line="240" w:lineRule="auto"/>
        <w:ind w:left="-900"/>
        <w:jc w:val="both"/>
        <w:rPr>
          <w:rFonts w:ascii="Times New Roman" w:eastAsia="Times New Roman" w:hAnsi="Times New Roman"/>
          <w:bCs/>
          <w:lang w:eastAsia="sk-SK"/>
        </w:rPr>
      </w:pPr>
    </w:p>
    <w:p w:rsidR="00536D8E" w:rsidRPr="008723F7" w:rsidRDefault="00536D8E" w:rsidP="001678B8">
      <w:pPr>
        <w:tabs>
          <w:tab w:val="num" w:pos="1080"/>
        </w:tabs>
        <w:spacing w:after="0" w:line="240" w:lineRule="auto"/>
        <w:ind w:left="-900"/>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536D8E" w:rsidRPr="008723F7" w:rsidRDefault="00536D8E" w:rsidP="001678B8">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536D8E" w:rsidRPr="008723F7" w:rsidRDefault="00536D8E" w:rsidP="001678B8">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8E5CFB" w:rsidRPr="008723F7" w:rsidRDefault="008E5CFB" w:rsidP="001678B8">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lastRenderedPageBreak/>
        <w:t xml:space="preserve">              Tabuľka č. 5 </w:t>
      </w:r>
    </w:p>
    <w:p w:rsidR="008E5CFB" w:rsidRPr="008723F7" w:rsidRDefault="008E5CFB" w:rsidP="001678B8">
      <w:pPr>
        <w:tabs>
          <w:tab w:val="num" w:pos="1080"/>
        </w:tabs>
        <w:spacing w:after="0" w:line="240" w:lineRule="auto"/>
        <w:jc w:val="both"/>
        <w:rPr>
          <w:rFonts w:ascii="Times New Roman" w:eastAsia="Times New Roman" w:hAnsi="Times New Roman"/>
          <w:bCs/>
          <w:lang w:eastAsia="sk-SK"/>
        </w:rPr>
      </w:pPr>
    </w:p>
    <w:tbl>
      <w:tblPr>
        <w:tblW w:w="16302" w:type="dxa"/>
        <w:tblInd w:w="-784" w:type="dxa"/>
        <w:tblCellMar>
          <w:left w:w="70" w:type="dxa"/>
          <w:right w:w="70" w:type="dxa"/>
        </w:tblCellMar>
        <w:tblLook w:val="0000" w:firstRow="0" w:lastRow="0" w:firstColumn="0" w:lastColumn="0" w:noHBand="0" w:noVBand="0"/>
      </w:tblPr>
      <w:tblGrid>
        <w:gridCol w:w="1698"/>
        <w:gridCol w:w="4490"/>
        <w:gridCol w:w="1254"/>
        <w:gridCol w:w="1559"/>
        <w:gridCol w:w="1276"/>
        <w:gridCol w:w="1275"/>
        <w:gridCol w:w="540"/>
        <w:gridCol w:w="160"/>
        <w:gridCol w:w="1698"/>
        <w:gridCol w:w="721"/>
        <w:gridCol w:w="1471"/>
        <w:gridCol w:w="160"/>
      </w:tblGrid>
      <w:tr w:rsidR="007702C2" w:rsidRPr="008723F7" w:rsidTr="007702C2">
        <w:trPr>
          <w:gridAfter w:val="2"/>
          <w:wAfter w:w="1631" w:type="dxa"/>
          <w:cantSplit/>
          <w:trHeight w:val="255"/>
        </w:trPr>
        <w:tc>
          <w:tcPr>
            <w:tcW w:w="618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Zamestnanosť</w:t>
            </w:r>
          </w:p>
        </w:tc>
        <w:tc>
          <w:tcPr>
            <w:tcW w:w="1254" w:type="dxa"/>
            <w:tcBorders>
              <w:top w:val="single" w:sz="4" w:space="0" w:color="auto"/>
              <w:left w:val="nil"/>
              <w:bottom w:val="single" w:sz="4" w:space="0" w:color="auto"/>
              <w:right w:val="nil"/>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411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7702C2" w:rsidRPr="008723F7" w:rsidTr="007702C2">
        <w:trPr>
          <w:gridAfter w:val="2"/>
          <w:wAfter w:w="1631" w:type="dxa"/>
          <w:cantSplit/>
          <w:trHeight w:val="255"/>
        </w:trPr>
        <w:tc>
          <w:tcPr>
            <w:tcW w:w="618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02C2" w:rsidRPr="008723F7" w:rsidRDefault="007702C2" w:rsidP="001678B8">
            <w:pPr>
              <w:spacing w:after="0" w:line="240" w:lineRule="auto"/>
              <w:rPr>
                <w:rFonts w:ascii="Times New Roman" w:eastAsia="Times New Roman" w:hAnsi="Times New Roman"/>
                <w:b/>
                <w:bCs/>
                <w:lang w:eastAsia="sk-SK"/>
              </w:rPr>
            </w:pPr>
          </w:p>
        </w:tc>
        <w:tc>
          <w:tcPr>
            <w:tcW w:w="1254"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276"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275"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02C2" w:rsidRPr="008723F7" w:rsidRDefault="007702C2" w:rsidP="001678B8">
            <w:pPr>
              <w:spacing w:after="0" w:line="240" w:lineRule="auto"/>
              <w:rPr>
                <w:rFonts w:ascii="Times New Roman" w:eastAsia="Times New Roman" w:hAnsi="Times New Roman"/>
                <w:b/>
                <w:bCs/>
                <w:color w:val="FFFFFF"/>
                <w:lang w:eastAsia="sk-SK"/>
              </w:rPr>
            </w:pP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Počet zamestnancov celkom</w:t>
            </w:r>
          </w:p>
        </w:tc>
        <w:tc>
          <w:tcPr>
            <w:tcW w:w="1254"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5"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single" w:sz="4" w:space="0" w:color="auto"/>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5"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Priemerný mzdový výdavok (v eurách)</w:t>
            </w:r>
          </w:p>
        </w:tc>
        <w:tc>
          <w:tcPr>
            <w:tcW w:w="1254"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single" w:sz="4" w:space="0" w:color="auto"/>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5"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single" w:sz="4" w:space="0" w:color="auto"/>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 </w:t>
            </w:r>
          </w:p>
        </w:tc>
        <w:tc>
          <w:tcPr>
            <w:tcW w:w="1276"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 </w:t>
            </w:r>
          </w:p>
        </w:tc>
        <w:tc>
          <w:tcPr>
            <w:tcW w:w="1275"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 </w:t>
            </w:r>
          </w:p>
        </w:tc>
        <w:tc>
          <w:tcPr>
            <w:tcW w:w="3119" w:type="dxa"/>
            <w:gridSpan w:val="4"/>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Osobné výdavky celkom (v eurách)</w:t>
            </w:r>
          </w:p>
        </w:tc>
        <w:tc>
          <w:tcPr>
            <w:tcW w:w="1254" w:type="dxa"/>
            <w:tcBorders>
              <w:top w:val="single" w:sz="4" w:space="0" w:color="auto"/>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76"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75" w:type="dxa"/>
            <w:tcBorders>
              <w:top w:val="nil"/>
              <w:left w:val="nil"/>
              <w:bottom w:val="single" w:sz="4" w:space="0" w:color="auto"/>
              <w:right w:val="single" w:sz="4" w:space="0" w:color="auto"/>
            </w:tcBorders>
            <w:shd w:val="clear" w:color="auto" w:fill="BFBFBF" w:themeFill="background1" w:themeFillShade="BF"/>
          </w:tcPr>
          <w:p w:rsidR="007702C2" w:rsidRPr="008723F7" w:rsidRDefault="007702C2" w:rsidP="001678B8">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3119" w:type="dxa"/>
            <w:gridSpan w:val="4"/>
            <w:tcBorders>
              <w:top w:val="nil"/>
              <w:left w:val="nil"/>
              <w:bottom w:val="single" w:sz="4" w:space="0" w:color="auto"/>
              <w:right w:val="single" w:sz="4" w:space="0" w:color="auto"/>
            </w:tcBorders>
            <w:shd w:val="clear" w:color="auto" w:fill="BFBFBF" w:themeFill="background1" w:themeFillShade="BF"/>
            <w:noWrap/>
            <w:vAlign w:val="bottom"/>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w:t>
            </w: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Mzdy, platy, služobné príjmy a ostatné osobné vyrovnania (610)</w:t>
            </w:r>
          </w:p>
        </w:tc>
        <w:tc>
          <w:tcPr>
            <w:tcW w:w="1254"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5"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w:t>
            </w: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5"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3119" w:type="dxa"/>
            <w:gridSpan w:val="4"/>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Poistné a príspevok do poisťovní (620)</w:t>
            </w:r>
          </w:p>
        </w:tc>
        <w:tc>
          <w:tcPr>
            <w:tcW w:w="1254"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1275"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w:t>
            </w:r>
          </w:p>
        </w:tc>
      </w:tr>
      <w:tr w:rsidR="007702C2" w:rsidRPr="008723F7" w:rsidTr="007702C2">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1275" w:type="dxa"/>
            <w:tcBorders>
              <w:top w:val="nil"/>
              <w:left w:val="nil"/>
              <w:bottom w:val="single" w:sz="4" w:space="0" w:color="auto"/>
              <w:right w:val="single" w:sz="4" w:space="0" w:color="auto"/>
            </w:tcBorders>
          </w:tcPr>
          <w:p w:rsidR="007702C2" w:rsidRPr="008723F7" w:rsidRDefault="007702C2" w:rsidP="001678B8">
            <w:pPr>
              <w:spacing w:after="0" w:line="240" w:lineRule="auto"/>
              <w:jc w:val="center"/>
              <w:rPr>
                <w:rFonts w:ascii="Times New Roman" w:eastAsia="Times New Roman" w:hAnsi="Times New Roman"/>
                <w:lang w:eastAsia="sk-SK"/>
              </w:rPr>
            </w:pPr>
          </w:p>
        </w:tc>
        <w:tc>
          <w:tcPr>
            <w:tcW w:w="3119" w:type="dxa"/>
            <w:gridSpan w:val="4"/>
            <w:tcBorders>
              <w:top w:val="nil"/>
              <w:left w:val="nil"/>
              <w:bottom w:val="single" w:sz="4" w:space="0" w:color="auto"/>
              <w:right w:val="single" w:sz="4" w:space="0" w:color="auto"/>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7702C2" w:rsidRPr="008723F7" w:rsidTr="007702C2">
        <w:trPr>
          <w:gridAfter w:val="2"/>
          <w:wAfter w:w="1631" w:type="dxa"/>
          <w:trHeight w:val="255"/>
        </w:trPr>
        <w:tc>
          <w:tcPr>
            <w:tcW w:w="6188" w:type="dxa"/>
            <w:gridSpan w:val="2"/>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1254" w:type="dxa"/>
            <w:tcBorders>
              <w:top w:val="nil"/>
              <w:left w:val="nil"/>
              <w:bottom w:val="nil"/>
              <w:right w:val="nil"/>
            </w:tcBorders>
          </w:tcPr>
          <w:p w:rsidR="007702C2" w:rsidRPr="008723F7" w:rsidRDefault="007702C2" w:rsidP="001678B8">
            <w:pPr>
              <w:spacing w:after="0" w:line="240" w:lineRule="auto"/>
              <w:rPr>
                <w:rFonts w:ascii="Times New Roman" w:eastAsia="Times New Roman" w:hAnsi="Times New Roman"/>
                <w:lang w:eastAsia="sk-SK"/>
              </w:rPr>
            </w:pPr>
          </w:p>
        </w:tc>
        <w:tc>
          <w:tcPr>
            <w:tcW w:w="1559"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1276"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1275"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2398" w:type="dxa"/>
            <w:gridSpan w:val="3"/>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721"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gridAfter w:val="2"/>
          <w:wAfter w:w="1631" w:type="dxa"/>
          <w:trHeight w:val="255"/>
        </w:trPr>
        <w:tc>
          <w:tcPr>
            <w:tcW w:w="6188" w:type="dxa"/>
            <w:gridSpan w:val="2"/>
            <w:tcBorders>
              <w:top w:val="nil"/>
              <w:left w:val="nil"/>
              <w:bottom w:val="nil"/>
              <w:right w:val="nil"/>
            </w:tcBorders>
          </w:tcPr>
          <w:p w:rsidR="007702C2" w:rsidRPr="008723F7" w:rsidRDefault="007702C2" w:rsidP="001678B8">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Poznámky:</w:t>
            </w:r>
          </w:p>
        </w:tc>
        <w:tc>
          <w:tcPr>
            <w:tcW w:w="1254" w:type="dxa"/>
            <w:tcBorders>
              <w:top w:val="nil"/>
              <w:left w:val="nil"/>
              <w:bottom w:val="nil"/>
              <w:right w:val="nil"/>
            </w:tcBorders>
          </w:tcPr>
          <w:p w:rsidR="007702C2" w:rsidRPr="008723F7" w:rsidRDefault="007702C2" w:rsidP="001678B8">
            <w:pPr>
              <w:spacing w:after="0" w:line="240" w:lineRule="auto"/>
              <w:rPr>
                <w:rFonts w:ascii="Times New Roman" w:eastAsia="Times New Roman" w:hAnsi="Times New Roman"/>
                <w:lang w:eastAsia="sk-SK"/>
              </w:rPr>
            </w:pPr>
          </w:p>
        </w:tc>
        <w:tc>
          <w:tcPr>
            <w:tcW w:w="1559"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1276"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1275"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2398" w:type="dxa"/>
            <w:gridSpan w:val="3"/>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721"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gridAfter w:val="2"/>
          <w:wAfter w:w="1631" w:type="dxa"/>
          <w:trHeight w:val="255"/>
        </w:trPr>
        <w:tc>
          <w:tcPr>
            <w:tcW w:w="1698" w:type="dxa"/>
            <w:tcBorders>
              <w:top w:val="nil"/>
              <w:left w:val="nil"/>
              <w:bottom w:val="nil"/>
              <w:right w:val="nil"/>
            </w:tcBorders>
          </w:tcPr>
          <w:p w:rsidR="007702C2" w:rsidRPr="008723F7" w:rsidRDefault="007702C2" w:rsidP="001678B8">
            <w:pPr>
              <w:tabs>
                <w:tab w:val="num" w:pos="1080"/>
              </w:tabs>
              <w:spacing w:after="0" w:line="240" w:lineRule="auto"/>
              <w:jc w:val="both"/>
              <w:rPr>
                <w:rFonts w:ascii="Times New Roman" w:eastAsia="Times New Roman" w:hAnsi="Times New Roman"/>
                <w:bCs/>
                <w:lang w:eastAsia="sk-SK"/>
              </w:rPr>
            </w:pPr>
          </w:p>
        </w:tc>
        <w:tc>
          <w:tcPr>
            <w:tcW w:w="9854" w:type="dxa"/>
            <w:gridSpan w:val="5"/>
            <w:tcBorders>
              <w:top w:val="nil"/>
              <w:left w:val="nil"/>
              <w:bottom w:val="nil"/>
              <w:right w:val="nil"/>
            </w:tcBorders>
            <w:noWrap/>
          </w:tcPr>
          <w:p w:rsidR="007702C2" w:rsidRPr="008723F7" w:rsidRDefault="007702C2" w:rsidP="001678B8">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Priemerný mzdový výdavok je tvorený podielom mzdových výdavkov na jedného zamestnanca na jeden kalendárny mesiac bežného roka.</w:t>
            </w:r>
          </w:p>
        </w:tc>
        <w:tc>
          <w:tcPr>
            <w:tcW w:w="3119" w:type="dxa"/>
            <w:gridSpan w:val="4"/>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r w:rsidR="007702C2" w:rsidRPr="008723F7" w:rsidTr="007702C2">
        <w:trPr>
          <w:trHeight w:val="255"/>
        </w:trPr>
        <w:tc>
          <w:tcPr>
            <w:tcW w:w="1698" w:type="dxa"/>
            <w:tcBorders>
              <w:top w:val="nil"/>
              <w:left w:val="nil"/>
              <w:bottom w:val="nil"/>
              <w:right w:val="nil"/>
            </w:tcBorders>
          </w:tcPr>
          <w:p w:rsidR="007702C2" w:rsidRPr="008723F7" w:rsidRDefault="007702C2" w:rsidP="001678B8">
            <w:pPr>
              <w:spacing w:after="0" w:line="240" w:lineRule="auto"/>
              <w:rPr>
                <w:rFonts w:ascii="Times New Roman" w:eastAsia="Times New Roman" w:hAnsi="Times New Roman"/>
                <w:lang w:eastAsia="sk-SK"/>
              </w:rPr>
            </w:pPr>
          </w:p>
        </w:tc>
        <w:tc>
          <w:tcPr>
            <w:tcW w:w="10394" w:type="dxa"/>
            <w:gridSpan w:val="6"/>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Kategórie 610 a 620 sú z tejto prílohy prenášané do príslušných kategórií prílohy „výdavky“</w:t>
            </w:r>
          </w:p>
        </w:tc>
        <w:tc>
          <w:tcPr>
            <w:tcW w:w="160"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3890" w:type="dxa"/>
            <w:gridSpan w:val="3"/>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c>
          <w:tcPr>
            <w:tcW w:w="160" w:type="dxa"/>
            <w:tcBorders>
              <w:top w:val="nil"/>
              <w:left w:val="nil"/>
              <w:bottom w:val="nil"/>
              <w:right w:val="nil"/>
            </w:tcBorders>
            <w:noWrap/>
            <w:vAlign w:val="bottom"/>
          </w:tcPr>
          <w:p w:rsidR="007702C2" w:rsidRPr="008723F7" w:rsidRDefault="007702C2" w:rsidP="001678B8">
            <w:pPr>
              <w:spacing w:after="0" w:line="240" w:lineRule="auto"/>
              <w:rPr>
                <w:rFonts w:ascii="Times New Roman" w:eastAsia="Times New Roman" w:hAnsi="Times New Roman"/>
                <w:lang w:eastAsia="sk-SK"/>
              </w:rPr>
            </w:pPr>
          </w:p>
        </w:tc>
      </w:tr>
    </w:tbl>
    <w:p w:rsidR="002062D5" w:rsidRPr="008723F7" w:rsidRDefault="002062D5" w:rsidP="001678B8">
      <w:pPr>
        <w:spacing w:after="0" w:line="240" w:lineRule="auto"/>
        <w:rPr>
          <w:rFonts w:ascii="Times New Roman" w:hAnsi="Times New Roman"/>
        </w:rPr>
      </w:pPr>
    </w:p>
    <w:sectPr w:rsidR="002062D5" w:rsidRPr="008723F7" w:rsidSect="008E5CF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1A" w:rsidRDefault="00C3161A" w:rsidP="00A1184A">
      <w:pPr>
        <w:spacing w:after="0" w:line="240" w:lineRule="auto"/>
      </w:pPr>
      <w:r>
        <w:separator/>
      </w:r>
    </w:p>
  </w:endnote>
  <w:endnote w:type="continuationSeparator" w:id="0">
    <w:p w:rsidR="00C3161A" w:rsidRDefault="00C3161A"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E5" w:rsidRDefault="00C112E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112E5" w:rsidRDefault="00C112E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2802"/>
      <w:docPartObj>
        <w:docPartGallery w:val="Page Numbers (Bottom of Page)"/>
        <w:docPartUnique/>
      </w:docPartObj>
    </w:sdtPr>
    <w:sdtEndPr>
      <w:rPr>
        <w:rFonts w:ascii="Times New Roman" w:hAnsi="Times New Roman"/>
        <w:sz w:val="20"/>
      </w:rPr>
    </w:sdtEndPr>
    <w:sdtContent>
      <w:p w:rsidR="00C112E5" w:rsidRPr="00975ECF" w:rsidRDefault="00C112E5">
        <w:pPr>
          <w:pStyle w:val="Pta"/>
          <w:jc w:val="center"/>
          <w:rPr>
            <w:rFonts w:ascii="Times New Roman" w:hAnsi="Times New Roman"/>
            <w:sz w:val="20"/>
          </w:rPr>
        </w:pPr>
        <w:r w:rsidRPr="00975ECF">
          <w:rPr>
            <w:rFonts w:ascii="Times New Roman" w:hAnsi="Times New Roman"/>
            <w:sz w:val="20"/>
          </w:rPr>
          <w:fldChar w:fldCharType="begin"/>
        </w:r>
        <w:r w:rsidRPr="00975ECF">
          <w:rPr>
            <w:rFonts w:ascii="Times New Roman" w:hAnsi="Times New Roman"/>
            <w:sz w:val="20"/>
          </w:rPr>
          <w:instrText>PAGE   \* MERGEFORMAT</w:instrText>
        </w:r>
        <w:r w:rsidRPr="00975ECF">
          <w:rPr>
            <w:rFonts w:ascii="Times New Roman" w:hAnsi="Times New Roman"/>
            <w:sz w:val="20"/>
          </w:rPr>
          <w:fldChar w:fldCharType="separate"/>
        </w:r>
        <w:r w:rsidR="008723F7">
          <w:rPr>
            <w:rFonts w:ascii="Times New Roman" w:hAnsi="Times New Roman"/>
            <w:noProof/>
            <w:sz w:val="20"/>
          </w:rPr>
          <w:t>16</w:t>
        </w:r>
        <w:r w:rsidRPr="00975ECF">
          <w:rPr>
            <w:rFonts w:ascii="Times New Roman" w:hAnsi="Times New Roman"/>
            <w:sz w:val="20"/>
          </w:rPr>
          <w:fldChar w:fldCharType="end"/>
        </w:r>
      </w:p>
    </w:sdtContent>
  </w:sdt>
  <w:p w:rsidR="00C112E5" w:rsidRDefault="00C112E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E5" w:rsidRDefault="00C112E5">
    <w:pPr>
      <w:pStyle w:val="Pta"/>
      <w:jc w:val="right"/>
    </w:pPr>
    <w:r>
      <w:fldChar w:fldCharType="begin"/>
    </w:r>
    <w:r>
      <w:instrText>PAGE   \* MERGEFORMAT</w:instrText>
    </w:r>
    <w:r>
      <w:fldChar w:fldCharType="separate"/>
    </w:r>
    <w:r>
      <w:rPr>
        <w:noProof/>
      </w:rPr>
      <w:t>0</w:t>
    </w:r>
    <w:r>
      <w:fldChar w:fldCharType="end"/>
    </w:r>
  </w:p>
  <w:p w:rsidR="00C112E5" w:rsidRDefault="00C112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1A" w:rsidRDefault="00C3161A" w:rsidP="00A1184A">
      <w:pPr>
        <w:spacing w:after="0" w:line="240" w:lineRule="auto"/>
      </w:pPr>
      <w:r>
        <w:separator/>
      </w:r>
    </w:p>
  </w:footnote>
  <w:footnote w:type="continuationSeparator" w:id="0">
    <w:p w:rsidR="00C3161A" w:rsidRDefault="00C3161A" w:rsidP="00A1184A">
      <w:pPr>
        <w:spacing w:after="0" w:line="240" w:lineRule="auto"/>
      </w:pPr>
      <w:r>
        <w:continuationSeparator/>
      </w:r>
    </w:p>
  </w:footnote>
  <w:footnote w:id="1">
    <w:p w:rsidR="00C112E5" w:rsidRDefault="00C112E5" w:rsidP="00175223">
      <w:pPr>
        <w:pStyle w:val="Textpoznmkypodiarou"/>
      </w:pPr>
      <w:r>
        <w:rPr>
          <w:rStyle w:val="Odkaznapoznmkupodiarou"/>
        </w:rPr>
        <w:footnoteRef/>
      </w:r>
      <w:r>
        <w:t xml:space="preserve"> </w:t>
      </w:r>
      <w:r w:rsidRPr="004232B9">
        <w:t xml:space="preserve">Branislav </w:t>
      </w:r>
      <w:proofErr w:type="spellStart"/>
      <w:r w:rsidRPr="004232B9">
        <w:t>Šprocha</w:t>
      </w:r>
      <w:proofErr w:type="spellEnd"/>
      <w:r w:rsidRPr="004232B9">
        <w:t>, Pavol Ďurček</w:t>
      </w:r>
      <w:r>
        <w:t xml:space="preserve">: Starnutie populácie Slovenska v čase a priestore, SAV 2019, </w:t>
      </w:r>
      <w:r w:rsidRPr="004232B9">
        <w:t>ISBN 978-80-89524-39-6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E5" w:rsidRDefault="00C112E5" w:rsidP="006356EA">
    <w:pPr>
      <w:pStyle w:val="Hlavika"/>
      <w:jc w:val="right"/>
      <w:rPr>
        <w:sz w:val="24"/>
        <w:szCs w:val="24"/>
      </w:rPr>
    </w:pPr>
    <w:r>
      <w:rPr>
        <w:sz w:val="24"/>
        <w:szCs w:val="24"/>
      </w:rPr>
      <w:t>Príloha č. 2</w:t>
    </w:r>
  </w:p>
  <w:p w:rsidR="00C112E5" w:rsidRPr="00EB59C8" w:rsidRDefault="00C112E5" w:rsidP="006356EA">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E5" w:rsidRPr="000A15AE" w:rsidRDefault="00C112E5" w:rsidP="006356EA">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0EEE74AD"/>
    <w:multiLevelType w:val="hybridMultilevel"/>
    <w:tmpl w:val="D38EAB24"/>
    <w:lvl w:ilvl="0" w:tplc="F2287CA4">
      <w:start w:val="1"/>
      <w:numFmt w:val="upp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A348AC"/>
    <w:multiLevelType w:val="hybridMultilevel"/>
    <w:tmpl w:val="58564C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8C7C00"/>
    <w:multiLevelType w:val="hybridMultilevel"/>
    <w:tmpl w:val="CE6C9982"/>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9" w15:restartNumberingAfterBreak="0">
    <w:nsid w:val="4FC03EAF"/>
    <w:multiLevelType w:val="hybridMultilevel"/>
    <w:tmpl w:val="1B06F998"/>
    <w:lvl w:ilvl="0" w:tplc="BE24F3CA">
      <w:start w:val="1"/>
      <w:numFmt w:val="upperLetter"/>
      <w:lvlText w:val="%1."/>
      <w:lvlJc w:val="left"/>
      <w:pPr>
        <w:ind w:left="720" w:hanging="360"/>
      </w:pPr>
      <w:rPr>
        <w:rFonts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076C4A"/>
    <w:multiLevelType w:val="hybridMultilevel"/>
    <w:tmpl w:val="4A46BE6A"/>
    <w:lvl w:ilvl="0" w:tplc="0A4E9F3C">
      <w:start w:val="9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79853F4A"/>
    <w:multiLevelType w:val="hybridMultilevel"/>
    <w:tmpl w:val="9A821208"/>
    <w:lvl w:ilvl="0" w:tplc="2EA6FD80">
      <w:start w:val="5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5135A2"/>
    <w:multiLevelType w:val="hybridMultilevel"/>
    <w:tmpl w:val="58564C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0"/>
  </w:num>
  <w:num w:numId="5">
    <w:abstractNumId w:val="13"/>
  </w:num>
  <w:num w:numId="6">
    <w:abstractNumId w:val="8"/>
  </w:num>
  <w:num w:numId="7">
    <w:abstractNumId w:val="10"/>
  </w:num>
  <w:num w:numId="8">
    <w:abstractNumId w:val="7"/>
  </w:num>
  <w:num w:numId="9">
    <w:abstractNumId w:val="6"/>
  </w:num>
  <w:num w:numId="10">
    <w:abstractNumId w:val="2"/>
  </w:num>
  <w:num w:numId="11">
    <w:abstractNumId w:val="15"/>
  </w:num>
  <w:num w:numId="12">
    <w:abstractNumId w:val="5"/>
  </w:num>
  <w:num w:numId="13">
    <w:abstractNumId w:val="9"/>
  </w:num>
  <w:num w:numId="14">
    <w:abstractNumId w:val="3"/>
  </w:num>
  <w:num w:numId="15">
    <w:abstractNumId w:val="12"/>
  </w:num>
  <w:num w:numId="16">
    <w:abstractNumId w:val="16"/>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34884"/>
    <w:rsid w:val="00112D4A"/>
    <w:rsid w:val="001678B8"/>
    <w:rsid w:val="00175223"/>
    <w:rsid w:val="00193ADC"/>
    <w:rsid w:val="001A7C76"/>
    <w:rsid w:val="001E76C7"/>
    <w:rsid w:val="002062D5"/>
    <w:rsid w:val="00333045"/>
    <w:rsid w:val="003601C5"/>
    <w:rsid w:val="00363D47"/>
    <w:rsid w:val="003C0FA7"/>
    <w:rsid w:val="003C1715"/>
    <w:rsid w:val="004322A6"/>
    <w:rsid w:val="0045134E"/>
    <w:rsid w:val="00452EDA"/>
    <w:rsid w:val="00470295"/>
    <w:rsid w:val="00471A3F"/>
    <w:rsid w:val="00491337"/>
    <w:rsid w:val="004A06A8"/>
    <w:rsid w:val="004D3297"/>
    <w:rsid w:val="00515DB4"/>
    <w:rsid w:val="00536D8E"/>
    <w:rsid w:val="00582F21"/>
    <w:rsid w:val="0063164F"/>
    <w:rsid w:val="006356EA"/>
    <w:rsid w:val="006A595F"/>
    <w:rsid w:val="006F4917"/>
    <w:rsid w:val="0072221D"/>
    <w:rsid w:val="00733A07"/>
    <w:rsid w:val="00742689"/>
    <w:rsid w:val="00764050"/>
    <w:rsid w:val="007702C2"/>
    <w:rsid w:val="007B66AE"/>
    <w:rsid w:val="007E2885"/>
    <w:rsid w:val="007E6D32"/>
    <w:rsid w:val="0084066A"/>
    <w:rsid w:val="008564E3"/>
    <w:rsid w:val="00872098"/>
    <w:rsid w:val="008723F7"/>
    <w:rsid w:val="008E5CFB"/>
    <w:rsid w:val="00905354"/>
    <w:rsid w:val="00975BB2"/>
    <w:rsid w:val="00975ECF"/>
    <w:rsid w:val="009A35FC"/>
    <w:rsid w:val="00A1184A"/>
    <w:rsid w:val="00A5315A"/>
    <w:rsid w:val="00A82995"/>
    <w:rsid w:val="00A97D9D"/>
    <w:rsid w:val="00AB5949"/>
    <w:rsid w:val="00B17133"/>
    <w:rsid w:val="00B321AA"/>
    <w:rsid w:val="00B5332A"/>
    <w:rsid w:val="00BB3EBB"/>
    <w:rsid w:val="00BB6F5A"/>
    <w:rsid w:val="00BF3D94"/>
    <w:rsid w:val="00C112E5"/>
    <w:rsid w:val="00C3161A"/>
    <w:rsid w:val="00C93F9A"/>
    <w:rsid w:val="00CC7E4E"/>
    <w:rsid w:val="00D12C6E"/>
    <w:rsid w:val="00D47350"/>
    <w:rsid w:val="00D65435"/>
    <w:rsid w:val="00D75D68"/>
    <w:rsid w:val="00D87216"/>
    <w:rsid w:val="00E005E4"/>
    <w:rsid w:val="00E30562"/>
    <w:rsid w:val="00E4351A"/>
    <w:rsid w:val="00E83285"/>
    <w:rsid w:val="00F068C7"/>
    <w:rsid w:val="00F234C7"/>
    <w:rsid w:val="00F42A90"/>
    <w:rsid w:val="00F466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003A"/>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3166">
      <w:bodyDiv w:val="1"/>
      <w:marLeft w:val="0"/>
      <w:marRight w:val="0"/>
      <w:marTop w:val="0"/>
      <w:marBottom w:val="0"/>
      <w:divBdr>
        <w:top w:val="none" w:sz="0" w:space="0" w:color="auto"/>
        <w:left w:val="none" w:sz="0" w:space="0" w:color="auto"/>
        <w:bottom w:val="none" w:sz="0" w:space="0" w:color="auto"/>
        <w:right w:val="none" w:sz="0" w:space="0" w:color="auto"/>
      </w:divBdr>
    </w:div>
    <w:div w:id="214003803">
      <w:bodyDiv w:val="1"/>
      <w:marLeft w:val="0"/>
      <w:marRight w:val="0"/>
      <w:marTop w:val="0"/>
      <w:marBottom w:val="0"/>
      <w:divBdr>
        <w:top w:val="none" w:sz="0" w:space="0" w:color="auto"/>
        <w:left w:val="none" w:sz="0" w:space="0" w:color="auto"/>
        <w:bottom w:val="none" w:sz="0" w:space="0" w:color="auto"/>
        <w:right w:val="none" w:sz="0" w:space="0" w:color="auto"/>
      </w:divBdr>
    </w:div>
    <w:div w:id="239950237">
      <w:bodyDiv w:val="1"/>
      <w:marLeft w:val="0"/>
      <w:marRight w:val="0"/>
      <w:marTop w:val="0"/>
      <w:marBottom w:val="0"/>
      <w:divBdr>
        <w:top w:val="none" w:sz="0" w:space="0" w:color="auto"/>
        <w:left w:val="none" w:sz="0" w:space="0" w:color="auto"/>
        <w:bottom w:val="none" w:sz="0" w:space="0" w:color="auto"/>
        <w:right w:val="none" w:sz="0" w:space="0" w:color="auto"/>
      </w:divBdr>
    </w:div>
    <w:div w:id="772212328">
      <w:bodyDiv w:val="1"/>
      <w:marLeft w:val="0"/>
      <w:marRight w:val="0"/>
      <w:marTop w:val="0"/>
      <w:marBottom w:val="0"/>
      <w:divBdr>
        <w:top w:val="none" w:sz="0" w:space="0" w:color="auto"/>
        <w:left w:val="none" w:sz="0" w:space="0" w:color="auto"/>
        <w:bottom w:val="none" w:sz="0" w:space="0" w:color="auto"/>
        <w:right w:val="none" w:sz="0" w:space="0" w:color="auto"/>
      </w:divBdr>
    </w:div>
    <w:div w:id="870415914">
      <w:bodyDiv w:val="1"/>
      <w:marLeft w:val="0"/>
      <w:marRight w:val="0"/>
      <w:marTop w:val="0"/>
      <w:marBottom w:val="0"/>
      <w:divBdr>
        <w:top w:val="none" w:sz="0" w:space="0" w:color="auto"/>
        <w:left w:val="none" w:sz="0" w:space="0" w:color="auto"/>
        <w:bottom w:val="none" w:sz="0" w:space="0" w:color="auto"/>
        <w:right w:val="none" w:sz="0" w:space="0" w:color="auto"/>
      </w:divBdr>
    </w:div>
    <w:div w:id="923685477">
      <w:bodyDiv w:val="1"/>
      <w:marLeft w:val="0"/>
      <w:marRight w:val="0"/>
      <w:marTop w:val="0"/>
      <w:marBottom w:val="0"/>
      <w:divBdr>
        <w:top w:val="none" w:sz="0" w:space="0" w:color="auto"/>
        <w:left w:val="none" w:sz="0" w:space="0" w:color="auto"/>
        <w:bottom w:val="none" w:sz="0" w:space="0" w:color="auto"/>
        <w:right w:val="none" w:sz="0" w:space="0" w:color="auto"/>
      </w:divBdr>
    </w:div>
    <w:div w:id="1119300901">
      <w:bodyDiv w:val="1"/>
      <w:marLeft w:val="0"/>
      <w:marRight w:val="0"/>
      <w:marTop w:val="0"/>
      <w:marBottom w:val="0"/>
      <w:divBdr>
        <w:top w:val="none" w:sz="0" w:space="0" w:color="auto"/>
        <w:left w:val="none" w:sz="0" w:space="0" w:color="auto"/>
        <w:bottom w:val="none" w:sz="0" w:space="0" w:color="auto"/>
        <w:right w:val="none" w:sz="0" w:space="0" w:color="auto"/>
      </w:divBdr>
    </w:div>
    <w:div w:id="1127818355">
      <w:bodyDiv w:val="1"/>
      <w:marLeft w:val="0"/>
      <w:marRight w:val="0"/>
      <w:marTop w:val="0"/>
      <w:marBottom w:val="0"/>
      <w:divBdr>
        <w:top w:val="none" w:sz="0" w:space="0" w:color="auto"/>
        <w:left w:val="none" w:sz="0" w:space="0" w:color="auto"/>
        <w:bottom w:val="none" w:sz="0" w:space="0" w:color="auto"/>
        <w:right w:val="none" w:sz="0" w:space="0" w:color="auto"/>
      </w:divBdr>
    </w:div>
    <w:div w:id="1581983355">
      <w:bodyDiv w:val="1"/>
      <w:marLeft w:val="0"/>
      <w:marRight w:val="0"/>
      <w:marTop w:val="0"/>
      <w:marBottom w:val="0"/>
      <w:divBdr>
        <w:top w:val="none" w:sz="0" w:space="0" w:color="auto"/>
        <w:left w:val="none" w:sz="0" w:space="0" w:color="auto"/>
        <w:bottom w:val="none" w:sz="0" w:space="0" w:color="auto"/>
        <w:right w:val="none" w:sz="0" w:space="0" w:color="auto"/>
      </w:divBdr>
    </w:div>
    <w:div w:id="1796630225">
      <w:bodyDiv w:val="1"/>
      <w:marLeft w:val="0"/>
      <w:marRight w:val="0"/>
      <w:marTop w:val="0"/>
      <w:marBottom w:val="0"/>
      <w:divBdr>
        <w:top w:val="none" w:sz="0" w:space="0" w:color="auto"/>
        <w:left w:val="none" w:sz="0" w:space="0" w:color="auto"/>
        <w:bottom w:val="none" w:sz="0" w:space="0" w:color="auto"/>
        <w:right w:val="none" w:sz="0" w:space="0" w:color="auto"/>
      </w:divBdr>
    </w:div>
    <w:div w:id="1835534162">
      <w:bodyDiv w:val="1"/>
      <w:marLeft w:val="0"/>
      <w:marRight w:val="0"/>
      <w:marTop w:val="0"/>
      <w:marBottom w:val="0"/>
      <w:divBdr>
        <w:top w:val="none" w:sz="0" w:space="0" w:color="auto"/>
        <w:left w:val="none" w:sz="0" w:space="0" w:color="auto"/>
        <w:bottom w:val="none" w:sz="0" w:space="0" w:color="auto"/>
        <w:right w:val="none" w:sz="0" w:space="0" w:color="auto"/>
      </w:divBdr>
    </w:div>
    <w:div w:id="20436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_analyza_rozpocet_VS"/>
    <f:field ref="objsubject" par="" edit="true" text=""/>
    <f:field ref="objcreatedby" par="" text="Szakácsová, Zuzana, Mgr."/>
    <f:field ref="objcreatedat" par="" text="27.7.2022 16:05:49"/>
    <f:field ref="objchangedby" par="" text="Administrator, System"/>
    <f:field ref="objmodifiedat" par="" text="27.7.2022 16:05: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93C2F7A-41B2-4E45-B9D1-ACCE8E84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6298</Words>
  <Characters>35899</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Földesová Motajová Zuzana</cp:lastModifiedBy>
  <cp:revision>6</cp:revision>
  <cp:lastPrinted>2022-07-26T11:10:00Z</cp:lastPrinted>
  <dcterms:created xsi:type="dcterms:W3CDTF">2022-09-19T12:09:00Z</dcterms:created>
  <dcterms:modified xsi:type="dcterms:W3CDTF">2022-09-19T12:29:00Z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OPOI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Veronika Valeková, LLB</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12:24</vt:lpwstr>
  </property>
  <property fmtid="{D5CDD505-2E9C-101B-9397-08002B2CF9AE}" pid="132" name="FSC#SKEDITIONREG@103.510:curruserrolegroup">
    <vt:lpwstr>Odbor poisťovníctva</vt:lpwstr>
  </property>
  <property fmtid="{D5CDD505-2E9C-101B-9397-08002B2CF9AE}" pid="133" name="FSC#SKEDITIONREG@103.510:currusersubst">
    <vt:lpwstr>Mgr. Zuzana Földesová Motajová, MSc.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Valeková, Veronika, LLB</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OPOI (Odbor poisťovníctva)</vt:lpwstr>
  </property>
  <property fmtid="{D5CDD505-2E9C-101B-9397-08002B2CF9AE}" pid="344" name="FSC#COOELAK@1.1001:CreatedAt">
    <vt:lpwstr>26.07.2022</vt:lpwstr>
  </property>
  <property fmtid="{D5CDD505-2E9C-101B-9397-08002B2CF9AE}" pid="345" name="FSC#COOELAK@1.1001:OU">
    <vt:lpwstr>OPOI (Odbor poisťovníctva)</vt:lpwstr>
  </property>
  <property fmtid="{D5CDD505-2E9C-101B-9397-08002B2CF9AE}" pid="346" name="FSC#COOELAK@1.1001:Priority">
    <vt:lpwstr> ()</vt:lpwstr>
  </property>
  <property fmtid="{D5CDD505-2E9C-101B-9397-08002B2CF9AE}" pid="347" name="FSC#COOELAK@1.1001:ObjBarCode">
    <vt:lpwstr>*COO.2289.100.3.551000*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Zuzana.Foldesova Motajova@health.gov.sk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COO.2145.1000.3.5092071</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Príloha všeobecná</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