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53ED" w:rsidRPr="002E32C0" w:rsidTr="006700FC">
        <w:trPr>
          <w:trHeight w:val="566"/>
        </w:trPr>
        <w:tc>
          <w:tcPr>
            <w:tcW w:w="9212" w:type="dxa"/>
            <w:shd w:val="clear" w:color="auto" w:fill="D9D9D9"/>
            <w:vAlign w:val="center"/>
            <w:hideMark/>
          </w:tcPr>
          <w:p w:rsidR="00E653ED" w:rsidRPr="002E32C0" w:rsidRDefault="00E653ED" w:rsidP="006700F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E32C0">
              <w:rPr>
                <w:b/>
                <w:sz w:val="28"/>
                <w:szCs w:val="24"/>
              </w:rPr>
              <w:t>Analýza vplyvov na životné prostredie</w:t>
            </w:r>
          </w:p>
        </w:tc>
      </w:tr>
      <w:tr w:rsidR="00E653ED" w:rsidRPr="002E32C0" w:rsidTr="006700FC">
        <w:trPr>
          <w:trHeight w:val="688"/>
        </w:trPr>
        <w:tc>
          <w:tcPr>
            <w:tcW w:w="9212" w:type="dxa"/>
            <w:shd w:val="clear" w:color="auto" w:fill="D9D9D9"/>
            <w:vAlign w:val="center"/>
            <w:hideMark/>
          </w:tcPr>
          <w:p w:rsidR="00E653ED" w:rsidRPr="002E32C0" w:rsidRDefault="00E653ED" w:rsidP="006700FC">
            <w:pPr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5.1 Ktoré zložky životného prostredia (najmä ovzdušie, voda, horniny, pôda, organizmy) budú predkladaným materiálom ovplyvnené a aký bude ich vplyv ?</w:t>
            </w:r>
          </w:p>
        </w:tc>
      </w:tr>
      <w:tr w:rsidR="00E653ED" w:rsidRPr="002E32C0" w:rsidTr="006700FC">
        <w:trPr>
          <w:trHeight w:val="995"/>
        </w:trPr>
        <w:tc>
          <w:tcPr>
            <w:tcW w:w="9212" w:type="dxa"/>
          </w:tcPr>
          <w:p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F0716D" w:rsidRDefault="00F0716D" w:rsidP="006700FC">
            <w:pPr>
              <w:jc w:val="both"/>
              <w:rPr>
                <w:sz w:val="24"/>
                <w:szCs w:val="24"/>
              </w:rPr>
            </w:pPr>
          </w:p>
          <w:p w:rsidR="00FC49B9" w:rsidRDefault="00F0716D" w:rsidP="00FC49B9">
            <w:pPr>
              <w:adjustRightInd w:val="0"/>
              <w:ind w:firstLine="708"/>
              <w:jc w:val="both"/>
              <w:rPr>
                <w:i/>
                <w:sz w:val="24"/>
                <w:szCs w:val="24"/>
                <w:highlight w:val="cyan"/>
              </w:rPr>
            </w:pPr>
            <w:r w:rsidRPr="00F0716D">
              <w:rPr>
                <w:sz w:val="24"/>
                <w:szCs w:val="24"/>
              </w:rPr>
              <w:t>Návrhom nariadenia vlády SR</w:t>
            </w:r>
            <w:r>
              <w:rPr>
                <w:sz w:val="24"/>
                <w:szCs w:val="24"/>
              </w:rPr>
              <w:t xml:space="preserve"> budú pozitívne ovplyvnené nasledovné zložky životného prostredia – najmä voda (povrchová aj podzemná) </w:t>
            </w:r>
            <w:r w:rsidR="004834DA">
              <w:rPr>
                <w:sz w:val="24"/>
                <w:szCs w:val="24"/>
              </w:rPr>
              <w:t>a pôda.</w:t>
            </w:r>
            <w:r w:rsidRPr="00F0716D">
              <w:rPr>
                <w:sz w:val="24"/>
                <w:szCs w:val="24"/>
              </w:rPr>
              <w:t xml:space="preserve">  </w:t>
            </w:r>
            <w:r w:rsidR="00E653ED" w:rsidRPr="00B56D66">
              <w:rPr>
                <w:sz w:val="24"/>
                <w:szCs w:val="24"/>
              </w:rPr>
              <w:t>Rozsah vplyvu je celoštátny</w:t>
            </w:r>
            <w:r w:rsidR="00AC7669">
              <w:rPr>
                <w:sz w:val="24"/>
                <w:szCs w:val="24"/>
              </w:rPr>
              <w:t>, všade tam, kde už sú povolené a prevádzkované malé čistiarne odpadových vôd aj tam, kde budú povoľované v budúcnosti</w:t>
            </w:r>
            <w:r w:rsidR="00E653ED" w:rsidRPr="00B56D66">
              <w:rPr>
                <w:sz w:val="24"/>
                <w:szCs w:val="24"/>
              </w:rPr>
              <w:t>. Vplyv bude priamy pozitívny</w:t>
            </w:r>
            <w:r w:rsidR="00AC7669" w:rsidRPr="00FC49B9">
              <w:rPr>
                <w:sz w:val="24"/>
                <w:szCs w:val="24"/>
              </w:rPr>
              <w:t>.</w:t>
            </w:r>
            <w:r w:rsidR="00FC49B9">
              <w:rPr>
                <w:sz w:val="24"/>
                <w:szCs w:val="24"/>
                <w:lang w:val="en-US"/>
              </w:rPr>
              <w:t xml:space="preserve"> Návrhom </w:t>
            </w:r>
            <w:r w:rsidR="00FC49B9">
              <w:rPr>
                <w:sz w:val="24"/>
                <w:szCs w:val="24"/>
              </w:rPr>
              <w:t>nariadenia vlády je doplnený a precizovaný proces povoľovania, zriaďovania a kontroly prevádzkovania malých ČOV do 50 EO, ktoré sa realizujú v prípadoch, ak nie je možné z technických a ekologických dôvodov alebo neprimerane vysokých nákladov vybudovanie verejnej kanalizácie v krátkodobom horizonte a ani nie je predpoklad budovania verejnej kanalizácie v danej oblasti, alebo pripojenie na prevádzkovanú verejnú kanalizáciu je z technického hľadiska komplikované, alebo finančne neprimerane nákladné, alebo to nedovoľujú miestne pomery.</w:t>
            </w:r>
          </w:p>
          <w:p w:rsidR="00E653ED" w:rsidRDefault="0062315C" w:rsidP="00670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Zavádza sa t</w:t>
            </w:r>
            <w:r w:rsidRPr="0062315C">
              <w:rPr>
                <w:sz w:val="24"/>
                <w:szCs w:val="24"/>
              </w:rPr>
              <w:t xml:space="preserve">echnická revízia malej čistiarne odpadových vôd do 50 EO </w:t>
            </w:r>
            <w:r>
              <w:rPr>
                <w:sz w:val="24"/>
                <w:szCs w:val="24"/>
              </w:rPr>
              <w:t>ako</w:t>
            </w:r>
            <w:r w:rsidRPr="0062315C">
              <w:rPr>
                <w:sz w:val="24"/>
                <w:szCs w:val="24"/>
              </w:rPr>
              <w:t xml:space="preserve"> nový nástroj kontroly na zabezpečenie odborného prevádzkovania prostredníctvom oprávnenej osoby – revízneho technika, t. j. aby sa predišlo prípadnému ohrozeniu životného prostredia napr. neodbornou alebo zanedbanou údržbou a prevádzkou malej ČOV do 50 EO, prípadne s nakladaním s kalom vznikajúcim v predmetnej ČOV. Technickú revíziu vykonáva revízny technik v intervale určenom </w:t>
            </w:r>
            <w:r>
              <w:rPr>
                <w:sz w:val="24"/>
                <w:szCs w:val="24"/>
              </w:rPr>
              <w:t>nariadením vlády</w:t>
            </w:r>
            <w:r w:rsidRPr="0062315C">
              <w:rPr>
                <w:sz w:val="24"/>
                <w:szCs w:val="24"/>
              </w:rPr>
              <w:t>.  Revízny technik zistí skutkový fyzický stav malej čistiarne odpadových vôd do 50 EO vrátane všetkých pridružených objektov (napr. výustný objekt, vsakovacie zariadenie, atď.).</w:t>
            </w:r>
            <w:r>
              <w:rPr>
                <w:sz w:val="24"/>
                <w:szCs w:val="24"/>
              </w:rPr>
              <w:t xml:space="preserve"> </w:t>
            </w:r>
            <w:r w:rsidRPr="0062315C">
              <w:rPr>
                <w:sz w:val="24"/>
                <w:szCs w:val="24"/>
              </w:rPr>
              <w:t>Kontroluje spôsob prevádzkovania a dosiahnuté výsledky odberu vzoriek v porovnaní s limitnými hodnotami ukazovateľov v rozhodnutí OŠVS. Takisto sa kontroluje vedenie prevádzkového denníka, kde má byť zaznamenaný každý vývoz kalu z malej ČOV.</w:t>
            </w:r>
          </w:p>
          <w:p w:rsidR="00EA0738" w:rsidRPr="00B56D66" w:rsidRDefault="00EA0738" w:rsidP="006700FC">
            <w:pPr>
              <w:jc w:val="both"/>
              <w:rPr>
                <w:sz w:val="24"/>
                <w:szCs w:val="24"/>
              </w:rPr>
            </w:pPr>
          </w:p>
        </w:tc>
      </w:tr>
      <w:tr w:rsidR="00E653ED" w:rsidRPr="002E32C0" w:rsidTr="006700FC">
        <w:trPr>
          <w:trHeight w:val="404"/>
        </w:trPr>
        <w:tc>
          <w:tcPr>
            <w:tcW w:w="9212" w:type="dxa"/>
            <w:shd w:val="clear" w:color="auto" w:fill="D9D9D9"/>
            <w:vAlign w:val="center"/>
            <w:hideMark/>
          </w:tcPr>
          <w:p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E653ED" w:rsidRPr="002E32C0" w:rsidTr="006700FC">
        <w:trPr>
          <w:trHeight w:val="987"/>
        </w:trPr>
        <w:tc>
          <w:tcPr>
            <w:tcW w:w="9212" w:type="dxa"/>
          </w:tcPr>
          <w:p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EA0738" w:rsidRPr="00B56D66" w:rsidRDefault="00E653ED" w:rsidP="00F2259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 xml:space="preserve">Vplyv bude priamy pozitívny. </w:t>
            </w:r>
            <w:r w:rsidR="00FC49B9">
              <w:rPr>
                <w:sz w:val="24"/>
                <w:szCs w:val="24"/>
              </w:rPr>
              <w:t>Návrh d</w:t>
            </w:r>
            <w:r w:rsidR="00FC49B9" w:rsidRPr="00FC49B9">
              <w:rPr>
                <w:sz w:val="24"/>
                <w:szCs w:val="24"/>
              </w:rPr>
              <w:t>efinuje 5 základných kategórií malých ČOV do 50 EO podľa prílohy č.</w:t>
            </w:r>
            <w:r w:rsidR="00FC49B9">
              <w:rPr>
                <w:sz w:val="24"/>
                <w:szCs w:val="24"/>
              </w:rPr>
              <w:t xml:space="preserve"> </w:t>
            </w:r>
            <w:r w:rsidR="00FC49B9" w:rsidRPr="00FC49B9">
              <w:rPr>
                <w:sz w:val="24"/>
                <w:szCs w:val="24"/>
              </w:rPr>
              <w:t>15. časť A. Jednotlivé kategórie sú charakterizované na základe požiadaviek orgánu štátnej vodnej správy  na kvalitu vypúšťaných vôd povrchových resp. podzemných vôd. Kategória I spĺňa základné (minimálne) požiadavky na kvalitu vyčistenej vody. Každá ďalšia kategória musí spĺňať kvalitatívne vyššie požiadavky, ktoré zohľadňujú umiestnenie takejto čistiarne napr. v citlivých oblastiach, v chránených vodohospodárskych oblastiach, so zvýšeným odstraňovaním dusíka resp. fosforu, alebo aj na dodatočnú dezinfekciu vyčistenej vody pre jej prípadnú recykláciu</w:t>
            </w:r>
            <w:r w:rsidR="00F2259C">
              <w:rPr>
                <w:sz w:val="24"/>
                <w:szCs w:val="24"/>
              </w:rPr>
              <w:t>.</w:t>
            </w:r>
            <w:r w:rsidR="00FC49B9" w:rsidRPr="00FC49B9">
              <w:rPr>
                <w:sz w:val="24"/>
                <w:szCs w:val="24"/>
              </w:rPr>
              <w:t xml:space="preserve"> </w:t>
            </w:r>
          </w:p>
        </w:tc>
      </w:tr>
      <w:tr w:rsidR="00E653ED" w:rsidRPr="002E32C0" w:rsidTr="006700FC">
        <w:trPr>
          <w:trHeight w:val="698"/>
        </w:trPr>
        <w:tc>
          <w:tcPr>
            <w:tcW w:w="9212" w:type="dxa"/>
            <w:shd w:val="clear" w:color="auto" w:fill="D9D9D9"/>
            <w:vAlign w:val="center"/>
          </w:tcPr>
          <w:p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 vplyvy na životné prostredie presahujúce štátne hranice? (ktoré zložky a ako budú najviac ovplyvnené)?</w:t>
            </w:r>
          </w:p>
        </w:tc>
      </w:tr>
      <w:tr w:rsidR="00E653ED" w:rsidRPr="002E32C0" w:rsidTr="006700FC">
        <w:trPr>
          <w:trHeight w:val="969"/>
        </w:trPr>
        <w:tc>
          <w:tcPr>
            <w:tcW w:w="9212" w:type="dxa"/>
          </w:tcPr>
          <w:p w:rsidR="00EA0738" w:rsidRDefault="00EA0738" w:rsidP="006700FC">
            <w:pPr>
              <w:jc w:val="both"/>
              <w:rPr>
                <w:i/>
                <w:sz w:val="24"/>
                <w:szCs w:val="24"/>
              </w:rPr>
            </w:pPr>
          </w:p>
          <w:p w:rsidR="00E653ED" w:rsidRDefault="00E653ED" w:rsidP="006700FC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i/>
                <w:sz w:val="24"/>
                <w:szCs w:val="24"/>
              </w:rPr>
              <w:t>Typ, veľkosť a rozsah vplyvu</w:t>
            </w:r>
          </w:p>
          <w:p w:rsidR="00EA0738" w:rsidRPr="00B56D66" w:rsidRDefault="00E653ED" w:rsidP="0062315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 xml:space="preserve">Je nepravdepodobný vplyv </w:t>
            </w:r>
            <w:r w:rsidR="0062315C" w:rsidRPr="0062315C">
              <w:rPr>
                <w:sz w:val="24"/>
                <w:szCs w:val="24"/>
              </w:rPr>
              <w:t>na životné prostredie presahujúce štátne hranice</w:t>
            </w:r>
            <w:r w:rsidR="0062315C">
              <w:rPr>
                <w:sz w:val="24"/>
                <w:szCs w:val="24"/>
              </w:rPr>
              <w:t>.</w:t>
            </w:r>
          </w:p>
        </w:tc>
      </w:tr>
      <w:tr w:rsidR="00E653ED" w:rsidRPr="002E32C0" w:rsidTr="006700FC">
        <w:trPr>
          <w:trHeight w:val="713"/>
        </w:trPr>
        <w:tc>
          <w:tcPr>
            <w:tcW w:w="9212" w:type="dxa"/>
            <w:shd w:val="clear" w:color="auto" w:fill="D9D9D9"/>
            <w:vAlign w:val="center"/>
          </w:tcPr>
          <w:p w:rsidR="00E653ED" w:rsidRPr="002E32C0" w:rsidRDefault="00E653ED" w:rsidP="006700FC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5.4 Aké opatrenia budú prijaté na zmiernenie negatívneho vplyvu na životné prostredie?</w:t>
            </w:r>
          </w:p>
        </w:tc>
      </w:tr>
      <w:tr w:rsidR="00E653ED" w:rsidRPr="002E32C0" w:rsidTr="00EA0738">
        <w:trPr>
          <w:trHeight w:val="626"/>
        </w:trPr>
        <w:tc>
          <w:tcPr>
            <w:tcW w:w="9212" w:type="dxa"/>
            <w:shd w:val="clear" w:color="auto" w:fill="FFFFFF"/>
          </w:tcPr>
          <w:p w:rsidR="00EA0738" w:rsidRDefault="00EA0738" w:rsidP="006700FC">
            <w:pPr>
              <w:jc w:val="both"/>
              <w:rPr>
                <w:sz w:val="24"/>
                <w:szCs w:val="24"/>
              </w:rPr>
            </w:pPr>
          </w:p>
          <w:p w:rsidR="00EA0738" w:rsidRPr="00B56D66" w:rsidRDefault="00E653ED" w:rsidP="00F2259C">
            <w:pPr>
              <w:jc w:val="both"/>
              <w:rPr>
                <w:sz w:val="24"/>
                <w:szCs w:val="24"/>
              </w:rPr>
            </w:pPr>
            <w:r w:rsidRPr="00B56D66">
              <w:rPr>
                <w:sz w:val="24"/>
                <w:szCs w:val="24"/>
              </w:rPr>
              <w:t xml:space="preserve">Negatívne vplyvy sa nepredpokladajú. Naopak návrh </w:t>
            </w:r>
            <w:r w:rsidR="0062315C">
              <w:rPr>
                <w:sz w:val="24"/>
                <w:szCs w:val="24"/>
              </w:rPr>
              <w:t>nariadenia vlády</w:t>
            </w:r>
            <w:r w:rsidRPr="00B56D66">
              <w:rPr>
                <w:sz w:val="24"/>
                <w:szCs w:val="24"/>
              </w:rPr>
              <w:t xml:space="preserve"> má pozitívny vplyv</w:t>
            </w:r>
            <w:r w:rsidR="00F2259C">
              <w:rPr>
                <w:sz w:val="24"/>
                <w:szCs w:val="24"/>
              </w:rPr>
              <w:t xml:space="preserve"> </w:t>
            </w:r>
            <w:r w:rsidR="002F6E1D">
              <w:rPr>
                <w:sz w:val="24"/>
                <w:szCs w:val="24"/>
              </w:rPr>
              <w:t>na ochranu životného prostredia, najmä na oblasť vôd.</w:t>
            </w:r>
          </w:p>
        </w:tc>
      </w:tr>
    </w:tbl>
    <w:p w:rsidR="00E653ED" w:rsidRPr="002E32C0" w:rsidRDefault="00E653ED" w:rsidP="00E653ED">
      <w:pPr>
        <w:jc w:val="center"/>
        <w:rPr>
          <w:sz w:val="24"/>
          <w:szCs w:val="24"/>
        </w:rPr>
      </w:pPr>
    </w:p>
    <w:p w:rsidR="00CB3623" w:rsidRPr="00E653ED" w:rsidRDefault="00CB3623" w:rsidP="00E653ED"/>
    <w:sectPr w:rsidR="00CB3623" w:rsidRPr="00E653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A5" w:rsidRDefault="00C422A5" w:rsidP="00374EDB">
      <w:r>
        <w:separator/>
      </w:r>
    </w:p>
  </w:endnote>
  <w:endnote w:type="continuationSeparator" w:id="0">
    <w:p w:rsidR="00C422A5" w:rsidRDefault="00C422A5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D000B8">
          <w:rPr>
            <w:noProof/>
            <w:sz w:val="22"/>
          </w:rPr>
          <w:t>2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A5" w:rsidRDefault="00C422A5" w:rsidP="00374EDB">
      <w:r>
        <w:separator/>
      </w:r>
    </w:p>
  </w:footnote>
  <w:footnote w:type="continuationSeparator" w:id="0">
    <w:p w:rsidR="00C422A5" w:rsidRDefault="00C422A5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45A1A30"/>
    <w:multiLevelType w:val="hybridMultilevel"/>
    <w:tmpl w:val="74289294"/>
    <w:lvl w:ilvl="0" w:tplc="25BAA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DF1237"/>
    <w:multiLevelType w:val="hybridMultilevel"/>
    <w:tmpl w:val="3DF69A24"/>
    <w:lvl w:ilvl="0" w:tplc="8AE884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20CAE"/>
    <w:rsid w:val="000C7FB8"/>
    <w:rsid w:val="00125A75"/>
    <w:rsid w:val="001A138E"/>
    <w:rsid w:val="002A577E"/>
    <w:rsid w:val="002E32C0"/>
    <w:rsid w:val="002F6E1D"/>
    <w:rsid w:val="00374E76"/>
    <w:rsid w:val="00374EDB"/>
    <w:rsid w:val="00380C23"/>
    <w:rsid w:val="003D62D1"/>
    <w:rsid w:val="00411DA6"/>
    <w:rsid w:val="00413E9A"/>
    <w:rsid w:val="0041647A"/>
    <w:rsid w:val="004834DA"/>
    <w:rsid w:val="004E74C6"/>
    <w:rsid w:val="0058512A"/>
    <w:rsid w:val="005C5AE9"/>
    <w:rsid w:val="0062315C"/>
    <w:rsid w:val="006304FA"/>
    <w:rsid w:val="00652DE3"/>
    <w:rsid w:val="00702CAB"/>
    <w:rsid w:val="0070510B"/>
    <w:rsid w:val="007529EE"/>
    <w:rsid w:val="007604EE"/>
    <w:rsid w:val="007629F8"/>
    <w:rsid w:val="007A6BA5"/>
    <w:rsid w:val="00812238"/>
    <w:rsid w:val="009F5A78"/>
    <w:rsid w:val="00A96EDF"/>
    <w:rsid w:val="00AC7669"/>
    <w:rsid w:val="00B62BD8"/>
    <w:rsid w:val="00B97D09"/>
    <w:rsid w:val="00C34D0F"/>
    <w:rsid w:val="00C35DCA"/>
    <w:rsid w:val="00C422A5"/>
    <w:rsid w:val="00CB3623"/>
    <w:rsid w:val="00D000B8"/>
    <w:rsid w:val="00D1448D"/>
    <w:rsid w:val="00D20E53"/>
    <w:rsid w:val="00E13AA4"/>
    <w:rsid w:val="00E653ED"/>
    <w:rsid w:val="00EA0738"/>
    <w:rsid w:val="00F0716D"/>
    <w:rsid w:val="00F2259C"/>
    <w:rsid w:val="00FA3CDB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50F2-06F3-44DE-B7AA-E6F558FD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1A138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144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48D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48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4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48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Rozborilová Monika</cp:lastModifiedBy>
  <cp:revision>2</cp:revision>
  <dcterms:created xsi:type="dcterms:W3CDTF">2021-12-27T12:13:00Z</dcterms:created>
  <dcterms:modified xsi:type="dcterms:W3CDTF">2021-12-27T12:13:00Z</dcterms:modified>
</cp:coreProperties>
</file>