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EC" w:rsidRPr="00B37C17" w:rsidRDefault="00D85DEC" w:rsidP="00D85DEC">
      <w:pPr>
        <w:pStyle w:val="Nzov"/>
        <w:widowControl w:val="0"/>
        <w:rPr>
          <w:b w:val="0"/>
        </w:rPr>
      </w:pPr>
      <w:r w:rsidRPr="00B37C17">
        <w:rPr>
          <w:b w:val="0"/>
        </w:rPr>
        <w:t>BEZPEČNOSTNÁ RADA SLOVENSKEJ REPUBLIKY</w:t>
      </w:r>
    </w:p>
    <w:p w:rsidR="00D85DEC" w:rsidRDefault="007B0F21" w:rsidP="00D85DEC">
      <w:pPr>
        <w:pStyle w:val="Pta"/>
        <w:widowControl w:val="0"/>
        <w:tabs>
          <w:tab w:val="clear" w:pos="4536"/>
          <w:tab w:val="clear" w:pos="9072"/>
        </w:tabs>
        <w:jc w:val="center"/>
        <w:rPr>
          <w:lang w:eastAsia="cs-CZ"/>
        </w:rPr>
      </w:pPr>
      <w:r>
        <w:rPr>
          <w:noProof/>
        </w:rPr>
        <w:object w:dxaOrig="1440" w:dyaOrig="1440" w14:anchorId="7EEE4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25pt;margin-top:9.2pt;width:54pt;height:63pt;z-index:251658240;visibility:visible;mso-wrap-edited:f">
            <v:imagedata r:id="rId5" o:title=""/>
            <w10:wrap type="topAndBottom"/>
          </v:shape>
          <o:OLEObject Type="Embed" ProgID="Word.Picture.8" ShapeID="_x0000_s1026" DrawAspect="Content" ObjectID="_1719315760" r:id="rId6"/>
        </w:object>
      </w:r>
    </w:p>
    <w:p w:rsidR="00D85DEC" w:rsidRDefault="00D85DEC" w:rsidP="00D85DEC">
      <w:pPr>
        <w:pStyle w:val="Pta"/>
        <w:widowControl w:val="0"/>
        <w:tabs>
          <w:tab w:val="clear" w:pos="4536"/>
          <w:tab w:val="clear" w:pos="9072"/>
        </w:tabs>
        <w:jc w:val="center"/>
        <w:rPr>
          <w:lang w:eastAsia="cs-CZ"/>
        </w:rPr>
      </w:pPr>
      <w:r w:rsidRPr="00680F5C">
        <w:rPr>
          <w:lang w:eastAsia="cs-CZ"/>
        </w:rPr>
        <w:t>(Návrh)</w:t>
      </w:r>
    </w:p>
    <w:p w:rsidR="00D85DEC" w:rsidRDefault="00D85DEC" w:rsidP="00D85DEC">
      <w:pPr>
        <w:pStyle w:val="Pta"/>
        <w:widowControl w:val="0"/>
        <w:tabs>
          <w:tab w:val="clear" w:pos="4536"/>
          <w:tab w:val="clear" w:pos="9072"/>
        </w:tabs>
        <w:jc w:val="center"/>
        <w:rPr>
          <w:lang w:eastAsia="cs-CZ"/>
        </w:rPr>
      </w:pPr>
    </w:p>
    <w:p w:rsidR="00D85DEC" w:rsidRPr="00680F5C" w:rsidRDefault="00D85DEC" w:rsidP="00D85DEC">
      <w:pPr>
        <w:pStyle w:val="Pta"/>
        <w:widowControl w:val="0"/>
        <w:tabs>
          <w:tab w:val="clear" w:pos="4536"/>
          <w:tab w:val="clear" w:pos="9072"/>
        </w:tabs>
        <w:jc w:val="center"/>
        <w:rPr>
          <w:lang w:eastAsia="cs-CZ"/>
        </w:rPr>
      </w:pPr>
    </w:p>
    <w:p w:rsidR="00D85DEC" w:rsidRPr="00850102" w:rsidRDefault="00D85DEC" w:rsidP="00D85DEC">
      <w:pPr>
        <w:pStyle w:val="Nadpis3"/>
        <w:keepNext w:val="0"/>
        <w:widowControl w:val="0"/>
        <w:spacing w:before="0"/>
        <w:rPr>
          <w:b/>
          <w:bCs/>
          <w:color w:val="000000" w:themeColor="text1"/>
          <w:lang w:eastAsia="cs-CZ"/>
        </w:rPr>
      </w:pPr>
      <w:r>
        <w:rPr>
          <w:color w:val="000000" w:themeColor="text1"/>
          <w:lang w:eastAsia="cs-CZ"/>
        </w:rPr>
        <w:t xml:space="preserve">                                         </w:t>
      </w:r>
      <w:r w:rsidRPr="00850102">
        <w:rPr>
          <w:color w:val="000000" w:themeColor="text1"/>
          <w:lang w:eastAsia="cs-CZ"/>
        </w:rPr>
        <w:t>UZNESENIE</w:t>
      </w:r>
    </w:p>
    <w:p w:rsidR="00D85DEC" w:rsidRPr="00850102" w:rsidRDefault="00D85DEC" w:rsidP="00D85DEC">
      <w:pPr>
        <w:pStyle w:val="Nadpis3"/>
        <w:keepNext w:val="0"/>
        <w:widowControl w:val="0"/>
        <w:rPr>
          <w:b/>
          <w:bCs/>
          <w:color w:val="000000" w:themeColor="text1"/>
        </w:rPr>
      </w:pPr>
      <w:r>
        <w:rPr>
          <w:color w:val="000000" w:themeColor="text1"/>
        </w:rPr>
        <w:t xml:space="preserve">      </w:t>
      </w:r>
      <w:r w:rsidRPr="00850102">
        <w:rPr>
          <w:color w:val="000000" w:themeColor="text1"/>
        </w:rPr>
        <w:t>BEZPEČNOSTNEJ RADY SLOVENSKEJ REPUBLIKY</w:t>
      </w:r>
    </w:p>
    <w:p w:rsidR="00D85DEC" w:rsidRPr="00850102" w:rsidRDefault="00D85DEC" w:rsidP="00D85DEC">
      <w:pPr>
        <w:pStyle w:val="Nzov"/>
        <w:widowControl w:val="0"/>
        <w:spacing w:before="60"/>
        <w:jc w:val="left"/>
        <w:rPr>
          <w:b w:val="0"/>
          <w:color w:val="000000" w:themeColor="text1"/>
        </w:rPr>
      </w:pPr>
    </w:p>
    <w:p w:rsidR="00D85DEC" w:rsidRPr="00850102" w:rsidRDefault="00D85DEC" w:rsidP="00D85DEC">
      <w:pPr>
        <w:pStyle w:val="Nzov"/>
        <w:widowControl w:val="0"/>
        <w:spacing w:before="60"/>
        <w:rPr>
          <w:b w:val="0"/>
          <w:bCs w:val="0"/>
          <w:color w:val="000000" w:themeColor="text1"/>
        </w:rPr>
      </w:pPr>
      <w:r w:rsidRPr="00850102">
        <w:rPr>
          <w:b w:val="0"/>
          <w:bCs w:val="0"/>
          <w:color w:val="000000" w:themeColor="text1"/>
        </w:rPr>
        <w:t>č.</w:t>
      </w:r>
    </w:p>
    <w:p w:rsidR="00D85DEC" w:rsidRPr="000F5765" w:rsidRDefault="00D85DEC" w:rsidP="00D85DEC">
      <w:pPr>
        <w:pStyle w:val="Nzov"/>
        <w:widowControl w:val="0"/>
        <w:spacing w:before="60"/>
        <w:rPr>
          <w:b w:val="0"/>
          <w:color w:val="000000" w:themeColor="text1"/>
          <w:lang w:val="sk-SK"/>
        </w:rPr>
      </w:pPr>
      <w:r w:rsidRPr="00850102">
        <w:rPr>
          <w:b w:val="0"/>
          <w:color w:val="000000" w:themeColor="text1"/>
        </w:rPr>
        <w:t>z ........................ 20</w:t>
      </w:r>
      <w:r>
        <w:rPr>
          <w:b w:val="0"/>
          <w:color w:val="000000" w:themeColor="text1"/>
          <w:lang w:val="sk-SK"/>
        </w:rPr>
        <w:t>22</w:t>
      </w:r>
    </w:p>
    <w:p w:rsidR="00D85DEC" w:rsidRPr="00850102" w:rsidRDefault="00D85DEC" w:rsidP="00D85DEC">
      <w:pPr>
        <w:widowControl w:val="0"/>
        <w:rPr>
          <w:rFonts w:ascii="Times New Roman" w:hAnsi="Times New Roman" w:cs="Times New Roman"/>
          <w:color w:val="000000" w:themeColor="text1"/>
          <w:sz w:val="24"/>
          <w:szCs w:val="24"/>
        </w:rPr>
      </w:pPr>
    </w:p>
    <w:p w:rsidR="007B0F21" w:rsidRPr="007B0F21" w:rsidRDefault="00D85DEC" w:rsidP="007B0F21">
      <w:pPr>
        <w:widowControl w:val="0"/>
        <w:jc w:val="center"/>
        <w:rPr>
          <w:rFonts w:ascii="Times New Roman" w:hAnsi="Times New Roman" w:cs="Times New Roman"/>
          <w:b/>
          <w:color w:val="000000" w:themeColor="text1"/>
          <w:sz w:val="24"/>
          <w:szCs w:val="24"/>
        </w:rPr>
      </w:pPr>
      <w:r w:rsidRPr="007B0F21">
        <w:rPr>
          <w:rFonts w:ascii="Times New Roman" w:hAnsi="Times New Roman" w:cs="Times New Roman"/>
          <w:b/>
          <w:color w:val="000000" w:themeColor="text1"/>
          <w:sz w:val="24"/>
          <w:szCs w:val="24"/>
        </w:rPr>
        <w:t xml:space="preserve">k </w:t>
      </w:r>
      <w:r w:rsidRPr="00850102">
        <w:rPr>
          <w:rFonts w:ascii="Times New Roman" w:hAnsi="Times New Roman" w:cs="Times New Roman"/>
          <w:b/>
          <w:color w:val="000000" w:themeColor="text1"/>
          <w:sz w:val="24"/>
          <w:szCs w:val="24"/>
        </w:rPr>
        <w:t xml:space="preserve">návrhu </w:t>
      </w:r>
      <w:r w:rsidR="007B0F21">
        <w:rPr>
          <w:rFonts w:ascii="Times New Roman" w:hAnsi="Times New Roman" w:cs="Times New Roman"/>
          <w:b/>
          <w:color w:val="000000" w:themeColor="text1"/>
          <w:sz w:val="24"/>
          <w:szCs w:val="24"/>
        </w:rPr>
        <w:t xml:space="preserve"> </w:t>
      </w:r>
      <w:r w:rsidR="007B0F21" w:rsidRPr="007B0F21">
        <w:rPr>
          <w:rFonts w:ascii="Times New Roman" w:hAnsi="Times New Roman" w:cs="Times New Roman"/>
          <w:b/>
          <w:color w:val="000000" w:themeColor="text1"/>
          <w:sz w:val="24"/>
          <w:szCs w:val="24"/>
        </w:rPr>
        <w:t>zákona, ktorým sa mení a dopĺňa zákon č. 321/2002 Z. z. o ozbrojených silách Slovenskej republiky v znení neskorších predpisov a ktorým sa mení a dopĺňa zákon č. 124/1992 Zb. o Vojenskej polícii v znení neskorších predpisov</w:t>
      </w:r>
    </w:p>
    <w:tbl>
      <w:tblPr>
        <w:tblW w:w="0" w:type="auto"/>
        <w:jc w:val="center"/>
        <w:tblBorders>
          <w:bottom w:val="single" w:sz="4" w:space="0" w:color="auto"/>
        </w:tblBorders>
        <w:tblCellMar>
          <w:left w:w="70" w:type="dxa"/>
          <w:right w:w="70" w:type="dxa"/>
        </w:tblCellMar>
        <w:tblLook w:val="00A0" w:firstRow="1" w:lastRow="0" w:firstColumn="1" w:lastColumn="0" w:noHBand="0" w:noVBand="0"/>
      </w:tblPr>
      <w:tblGrid>
        <w:gridCol w:w="1715"/>
        <w:gridCol w:w="7340"/>
      </w:tblGrid>
      <w:tr w:rsidR="00D85DEC" w:rsidRPr="00850102" w:rsidTr="00CD420A">
        <w:trPr>
          <w:jc w:val="center"/>
        </w:trPr>
        <w:tc>
          <w:tcPr>
            <w:tcW w:w="1715" w:type="dxa"/>
            <w:tcBorders>
              <w:top w:val="nil"/>
              <w:left w:val="nil"/>
              <w:bottom w:val="nil"/>
              <w:right w:val="nil"/>
            </w:tcBorders>
          </w:tcPr>
          <w:p w:rsidR="00D85DEC" w:rsidRPr="00850102" w:rsidRDefault="00D85DEC" w:rsidP="00CD420A">
            <w:pPr>
              <w:widowControl w:val="0"/>
              <w:spacing w:before="112" w:after="112"/>
              <w:ind w:left="-73"/>
              <w:jc w:val="both"/>
              <w:rPr>
                <w:rFonts w:ascii="Times New Roman" w:hAnsi="Times New Roman" w:cs="Times New Roman"/>
                <w:color w:val="000000" w:themeColor="text1"/>
                <w:sz w:val="24"/>
                <w:szCs w:val="24"/>
              </w:rPr>
            </w:pPr>
            <w:r w:rsidRPr="00850102">
              <w:rPr>
                <w:rFonts w:ascii="Times New Roman" w:hAnsi="Times New Roman" w:cs="Times New Roman"/>
                <w:color w:val="000000" w:themeColor="text1"/>
                <w:sz w:val="24"/>
                <w:szCs w:val="24"/>
              </w:rPr>
              <w:t>Číslo materiálu:</w:t>
            </w:r>
          </w:p>
        </w:tc>
        <w:tc>
          <w:tcPr>
            <w:tcW w:w="7340" w:type="dxa"/>
            <w:tcBorders>
              <w:top w:val="nil"/>
              <w:left w:val="nil"/>
              <w:bottom w:val="nil"/>
              <w:right w:val="nil"/>
            </w:tcBorders>
          </w:tcPr>
          <w:p w:rsidR="00D85DEC" w:rsidRPr="00850102" w:rsidRDefault="00D85DEC" w:rsidP="00CD420A">
            <w:pPr>
              <w:widowControl w:val="0"/>
              <w:spacing w:before="112" w:after="112"/>
              <w:jc w:val="both"/>
              <w:rPr>
                <w:rFonts w:ascii="Times New Roman" w:hAnsi="Times New Roman" w:cs="Times New Roman"/>
                <w:color w:val="000000" w:themeColor="text1"/>
                <w:sz w:val="24"/>
                <w:szCs w:val="24"/>
              </w:rPr>
            </w:pPr>
          </w:p>
        </w:tc>
      </w:tr>
      <w:tr w:rsidR="00D85DEC" w:rsidRPr="00850102" w:rsidTr="00CD420A">
        <w:trPr>
          <w:jc w:val="center"/>
        </w:trPr>
        <w:tc>
          <w:tcPr>
            <w:tcW w:w="1715" w:type="dxa"/>
            <w:tcBorders>
              <w:top w:val="nil"/>
              <w:left w:val="nil"/>
              <w:bottom w:val="single" w:sz="4" w:space="0" w:color="auto"/>
              <w:right w:val="nil"/>
            </w:tcBorders>
          </w:tcPr>
          <w:p w:rsidR="00D85DEC" w:rsidRPr="00850102" w:rsidRDefault="00D85DEC" w:rsidP="00CD420A">
            <w:pPr>
              <w:widowControl w:val="0"/>
              <w:spacing w:before="112" w:after="112"/>
              <w:ind w:left="-73"/>
              <w:jc w:val="both"/>
              <w:rPr>
                <w:rFonts w:ascii="Times New Roman" w:hAnsi="Times New Roman" w:cs="Times New Roman"/>
                <w:color w:val="000000" w:themeColor="text1"/>
                <w:sz w:val="24"/>
                <w:szCs w:val="24"/>
              </w:rPr>
            </w:pPr>
            <w:r w:rsidRPr="00850102">
              <w:rPr>
                <w:rFonts w:ascii="Times New Roman" w:hAnsi="Times New Roman" w:cs="Times New Roman"/>
                <w:color w:val="000000" w:themeColor="text1"/>
                <w:sz w:val="24"/>
                <w:szCs w:val="24"/>
              </w:rPr>
              <w:t>Predkladateľ:</w:t>
            </w:r>
          </w:p>
        </w:tc>
        <w:tc>
          <w:tcPr>
            <w:tcW w:w="7340" w:type="dxa"/>
            <w:tcBorders>
              <w:top w:val="nil"/>
              <w:left w:val="nil"/>
              <w:bottom w:val="single" w:sz="4" w:space="0" w:color="auto"/>
              <w:right w:val="nil"/>
            </w:tcBorders>
          </w:tcPr>
          <w:p w:rsidR="00D85DEC" w:rsidRPr="00850102" w:rsidRDefault="00D85DEC" w:rsidP="00CD420A">
            <w:pPr>
              <w:widowControl w:val="0"/>
              <w:spacing w:before="112" w:after="112"/>
              <w:jc w:val="both"/>
              <w:rPr>
                <w:rFonts w:ascii="Times New Roman" w:hAnsi="Times New Roman" w:cs="Times New Roman"/>
                <w:color w:val="000000" w:themeColor="text1"/>
                <w:sz w:val="24"/>
                <w:szCs w:val="24"/>
              </w:rPr>
            </w:pPr>
            <w:r w:rsidRPr="00850102">
              <w:rPr>
                <w:rFonts w:ascii="Times New Roman" w:hAnsi="Times New Roman" w:cs="Times New Roman"/>
                <w:color w:val="000000" w:themeColor="text1"/>
                <w:sz w:val="24"/>
                <w:szCs w:val="24"/>
              </w:rPr>
              <w:t>minister obrany Slovenskej republiky</w:t>
            </w:r>
          </w:p>
        </w:tc>
      </w:tr>
    </w:tbl>
    <w:p w:rsidR="00D85DEC" w:rsidRPr="00850102" w:rsidRDefault="00D85DEC" w:rsidP="00D85DEC">
      <w:pPr>
        <w:widowControl w:val="0"/>
        <w:jc w:val="both"/>
        <w:rPr>
          <w:rFonts w:ascii="Times New Roman" w:hAnsi="Times New Roman" w:cs="Times New Roman"/>
          <w:color w:val="000000" w:themeColor="text1"/>
          <w:sz w:val="24"/>
          <w:szCs w:val="24"/>
        </w:rPr>
      </w:pPr>
    </w:p>
    <w:p w:rsidR="00D85DEC" w:rsidRPr="0020604A" w:rsidRDefault="00D85DEC" w:rsidP="00D85DEC">
      <w:pPr>
        <w:pStyle w:val="Nadpis2"/>
        <w:widowControl w:val="0"/>
        <w:numPr>
          <w:ilvl w:val="0"/>
          <w:numId w:val="0"/>
        </w:numPr>
        <w:rPr>
          <w:b/>
          <w:bCs/>
          <w:i/>
          <w:iCs/>
          <w:color w:val="000000" w:themeColor="text1"/>
        </w:rPr>
      </w:pPr>
      <w:r>
        <w:rPr>
          <w:color w:val="000000" w:themeColor="text1"/>
        </w:rPr>
        <w:t xml:space="preserve">      </w:t>
      </w:r>
      <w:r w:rsidRPr="0020604A">
        <w:rPr>
          <w:b/>
          <w:color w:val="000000" w:themeColor="text1"/>
        </w:rPr>
        <w:t>Bezpečnostná rada</w:t>
      </w:r>
      <w:r>
        <w:rPr>
          <w:b/>
          <w:color w:val="000000" w:themeColor="text1"/>
        </w:rPr>
        <w:t xml:space="preserve"> SR</w:t>
      </w:r>
    </w:p>
    <w:p w:rsidR="00D85DEC" w:rsidRPr="00850102" w:rsidRDefault="00D85DEC" w:rsidP="00D85DEC">
      <w:pPr>
        <w:pStyle w:val="Zarkazkladnhotextu"/>
        <w:widowControl w:val="0"/>
        <w:ind w:left="0"/>
        <w:rPr>
          <w:rFonts w:ascii="Times New Roman" w:hAnsi="Times New Roman"/>
          <w:bCs w:val="0"/>
          <w:snapToGrid w:val="0"/>
          <w:color w:val="000000" w:themeColor="text1"/>
        </w:rPr>
      </w:pPr>
    </w:p>
    <w:p w:rsidR="00D85DEC" w:rsidRPr="00850102" w:rsidRDefault="00D85DEC" w:rsidP="00D85DEC">
      <w:pPr>
        <w:pStyle w:val="Zarkazkladnhotextu"/>
        <w:widowControl w:val="0"/>
        <w:numPr>
          <w:ilvl w:val="0"/>
          <w:numId w:val="2"/>
        </w:numPr>
        <w:ind w:left="397" w:hanging="397"/>
        <w:rPr>
          <w:rFonts w:ascii="Times New Roman" w:hAnsi="Times New Roman"/>
          <w:b/>
          <w:snapToGrid w:val="0"/>
          <w:color w:val="000000" w:themeColor="text1"/>
        </w:rPr>
      </w:pPr>
      <w:r w:rsidRPr="00850102">
        <w:rPr>
          <w:rFonts w:ascii="Times New Roman" w:hAnsi="Times New Roman"/>
          <w:b/>
          <w:snapToGrid w:val="0"/>
          <w:color w:val="000000" w:themeColor="text1"/>
        </w:rPr>
        <w:t>súhlasí</w:t>
      </w:r>
    </w:p>
    <w:p w:rsidR="00D85DEC" w:rsidRPr="00850102" w:rsidRDefault="00D85DEC" w:rsidP="00D85DEC">
      <w:pPr>
        <w:widowControl w:val="0"/>
        <w:spacing w:before="120"/>
        <w:ind w:left="397"/>
        <w:jc w:val="both"/>
        <w:rPr>
          <w:rFonts w:ascii="Times New Roman" w:hAnsi="Times New Roman" w:cs="Times New Roman"/>
          <w:bCs/>
          <w:color w:val="000000" w:themeColor="text1"/>
          <w:sz w:val="24"/>
          <w:szCs w:val="24"/>
        </w:rPr>
      </w:pPr>
      <w:r w:rsidRPr="00850102">
        <w:rPr>
          <w:rFonts w:ascii="Times New Roman" w:hAnsi="Times New Roman" w:cs="Times New Roman"/>
          <w:snapToGrid w:val="0"/>
          <w:color w:val="000000" w:themeColor="text1"/>
          <w:sz w:val="24"/>
          <w:szCs w:val="24"/>
        </w:rPr>
        <w:t xml:space="preserve">s </w:t>
      </w:r>
      <w:r w:rsidRPr="00850102">
        <w:rPr>
          <w:rFonts w:ascii="Times New Roman" w:hAnsi="Times New Roman" w:cs="Times New Roman"/>
          <w:color w:val="000000" w:themeColor="text1"/>
          <w:sz w:val="24"/>
          <w:szCs w:val="24"/>
        </w:rPr>
        <w:t xml:space="preserve">návrhom </w:t>
      </w:r>
      <w:r w:rsidR="007B0F21" w:rsidRPr="007B0F21">
        <w:rPr>
          <w:rFonts w:ascii="Times New Roman" w:hAnsi="Times New Roman" w:cs="Times New Roman"/>
          <w:color w:val="000000" w:themeColor="text1"/>
          <w:sz w:val="24"/>
          <w:szCs w:val="24"/>
        </w:rPr>
        <w:t>zákona, ktorým sa mení a dopĺňa zákon č. 321/2002 Z. z. o ozbrojených silách Slovenskej republiky v znení neskorších predpisov a ktorým sa mení a dopĺňa zákon č. 124/1992 Zb. o Vojenskej polícii v znení neskorších predpisov</w:t>
      </w:r>
      <w:r w:rsidRPr="00850102">
        <w:rPr>
          <w:rFonts w:ascii="Times New Roman" w:hAnsi="Times New Roman" w:cs="Times New Roman"/>
          <w:bCs/>
          <w:color w:val="000000" w:themeColor="text1"/>
          <w:sz w:val="24"/>
          <w:szCs w:val="24"/>
        </w:rPr>
        <w:t>;</w:t>
      </w:r>
    </w:p>
    <w:p w:rsidR="00D85DEC" w:rsidRPr="002416CE" w:rsidRDefault="00D85DEC" w:rsidP="00D85DEC">
      <w:pPr>
        <w:widowControl w:val="0"/>
        <w:jc w:val="both"/>
        <w:rPr>
          <w:rFonts w:ascii="Times New Roman" w:hAnsi="Times New Roman" w:cs="Times New Roman"/>
          <w:b/>
          <w:bCs/>
          <w:color w:val="000000" w:themeColor="text1"/>
          <w:sz w:val="24"/>
          <w:szCs w:val="24"/>
        </w:rPr>
      </w:pPr>
    </w:p>
    <w:p w:rsidR="00D85DEC" w:rsidRDefault="00D85DEC" w:rsidP="00D85DEC">
      <w:pPr>
        <w:pStyle w:val="Zarkazkladnhotextu"/>
        <w:widowControl w:val="0"/>
        <w:numPr>
          <w:ilvl w:val="0"/>
          <w:numId w:val="2"/>
        </w:numPr>
        <w:ind w:left="426" w:hanging="426"/>
        <w:rPr>
          <w:rFonts w:ascii="Times New Roman" w:hAnsi="Times New Roman"/>
          <w:b/>
          <w:snapToGrid w:val="0"/>
          <w:color w:val="000000" w:themeColor="text1"/>
        </w:rPr>
      </w:pPr>
      <w:r w:rsidRPr="002416CE">
        <w:rPr>
          <w:rFonts w:ascii="Times New Roman" w:hAnsi="Times New Roman"/>
          <w:b/>
          <w:snapToGrid w:val="0"/>
          <w:color w:val="000000" w:themeColor="text1"/>
        </w:rPr>
        <w:t>ukladá</w:t>
      </w:r>
      <w:r w:rsidRPr="002416CE">
        <w:rPr>
          <w:rFonts w:ascii="Times New Roman" w:hAnsi="Times New Roman"/>
          <w:snapToGrid w:val="0"/>
          <w:color w:val="000000" w:themeColor="text1"/>
        </w:rPr>
        <w:t xml:space="preserve"> </w:t>
      </w:r>
      <w:r w:rsidRPr="002416CE">
        <w:rPr>
          <w:rFonts w:ascii="Times New Roman" w:hAnsi="Times New Roman"/>
          <w:b/>
          <w:snapToGrid w:val="0"/>
          <w:color w:val="000000" w:themeColor="text1"/>
        </w:rPr>
        <w:t>ministrovi obrany SR</w:t>
      </w:r>
    </w:p>
    <w:p w:rsidR="00D85DEC" w:rsidRPr="002416CE" w:rsidRDefault="00D85DEC" w:rsidP="00D85DEC">
      <w:pPr>
        <w:pStyle w:val="Zarkazkladnhotextu"/>
        <w:widowControl w:val="0"/>
        <w:ind w:left="426"/>
        <w:rPr>
          <w:rFonts w:ascii="Times New Roman" w:hAnsi="Times New Roman"/>
          <w:b/>
          <w:snapToGrid w:val="0"/>
          <w:color w:val="000000" w:themeColor="text1"/>
        </w:rPr>
      </w:pPr>
    </w:p>
    <w:p w:rsidR="00D85DEC" w:rsidRDefault="00D85DEC" w:rsidP="00D85DEC">
      <w:pPr>
        <w:pStyle w:val="Zarkazkladnhotextu"/>
        <w:widowControl w:val="0"/>
        <w:ind w:left="426"/>
        <w:rPr>
          <w:rFonts w:ascii="Times New Roman" w:hAnsi="Times New Roman"/>
          <w:snapToGrid w:val="0"/>
          <w:color w:val="000000" w:themeColor="text1"/>
        </w:rPr>
      </w:pPr>
      <w:r>
        <w:rPr>
          <w:rFonts w:ascii="Times New Roman" w:hAnsi="Times New Roman"/>
          <w:snapToGrid w:val="0"/>
          <w:color w:val="000000" w:themeColor="text1"/>
        </w:rPr>
        <w:t xml:space="preserve">predložiť na rokovanie vlády SR návrh </w:t>
      </w:r>
      <w:r w:rsidR="007B0F21" w:rsidRPr="007B0F21">
        <w:rPr>
          <w:rFonts w:ascii="Times New Roman" w:hAnsi="Times New Roman"/>
          <w:color w:val="000000" w:themeColor="text1"/>
        </w:rPr>
        <w:t>zákona, ktorým sa mení a dopĺňa zákon č. 321/2002 Z. z. o ozbrojených silách Slovenskej republiky v znení neskorších predpisov a ktorým sa mení a dopĺňa zákon č. 124/1992 Zb. o Vojenskej polícii v znení neskorších predpisov</w:t>
      </w:r>
      <w:r w:rsidR="007B0F21">
        <w:rPr>
          <w:rFonts w:ascii="Times New Roman" w:hAnsi="Times New Roman"/>
          <w:color w:val="000000" w:themeColor="text1"/>
        </w:rPr>
        <w:t>,</w:t>
      </w:r>
    </w:p>
    <w:p w:rsidR="00D85DEC" w:rsidRDefault="00D85DEC" w:rsidP="00D85DEC">
      <w:pPr>
        <w:pStyle w:val="Zarkazkladnhotextu"/>
        <w:widowControl w:val="0"/>
        <w:ind w:left="0"/>
        <w:rPr>
          <w:rFonts w:ascii="Times New Roman" w:hAnsi="Times New Roman"/>
          <w:snapToGrid w:val="0"/>
          <w:color w:val="000000" w:themeColor="text1"/>
        </w:rPr>
      </w:pPr>
    </w:p>
    <w:p w:rsidR="00D85DEC" w:rsidRDefault="00D85DEC" w:rsidP="00D85DEC">
      <w:pPr>
        <w:pStyle w:val="Zarkazkladnhotextu"/>
        <w:widowControl w:val="0"/>
        <w:ind w:left="0"/>
        <w:rPr>
          <w:rFonts w:ascii="Times New Roman" w:hAnsi="Times New Roman"/>
          <w:snapToGrid w:val="0"/>
          <w:color w:val="000000" w:themeColor="text1"/>
        </w:rPr>
      </w:pPr>
      <w:r>
        <w:rPr>
          <w:rFonts w:ascii="Times New Roman" w:hAnsi="Times New Roman"/>
          <w:snapToGrid w:val="0"/>
          <w:color w:val="000000" w:themeColor="text1"/>
        </w:rPr>
        <w:t xml:space="preserve">       termín: ihneď po prerokovaní v Bezpečnostnej rade SR</w:t>
      </w:r>
    </w:p>
    <w:p w:rsidR="00D85DEC" w:rsidRDefault="00D85DEC" w:rsidP="00D85DEC">
      <w:pPr>
        <w:pStyle w:val="Zarkazkladnhotextu"/>
        <w:widowControl w:val="0"/>
        <w:ind w:left="0"/>
        <w:rPr>
          <w:rFonts w:ascii="Times New Roman" w:hAnsi="Times New Roman"/>
          <w:snapToGrid w:val="0"/>
          <w:color w:val="000000" w:themeColor="text1"/>
        </w:rPr>
      </w:pPr>
    </w:p>
    <w:p w:rsidR="00D85DEC" w:rsidRPr="00850102" w:rsidRDefault="00D85DEC" w:rsidP="00D85DEC">
      <w:pPr>
        <w:pStyle w:val="Zarkazkladnhotextu"/>
        <w:widowControl w:val="0"/>
        <w:ind w:left="0"/>
        <w:rPr>
          <w:rFonts w:ascii="Times New Roman" w:hAnsi="Times New Roman"/>
          <w:snapToGrid w:val="0"/>
          <w:color w:val="000000" w:themeColor="text1"/>
        </w:rPr>
      </w:pPr>
    </w:p>
    <w:p w:rsidR="00D85DEC" w:rsidRPr="00850102" w:rsidRDefault="00D85DEC" w:rsidP="00D85DEC">
      <w:pPr>
        <w:pStyle w:val="Zarkazkladnhotextu"/>
        <w:widowControl w:val="0"/>
        <w:numPr>
          <w:ilvl w:val="0"/>
          <w:numId w:val="2"/>
        </w:numPr>
        <w:ind w:left="397" w:hanging="397"/>
        <w:rPr>
          <w:rFonts w:ascii="Times New Roman" w:hAnsi="Times New Roman"/>
          <w:b/>
          <w:snapToGrid w:val="0"/>
          <w:color w:val="000000" w:themeColor="text1"/>
        </w:rPr>
      </w:pPr>
      <w:r w:rsidRPr="00850102">
        <w:rPr>
          <w:rFonts w:ascii="Times New Roman" w:hAnsi="Times New Roman"/>
          <w:b/>
          <w:snapToGrid w:val="0"/>
          <w:color w:val="000000" w:themeColor="text1"/>
        </w:rPr>
        <w:t>odporúča vláde</w:t>
      </w:r>
      <w:r>
        <w:rPr>
          <w:rFonts w:ascii="Times New Roman" w:hAnsi="Times New Roman"/>
          <w:b/>
          <w:snapToGrid w:val="0"/>
          <w:color w:val="000000" w:themeColor="text1"/>
        </w:rPr>
        <w:t xml:space="preserve"> SR</w:t>
      </w:r>
    </w:p>
    <w:p w:rsidR="00D85DEC" w:rsidRPr="00850102" w:rsidRDefault="00D85DEC" w:rsidP="00D85DEC">
      <w:pPr>
        <w:pStyle w:val="Zarkazkladnhotextu"/>
        <w:widowControl w:val="0"/>
        <w:ind w:left="0"/>
        <w:rPr>
          <w:rFonts w:ascii="Times New Roman" w:hAnsi="Times New Roman"/>
          <w:snapToGrid w:val="0"/>
          <w:color w:val="000000" w:themeColor="text1"/>
        </w:rPr>
      </w:pPr>
    </w:p>
    <w:p w:rsidR="00E71CF3" w:rsidRDefault="00D85DEC" w:rsidP="007B0F21">
      <w:pPr>
        <w:ind w:left="426"/>
        <w:jc w:val="both"/>
      </w:pPr>
      <w:r w:rsidRPr="00850102">
        <w:rPr>
          <w:rFonts w:ascii="Times New Roman" w:hAnsi="Times New Roman" w:cs="Times New Roman"/>
          <w:snapToGrid w:val="0"/>
          <w:color w:val="000000" w:themeColor="text1"/>
          <w:sz w:val="24"/>
          <w:szCs w:val="24"/>
        </w:rPr>
        <w:t xml:space="preserve">schváliť návrh </w:t>
      </w:r>
      <w:r w:rsidR="007B0F21" w:rsidRPr="007B0F21">
        <w:rPr>
          <w:rFonts w:ascii="Times New Roman" w:hAnsi="Times New Roman" w:cs="Times New Roman"/>
          <w:color w:val="000000" w:themeColor="text1"/>
          <w:sz w:val="24"/>
          <w:szCs w:val="24"/>
        </w:rPr>
        <w:t>zákona, ktorým sa mení a dopĺňa zákon č. 321/2002 Z. z. o ozbrojených silách Slovenskej republiky v znení neskorších predpisov a ktorým sa mení a dopĺňa zákon č. 124/1992 Zb. o Vojenskej polícii v znení neskorších predpisov</w:t>
      </w:r>
      <w:r w:rsidRPr="00850102">
        <w:rPr>
          <w:rFonts w:ascii="Times New Roman" w:hAnsi="Times New Roman" w:cs="Times New Roman"/>
          <w:bCs/>
          <w:color w:val="000000" w:themeColor="text1"/>
          <w:sz w:val="24"/>
          <w:szCs w:val="24"/>
        </w:rPr>
        <w:t>.</w:t>
      </w:r>
      <w:bookmarkStart w:id="0" w:name="_GoBack"/>
      <w:bookmarkEnd w:id="0"/>
    </w:p>
    <w:sectPr w:rsidR="00E7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 w15:restartNumberingAfterBreak="0">
    <w:nsid w:val="4248113E"/>
    <w:multiLevelType w:val="hybridMultilevel"/>
    <w:tmpl w:val="EAA667A0"/>
    <w:lvl w:ilvl="0" w:tplc="5C0CB4E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A"/>
    <w:rsid w:val="0048291A"/>
    <w:rsid w:val="00620323"/>
    <w:rsid w:val="007B0F21"/>
    <w:rsid w:val="009B7624"/>
    <w:rsid w:val="00D85DEC"/>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77DCA"/>
  <w15:chartTrackingRefBased/>
  <w15:docId w15:val="{0224F867-3F16-42B4-A4C0-F79B22A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Čo robí (časť)"/>
    <w:basedOn w:val="Normlny"/>
    <w:next w:val="Normlny"/>
    <w:link w:val="Nadpis1Char"/>
    <w:uiPriority w:val="9"/>
    <w:qFormat/>
    <w:rsid w:val="00D85DEC"/>
    <w:pPr>
      <w:keepNext/>
      <w:numPr>
        <w:numId w:val="1"/>
      </w:numPr>
      <w:spacing w:before="360" w:after="0" w:line="240" w:lineRule="auto"/>
      <w:outlineLvl w:val="0"/>
    </w:pPr>
    <w:rPr>
      <w:rFonts w:ascii="Times New Roman" w:eastAsia="Times New Roman" w:hAnsi="Times New Roman" w:cs="Times New Roman"/>
      <w:kern w:val="32"/>
      <w:sz w:val="28"/>
      <w:szCs w:val="28"/>
      <w:lang w:eastAsia="sk-SK"/>
    </w:rPr>
  </w:style>
  <w:style w:type="paragraph" w:styleId="Nadpis2">
    <w:name w:val="heading 2"/>
    <w:aliases w:val="Úloha,Počet listov"/>
    <w:basedOn w:val="Normlny"/>
    <w:link w:val="Nadpis2Char"/>
    <w:unhideWhenUsed/>
    <w:qFormat/>
    <w:rsid w:val="00D85DEC"/>
    <w:pPr>
      <w:numPr>
        <w:ilvl w:val="1"/>
        <w:numId w:val="1"/>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Obsah"/>
    <w:basedOn w:val="Normlny"/>
    <w:link w:val="Nadpis3Char"/>
    <w:unhideWhenUsed/>
    <w:qFormat/>
    <w:rsid w:val="00D85DEC"/>
    <w:pPr>
      <w:keepNext/>
      <w:numPr>
        <w:ilvl w:val="2"/>
        <w:numId w:val="1"/>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uiPriority w:val="9"/>
    <w:unhideWhenUsed/>
    <w:qFormat/>
    <w:rsid w:val="00D85DEC"/>
    <w:pPr>
      <w:numPr>
        <w:ilvl w:val="3"/>
        <w:numId w:val="1"/>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semiHidden/>
    <w:unhideWhenUsed/>
    <w:qFormat/>
    <w:rsid w:val="00D85DEC"/>
    <w:pPr>
      <w:numPr>
        <w:ilvl w:val="4"/>
        <w:numId w:val="1"/>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semiHidden/>
    <w:unhideWhenUsed/>
    <w:qFormat/>
    <w:rsid w:val="00D85DEC"/>
    <w:pPr>
      <w:numPr>
        <w:ilvl w:val="5"/>
        <w:numId w:val="1"/>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D85DEC"/>
    <w:pPr>
      <w:numPr>
        <w:ilvl w:val="6"/>
        <w:numId w:val="1"/>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semiHidden/>
    <w:unhideWhenUsed/>
    <w:qFormat/>
    <w:rsid w:val="00D85DEC"/>
    <w:pPr>
      <w:numPr>
        <w:ilvl w:val="7"/>
        <w:numId w:val="1"/>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semiHidden/>
    <w:unhideWhenUsed/>
    <w:qFormat/>
    <w:rsid w:val="00D85DEC"/>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D85DEC"/>
    <w:rPr>
      <w:rFonts w:ascii="Times New Roman" w:eastAsia="Times New Roman" w:hAnsi="Times New Roman" w:cs="Times New Roman"/>
      <w:kern w:val="32"/>
      <w:sz w:val="28"/>
      <w:szCs w:val="28"/>
      <w:lang w:eastAsia="sk-SK"/>
    </w:rPr>
  </w:style>
  <w:style w:type="character" w:customStyle="1" w:styleId="Nadpis2Char">
    <w:name w:val="Nadpis 2 Char"/>
    <w:aliases w:val="Úloha Char,Počet listov Char"/>
    <w:basedOn w:val="Predvolenpsmoodseku"/>
    <w:link w:val="Nadpis2"/>
    <w:rsid w:val="00D85DEC"/>
    <w:rPr>
      <w:rFonts w:ascii="Times New Roman" w:eastAsia="Times New Roman" w:hAnsi="Times New Roman" w:cs="Times New Roman"/>
      <w:sz w:val="24"/>
      <w:szCs w:val="24"/>
      <w:lang w:eastAsia="sk-SK"/>
    </w:rPr>
  </w:style>
  <w:style w:type="character" w:customStyle="1" w:styleId="Nadpis3Char">
    <w:name w:val="Nadpis 3 Char"/>
    <w:aliases w:val="Podúloha Char,Obsah Char"/>
    <w:basedOn w:val="Predvolenpsmoodseku"/>
    <w:link w:val="Nadpis3"/>
    <w:rsid w:val="00D85DEC"/>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
    <w:rsid w:val="00D85DEC"/>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semiHidden/>
    <w:rsid w:val="00D85DEC"/>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D85DEC"/>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D85DEC"/>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D85DEC"/>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D85DEC"/>
    <w:rPr>
      <w:rFonts w:ascii="Arial" w:eastAsia="Times New Roman" w:hAnsi="Arial" w:cs="Arial"/>
      <w:lang w:eastAsia="sk-SK"/>
    </w:rPr>
  </w:style>
  <w:style w:type="paragraph" w:styleId="Nzov">
    <w:name w:val="Title"/>
    <w:basedOn w:val="Normlny"/>
    <w:link w:val="NzovChar"/>
    <w:qFormat/>
    <w:rsid w:val="00D85DEC"/>
    <w:pPr>
      <w:spacing w:after="0" w:line="240" w:lineRule="auto"/>
      <w:jc w:val="center"/>
    </w:pPr>
    <w:rPr>
      <w:rFonts w:ascii="Times New Roman" w:eastAsia="Calibri" w:hAnsi="Times New Roman" w:cs="Times New Roman"/>
      <w:b/>
      <w:bCs/>
      <w:sz w:val="24"/>
      <w:szCs w:val="24"/>
      <w:lang w:val="x-none" w:eastAsia="sk-SK"/>
    </w:rPr>
  </w:style>
  <w:style w:type="character" w:customStyle="1" w:styleId="NzovChar">
    <w:name w:val="Názov Char"/>
    <w:basedOn w:val="Predvolenpsmoodseku"/>
    <w:link w:val="Nzov"/>
    <w:rsid w:val="00D85DEC"/>
    <w:rPr>
      <w:rFonts w:ascii="Times New Roman" w:eastAsia="Calibri" w:hAnsi="Times New Roman" w:cs="Times New Roman"/>
      <w:b/>
      <w:bCs/>
      <w:sz w:val="24"/>
      <w:szCs w:val="24"/>
      <w:lang w:val="x-none" w:eastAsia="sk-SK"/>
    </w:rPr>
  </w:style>
  <w:style w:type="paragraph" w:styleId="Zarkazkladnhotextu">
    <w:name w:val="Body Text Indent"/>
    <w:basedOn w:val="Normlny"/>
    <w:link w:val="ZarkazkladnhotextuChar"/>
    <w:rsid w:val="00D85DEC"/>
    <w:pPr>
      <w:spacing w:after="0" w:line="240" w:lineRule="auto"/>
      <w:ind w:left="708"/>
      <w:jc w:val="both"/>
    </w:pPr>
    <w:rPr>
      <w:rFonts w:ascii="Calibri" w:eastAsia="Calibri" w:hAnsi="Calibri" w:cs="Times New Roman"/>
      <w:bCs/>
      <w:sz w:val="24"/>
      <w:szCs w:val="24"/>
      <w:lang w:eastAsia="sk-SK"/>
    </w:rPr>
  </w:style>
  <w:style w:type="character" w:customStyle="1" w:styleId="ZarkazkladnhotextuChar">
    <w:name w:val="Zarážka základného textu Char"/>
    <w:basedOn w:val="Predvolenpsmoodseku"/>
    <w:link w:val="Zarkazkladnhotextu"/>
    <w:rsid w:val="00D85DEC"/>
    <w:rPr>
      <w:rFonts w:ascii="Calibri" w:eastAsia="Calibri" w:hAnsi="Calibri" w:cs="Times New Roman"/>
      <w:bCs/>
      <w:sz w:val="24"/>
      <w:szCs w:val="24"/>
      <w:lang w:eastAsia="sk-SK"/>
    </w:rPr>
  </w:style>
  <w:style w:type="paragraph" w:styleId="Pta">
    <w:name w:val="footer"/>
    <w:basedOn w:val="Normlny"/>
    <w:link w:val="PtaChar"/>
    <w:uiPriority w:val="99"/>
    <w:rsid w:val="00D85DEC"/>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D85DEC"/>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oleObject" Target="embeddings/oleObject1.bin"></Relationship><Relationship Id="rId5" Type="http://schemas.openxmlformats.org/officeDocument/2006/relationships/image" Target="media/image1.png"></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Návrh-uznesenia-Bezpečnostnej-rady-SR"/>
    <f:field ref="objsubject" par="" edit="true" text=""/>
    <f:field ref="objcreatedby" par="" text="Hrivňáková, Simona"/>
    <f:field ref="objcreatedat" par="" text="21.7.2022 10:27:12"/>
    <f:field ref="objchangedby" par="" text="Administrator, System"/>
    <f:field ref="objmodifiedat" par="" text="21.7.2022 10:27: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KUCERA Rastislav</cp:lastModifiedBy>
  <cp:revision>4</cp:revision>
  <dcterms:created xsi:type="dcterms:W3CDTF">2022-07-14T12:51:00Z</dcterms:created>
  <dcterms:modified xsi:type="dcterms:W3CDTF">2022-07-14T12:56:00Z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Vojenské právo_x000d__x000a_Bezpečnosť a obrana štátu</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Simona Hrivňáková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ktorým sa mení a dopĺňa zákon č. 321/2002 Z. z. o ozbrojených silách Slovenskej republiky v znení neskorších predpisov a ktorým sa mení a dopĺňa zákon č. 124/1992 Zb. o Vojenskej polícii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Ministerstvo obrany Slovenskej republiky, Ministerstvo obrany Slovenskej republiky, Ministerstvo obrany Slovenskej republiky, Ministerstvo obrany Slovenskej republiky</vt:lpwstr>
  </property>
  <property name="FSC#SKEDITIONSLOVLEX@103.510:autorpredpis" pid="21" fmtid="{D5CDD505-2E9C-101B-9397-08002B2CF9AE}">
    <vt:lpwstr/>
  </property>
  <property name="FSC#SKEDITIONSLOVLEX@103.510:podnetpredpis" pid="22" fmtid="{D5CDD505-2E9C-101B-9397-08002B2CF9AE}">
    <vt:lpwstr>Iniciatívny návrh</vt:lpwstr>
  </property>
  <property name="FSC#SKEDITIONSLOVLEX@103.510:plnynazovpredpis" pid="23" fmtid="{D5CDD505-2E9C-101B-9397-08002B2CF9AE}">
    <vt:lpwstr> Zákon, ktorým sa mení a dopĺňa zákon č. 321/2002 Z. z. o ozbrojených silách Slovenskej republiky v znení neskorších predpisov a ktorým sa mení a dopĺňa zákon č. 124/1992 Zb. o Vojenskej polícii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SELPOdL-137-16/2022</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LP/2022/436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obrany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užívateľ</vt:lpwstr>
  </property>
  <property name="FSC#SKEDITIONSLOVLEX@103.510:funkciaPredAkuzativ" pid="139" fmtid="{D5CDD505-2E9C-101B-9397-08002B2CF9AE}">
    <vt:lpwstr>užívateľa</vt:lpwstr>
  </property>
  <property name="FSC#SKEDITIONSLOVLEX@103.510:funkciaPredDativ" pid="140" fmtid="{D5CDD505-2E9C-101B-9397-08002B2CF9AE}">
    <vt:lpwstr>užívateľovi</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 dopĺňa zákon č. 321/2002 Z. z. o&amp;nbsp;ozbrojených silách Slovenskej republiky v&amp;nbsp;znení neskorších predpisov a&amp;nbsp;ktorým sa mení a dopĺňa&amp;nbsp;zákon č.&amp;nbsp;124/1992 Zb. o&amp;nbsp;Vojenskej polícii v&amp;nbsp;znení neskorších predpisov (ďalej len „návrh zákona“) sa&amp;nbsp;predkladá ako iniciatívny materiál.&lt;/p&gt;&lt;p style="text-align: justify;"&gt;Cieľom zmien a&amp;nbsp;doplnení zákona č. 321/2002 Z. z.&amp;nbsp;o ozbrojených silách Slovenskej republiky v znení neskorších predpisov (ďalej len „zákon č. 321/2002 Z. z.“) je umožniť použitie ozbrojených síl Slovenskej republiky na účely ochrany vymedzených kategórií vojenských objektov a&amp;nbsp;priestorov, vojenských konvojov a&amp;nbsp;vojenských transportov pred činnosťou lietadla spôsobilého lietať bez pilota (ďalej len „bezpilotné lietadlo“), ktorá je z&amp;nbsp;bezpečnostného hľadiska nežiaduca. V&amp;nbsp;záujme zabezpečenia efektívnej ochrany a vymáhania navrhovaného zákazu činnosti bezpilotných lietadiel vo vzdušnom priestore nad vojenskými objektmi a&amp;nbsp;priestormi, vojenskými konvojmi a&amp;nbsp;vojenskými transportmi sa následne príslušníkovi ozbrojených síl Slovenskej republiky (ďalej len „profesionálny vojak“) poskytuje oprávnenie prerušiť činnosť bezpilotného lietadla za použitia technického prostriedku určeného na tento účel alebo vojenskej zbrane.&lt;/p&gt;&lt;p style="text-align: justify;"&gt;Uvedené legislatívne úpravy sa navrhujú vzhľadom na nárast počtu nepovolených preletov bezpilotných lietadiel cez vzdušný priestor nad viacerými vojenskými objektmi. Platná právna úprava pritom nevytvára podmienky na zabezpečenie ochrany pred nežiaducou činnosťou bezpilotného lietadla v&amp;nbsp;rozsahu, v&amp;nbsp;akom je to potrebné s&amp;nbsp;ohľadom na aktuálne zmeny v&amp;nbsp;bezpečnostnej situácii, ktoré nastali v súvislosti s prebiehajúcim ozbrojeným konfliktom medzi Ruskou federáciou a&amp;nbsp;Ukrajinou. Oprávnenie použiť donucovacie prostriedky a&amp;nbsp;vojenskú zbraň na účely prerušenia činnosti bezpilotného lietadla sa preto má profesionálnym vojakom poskytnúť predovšetkým s cieľom čeliť existujúcim bezpečnostným rizikám.&lt;/p&gt;&lt;p style="text-align: justify;"&gt;V&amp;nbsp;nadväznosti na navrhované zmeny a&amp;nbsp;doplnenia zákona č. 321/2002 Z. z. je potom cieľom zmien a&amp;nbsp;doplnení zákona č. 124/1992 Zb. o&amp;nbsp;Vojenskej polícii v&amp;nbsp;znení neskorších predpisov poskytnúť vojenskému policajtovi kvalitatívne rovnaké oprávnenia, akými má disponovať profesionálny vojak, a&amp;nbsp;to&amp;nbsp;v&amp;nbsp;záujme zabezpečenia rovnakej úrovne ochrany vojenských objektov a&amp;nbsp;priestorov, vojenských konvojov a&amp;nbsp;vojenských transportov pred zakázanou činnosťou bezpilotných lietadiel, poskytovanej tak Vojenskou políciou, ako&amp;nbsp;aj&amp;nbsp;ozbrojenými silami Slovenskej republiky. S&amp;nbsp;cieľom odradiť potenciálnych priestupcov od páchania priestupkov, ktoré predstavujú značnú hrozbu pre obranu a&amp;nbsp;bezpečnosť štátu, a&amp;nbsp;sprísnenia sankčného postihu za ich spáchanie, sa navrhuje doplnenie možnosti uloženia pokuty v blokovom konaní a&amp;nbsp;rozkaznom konaní do 300&amp;nbsp;eur.&lt;/p&gt;&lt;p style="text-align: justify;"&gt;Návrh zákona nie je predmetom vnútrokomunitárneho pripomienkového konania.&lt;/p&gt;&lt;p style="text-align: justify;"&gt;Účinnosť zákona sa navrhuje vzhľadom na predpokladanú dĺžku legislatívneho procesu a zabezpečenie primeranej legisvakancie od 1. januára 2023.&lt;/p&gt;</vt:lpwstr>
  </property>
  <property name="FSC#SKEDITIONSLOVLEX@103.510:vytvorenedna" pid="150" fmtid="{D5CDD505-2E9C-101B-9397-08002B2CF9AE}">
    <vt:lpwstr>21. 7. 2022</vt:lpwstr>
  </property>
  <property name="FSC#COOSYSTEM@1.1:Container" pid="151" fmtid="{D5CDD505-2E9C-101B-9397-08002B2CF9AE}">
    <vt:lpwstr>COO.2145.1000.3.5075033</vt:lpwstr>
  </property>
  <property name="FSC#FSCFOLIO@1.1001:docpropproject" pid="152" fmtid="{D5CDD505-2E9C-101B-9397-08002B2CF9AE}">
    <vt:lpwstr/>
  </property>
</Properties>
</file>