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EA3A14" w:rsidRDefault="00EA3A14" w:rsidP="00EA3A1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ktorým</w:t>
            </w:r>
            <w:r w:rsidRPr="00871115">
              <w:rPr>
                <w:rFonts w:ascii="Times New Roman" w:eastAsia="Times New Roman" w:hAnsi="Times New Roman" w:cs="Times New Roman"/>
                <w:sz w:val="24"/>
                <w:szCs w:val="24"/>
                <w:lang w:eastAsia="sk-SK"/>
              </w:rPr>
              <w:t xml:space="preserve"> sa mení a dopĺňa zákon č. 595/2003 Z. z. o dani z príjmov v znení neskorších predpisov </w:t>
            </w:r>
            <w:r>
              <w:rPr>
                <w:rFonts w:ascii="Times New Roman" w:eastAsia="Times New Roman" w:hAnsi="Times New Roman" w:cs="Times New Roman"/>
                <w:sz w:val="24"/>
                <w:szCs w:val="24"/>
                <w:lang w:eastAsia="sk-SK"/>
              </w:rPr>
              <w:t>a ktorým sa mení a dopĺňa zákon</w:t>
            </w:r>
            <w:r w:rsidRPr="00871115">
              <w:rPr>
                <w:rFonts w:ascii="Times New Roman" w:eastAsia="Times New Roman" w:hAnsi="Times New Roman" w:cs="Times New Roman"/>
                <w:sz w:val="24"/>
                <w:szCs w:val="24"/>
                <w:lang w:eastAsia="sk-SK"/>
              </w:rPr>
              <w:t xml:space="preserve"> č. 563/2009 Z. z. o správe daní (daňový poriadok) </w:t>
            </w:r>
            <w:r w:rsidRPr="005F2DD3">
              <w:rPr>
                <w:rFonts w:ascii="Times New Roman" w:eastAsia="Times New Roman" w:hAnsi="Times New Roman" w:cs="Times New Roman"/>
                <w:sz w:val="24"/>
                <w:szCs w:val="24"/>
                <w:lang w:eastAsia="sk-SK"/>
              </w:rPr>
              <w:t>a o zmene a doplnení niektorých zákonov </w:t>
            </w:r>
            <w:r w:rsidRPr="00871115">
              <w:rPr>
                <w:rFonts w:ascii="Times New Roman" w:eastAsia="Times New Roman" w:hAnsi="Times New Roman" w:cs="Times New Roman"/>
                <w:sz w:val="24"/>
                <w:szCs w:val="24"/>
                <w:lang w:eastAsia="sk-SK"/>
              </w:rPr>
              <w:t xml:space="preserve"> v znení neskorších predpisov </w:t>
            </w:r>
          </w:p>
          <w:p w:rsidR="00EA3A14" w:rsidRPr="00EA3A14" w:rsidRDefault="00EA3A14" w:rsidP="00EA3A14">
            <w:pPr>
              <w:jc w:val="both"/>
              <w:rPr>
                <w:rFonts w:ascii="Times New Roman" w:eastAsia="Times New Roman" w:hAnsi="Times New Roman" w:cs="Times New Roman"/>
                <w:sz w:val="24"/>
                <w:szCs w:val="24"/>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EA3A14" w:rsidRDefault="00EA3A14" w:rsidP="000800FC">
            <w:pPr>
              <w:rPr>
                <w:rFonts w:ascii="Times New Roman" w:eastAsia="Times New Roman" w:hAnsi="Times New Roman" w:cs="Times New Roman"/>
                <w:sz w:val="24"/>
                <w:szCs w:val="24"/>
                <w:lang w:eastAsia="sk-SK"/>
              </w:rPr>
            </w:pPr>
            <w:r w:rsidRPr="00FB3A0F">
              <w:rPr>
                <w:rFonts w:ascii="Times New Roman" w:eastAsia="Times New Roman" w:hAnsi="Times New Roman" w:cs="Times New Roman"/>
                <w:sz w:val="24"/>
                <w:szCs w:val="24"/>
                <w:lang w:eastAsia="sk-SK"/>
              </w:rPr>
              <w:t>Ministerstvo financií SR</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EA3A1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EA3A14"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EA3A14" w:rsidP="000800FC">
            <w:pPr>
              <w:rPr>
                <w:rFonts w:ascii="Times New Roman" w:eastAsia="Times New Roman" w:hAnsi="Times New Roman" w:cs="Times New Roman"/>
                <w:sz w:val="20"/>
                <w:szCs w:val="20"/>
                <w:lang w:eastAsia="sk-SK"/>
              </w:rPr>
            </w:pPr>
            <w:r w:rsidRPr="00813E47">
              <w:rPr>
                <w:rFonts w:ascii="Times New Roman" w:eastAsia="Times New Roman" w:hAnsi="Times New Roman" w:cs="Times New Roman"/>
                <w:sz w:val="24"/>
                <w:szCs w:val="24"/>
                <w:lang w:eastAsia="sk-SK"/>
              </w:rPr>
              <w:t>Smernica Rady (EÚ) 2016/1164 z 12. júla 2016, ktorou sa stanovujú pravidlá proti praktikám vyhýbania sa daňovým povinnostiam, ktoré majú priamy vplyv na fungovanie vnútorného trhu</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4C0B34"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21. 6. 2022 – 29. 6.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EA3A14"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A3A14" w:rsidRPr="00B648DC" w:rsidRDefault="00EA3A14" w:rsidP="00EA3A14">
            <w:pPr>
              <w:jc w:val="both"/>
              <w:rPr>
                <w:rStyle w:val="awspan"/>
                <w:rFonts w:ascii="Times New Roman" w:hAnsi="Times New Roman" w:cs="Times New Roman"/>
                <w:b/>
                <w:color w:val="000000"/>
                <w:sz w:val="24"/>
                <w:szCs w:val="24"/>
              </w:rPr>
            </w:pPr>
            <w:r w:rsidRPr="00B648DC">
              <w:rPr>
                <w:rStyle w:val="awspan"/>
                <w:rFonts w:ascii="Times New Roman" w:hAnsi="Times New Roman" w:cs="Times New Roman"/>
                <w:b/>
                <w:color w:val="000000"/>
                <w:sz w:val="24"/>
                <w:szCs w:val="24"/>
              </w:rPr>
              <w:t>K novele zákona o dani z príjmov:</w:t>
            </w:r>
          </w:p>
          <w:p w:rsidR="004C0B34" w:rsidRDefault="004C0B34" w:rsidP="004C0B34">
            <w:pPr>
              <w:spacing w:after="60"/>
              <w:jc w:val="both"/>
              <w:rPr>
                <w:rFonts w:ascii="Times New Roman" w:hAnsi="Times New Roman"/>
                <w:sz w:val="24"/>
                <w:szCs w:val="24"/>
              </w:rPr>
            </w:pPr>
            <w:r>
              <w:rPr>
                <w:rFonts w:ascii="Times New Roman" w:hAnsi="Times New Roman" w:cs="Times New Roman"/>
                <w:sz w:val="24"/>
                <w:szCs w:val="24"/>
              </w:rPr>
              <w:t>Zavedením</w:t>
            </w:r>
            <w:r>
              <w:rPr>
                <w:rFonts w:ascii="Times New Roman" w:eastAsia="Times New Roman" w:hAnsi="Times New Roman" w:cs="Times New Roman"/>
                <w:sz w:val="24"/>
                <w:szCs w:val="24"/>
                <w:lang w:eastAsia="sk-SK"/>
              </w:rPr>
              <w:t xml:space="preserve"> nového </w:t>
            </w:r>
            <w:r w:rsidRPr="0063461B">
              <w:rPr>
                <w:rFonts w:ascii="Times New Roman" w:eastAsia="Times New Roman" w:hAnsi="Times New Roman" w:cs="Times New Roman"/>
                <w:sz w:val="24"/>
                <w:szCs w:val="24"/>
                <w:lang w:eastAsia="sk-SK"/>
              </w:rPr>
              <w:t>pravidla</w:t>
            </w:r>
            <w:r>
              <w:rPr>
                <w:rFonts w:ascii="Times New Roman" w:eastAsia="Times New Roman" w:hAnsi="Times New Roman" w:cs="Times New Roman"/>
                <w:sz w:val="24"/>
                <w:szCs w:val="24"/>
                <w:lang w:eastAsia="sk-SK"/>
              </w:rPr>
              <w:t xml:space="preserve"> o obmedzení úrokových nákladov </w:t>
            </w:r>
            <w:r w:rsidRPr="0063461B">
              <w:rPr>
                <w:rFonts w:ascii="Times New Roman" w:eastAsia="Times New Roman" w:hAnsi="Times New Roman" w:cs="Times New Roman"/>
                <w:sz w:val="24"/>
                <w:szCs w:val="24"/>
                <w:lang w:eastAsia="sk-SK"/>
              </w:rPr>
              <w:t xml:space="preserve">s účinnosťou </w:t>
            </w:r>
            <w:r>
              <w:rPr>
                <w:rFonts w:ascii="Times New Roman" w:eastAsia="Times New Roman" w:hAnsi="Times New Roman" w:cs="Times New Roman"/>
                <w:sz w:val="24"/>
                <w:szCs w:val="24"/>
                <w:lang w:eastAsia="sk-SK"/>
              </w:rPr>
              <w:t xml:space="preserve">od </w:t>
            </w:r>
            <w:r w:rsidRPr="0063461B">
              <w:rPr>
                <w:rFonts w:ascii="Times New Roman" w:eastAsia="Times New Roman" w:hAnsi="Times New Roman" w:cs="Times New Roman"/>
                <w:sz w:val="24"/>
                <w:szCs w:val="24"/>
                <w:lang w:eastAsia="sk-SK"/>
              </w:rPr>
              <w:t>1. januára 2024</w:t>
            </w:r>
            <w:r>
              <w:rPr>
                <w:rFonts w:ascii="Times New Roman" w:eastAsia="Times New Roman" w:hAnsi="Times New Roman" w:cs="Times New Roman"/>
                <w:sz w:val="24"/>
                <w:szCs w:val="24"/>
                <w:lang w:eastAsia="sk-SK"/>
              </w:rPr>
              <w:t xml:space="preserve"> podľa </w:t>
            </w:r>
            <w:r w:rsidRPr="000B6F2D">
              <w:rPr>
                <w:rFonts w:ascii="Times New Roman" w:hAnsi="Times New Roman"/>
                <w:sz w:val="24"/>
                <w:szCs w:val="24"/>
              </w:rPr>
              <w:t>článk</w:t>
            </w:r>
            <w:r>
              <w:rPr>
                <w:rFonts w:ascii="Times New Roman" w:hAnsi="Times New Roman"/>
                <w:sz w:val="24"/>
                <w:szCs w:val="24"/>
              </w:rPr>
              <w:t xml:space="preserve">u </w:t>
            </w:r>
            <w:r w:rsidRPr="00E50F77">
              <w:rPr>
                <w:rFonts w:ascii="Times New Roman" w:hAnsi="Times New Roman"/>
                <w:sz w:val="24"/>
                <w:szCs w:val="24"/>
              </w:rPr>
              <w:t xml:space="preserve">4 </w:t>
            </w:r>
            <w:r w:rsidR="00E82F73" w:rsidRPr="00E50F77">
              <w:rPr>
                <w:rFonts w:ascii="Times New Roman" w:hAnsi="Times New Roman"/>
                <w:sz w:val="24"/>
                <w:szCs w:val="24"/>
              </w:rPr>
              <w:t>s</w:t>
            </w:r>
            <w:r w:rsidRPr="00E50F77">
              <w:rPr>
                <w:rFonts w:ascii="Times New Roman" w:hAnsi="Times New Roman"/>
                <w:sz w:val="24"/>
                <w:szCs w:val="24"/>
              </w:rPr>
              <w:t>mernice Rady (EÚ) 2016</w:t>
            </w:r>
            <w:r>
              <w:rPr>
                <w:rFonts w:ascii="Times New Roman" w:hAnsi="Times New Roman"/>
                <w:sz w:val="24"/>
                <w:szCs w:val="24"/>
              </w:rPr>
              <w:t>/1164 z 12. júla 2016, ktorou sa stanovujú pravidlá proti praktikám vyhýbania sa daňovým povinnostiam, ktoré majú priamy vplyv na fungovanie vnútorného trhu</w:t>
            </w:r>
            <w:r w:rsidRPr="000B6F2D">
              <w:rPr>
                <w:rFonts w:ascii="Times New Roman" w:hAnsi="Times New Roman"/>
                <w:sz w:val="24"/>
                <w:szCs w:val="24"/>
              </w:rPr>
              <w:t xml:space="preserve"> </w:t>
            </w:r>
            <w:r>
              <w:rPr>
                <w:rFonts w:ascii="Times New Roman" w:hAnsi="Times New Roman"/>
                <w:sz w:val="24"/>
                <w:szCs w:val="24"/>
              </w:rPr>
              <w:t>(ATAD) dochádza k zavŕšen</w:t>
            </w:r>
            <w:bookmarkStart w:id="0" w:name="_GoBack"/>
            <w:bookmarkEnd w:id="0"/>
            <w:r>
              <w:rPr>
                <w:rFonts w:ascii="Times New Roman" w:hAnsi="Times New Roman"/>
                <w:sz w:val="24"/>
                <w:szCs w:val="24"/>
              </w:rPr>
              <w:t xml:space="preserve">iu transpozície smernice EÚ do slovenských právnych predpisov. Podstatou pravidla je zamedzenie erózii základu dane na vnútornom trhu a presunu zisku do zahraničia u najväčších daňovníkov  cez obmedzenie nadmerne vysokých úrokových platieb, resp. obdobných nákladov (limit pre uplatnenie pravidla nad 3 mil. eur čistých úrokových nákladov). </w:t>
            </w:r>
          </w:p>
          <w:p w:rsidR="004C0B34" w:rsidRDefault="004C0B34" w:rsidP="004C0B34">
            <w:pPr>
              <w:jc w:val="both"/>
              <w:rPr>
                <w:rFonts w:ascii="Times New Roman" w:eastAsia="Times New Roman" w:hAnsi="Times New Roman" w:cs="Times New Roman"/>
                <w:sz w:val="24"/>
                <w:szCs w:val="24"/>
                <w:lang w:eastAsia="sk-SK"/>
              </w:rPr>
            </w:pPr>
            <w:r w:rsidRPr="000A18D8">
              <w:rPr>
                <w:rFonts w:ascii="Times New Roman" w:eastAsia="Times New Roman" w:hAnsi="Times New Roman" w:cs="Times New Roman"/>
                <w:sz w:val="24"/>
                <w:szCs w:val="24"/>
                <w:lang w:eastAsia="sk-SK"/>
              </w:rPr>
              <w:t>V</w:t>
            </w:r>
            <w:r w:rsidRPr="00BD057F">
              <w:rPr>
                <w:rFonts w:ascii="Times New Roman" w:eastAsia="Times New Roman" w:hAnsi="Times New Roman" w:cs="Times New Roman"/>
                <w:sz w:val="24"/>
                <w:szCs w:val="24"/>
                <w:lang w:eastAsia="sk-SK"/>
              </w:rPr>
              <w:t xml:space="preserve"> návrhu zákona</w:t>
            </w:r>
            <w:r>
              <w:rPr>
                <w:rFonts w:ascii="Times New Roman" w:eastAsia="Times New Roman" w:hAnsi="Times New Roman" w:cs="Times New Roman"/>
                <w:sz w:val="24"/>
                <w:szCs w:val="24"/>
                <w:lang w:eastAsia="sk-SK"/>
              </w:rPr>
              <w:t xml:space="preserve"> ďalej dochádza</w:t>
            </w:r>
            <w:r w:rsidRPr="00C8693E">
              <w:rPr>
                <w:rFonts w:ascii="Times New Roman" w:eastAsia="Times New Roman" w:hAnsi="Times New Roman" w:cs="Times New Roman"/>
                <w:sz w:val="24"/>
                <w:szCs w:val="24"/>
                <w:lang w:eastAsia="sk-SK"/>
              </w:rPr>
              <w:t xml:space="preserve"> k spresneniu a doplneniu </w:t>
            </w:r>
            <w:r>
              <w:rPr>
                <w:rFonts w:ascii="Times New Roman" w:eastAsia="Times New Roman" w:hAnsi="Times New Roman" w:cs="Times New Roman"/>
                <w:sz w:val="24"/>
                <w:szCs w:val="24"/>
                <w:lang w:eastAsia="sk-SK"/>
              </w:rPr>
              <w:t xml:space="preserve">nových </w:t>
            </w:r>
            <w:r w:rsidRPr="00C8693E">
              <w:rPr>
                <w:rFonts w:ascii="Times New Roman" w:eastAsia="Times New Roman" w:hAnsi="Times New Roman" w:cs="Times New Roman"/>
                <w:sz w:val="24"/>
                <w:szCs w:val="24"/>
                <w:lang w:eastAsia="sk-SK"/>
              </w:rPr>
              <w:t xml:space="preserve">pravidiel transferového oceňovania, vrátane doplnenia odkazu na </w:t>
            </w:r>
            <w:r>
              <w:rPr>
                <w:rFonts w:ascii="Times New Roman" w:eastAsia="Times New Roman" w:hAnsi="Times New Roman" w:cs="Times New Roman"/>
                <w:sz w:val="24"/>
                <w:szCs w:val="24"/>
                <w:lang w:eastAsia="sk-SK"/>
              </w:rPr>
              <w:t xml:space="preserve">Smernicu OECD </w:t>
            </w:r>
            <w:r w:rsidRPr="003824F7">
              <w:rPr>
                <w:rFonts w:ascii="Times New Roman" w:eastAsia="Times New Roman" w:hAnsi="Times New Roman"/>
                <w:sz w:val="24"/>
                <w:szCs w:val="24"/>
                <w:lang w:eastAsia="sk-SK"/>
              </w:rPr>
              <w:t xml:space="preserve">o transferovom oceňovaní pre nadnárodné spoločnosti a správu </w:t>
            </w:r>
            <w:r>
              <w:rPr>
                <w:rFonts w:ascii="Times New Roman" w:eastAsia="Times New Roman" w:hAnsi="Times New Roman"/>
                <w:sz w:val="24"/>
                <w:szCs w:val="24"/>
                <w:lang w:eastAsia="sk-SK"/>
              </w:rPr>
              <w:t>daní</w:t>
            </w:r>
            <w:r w:rsidRPr="00C8693E">
              <w:rPr>
                <w:rFonts w:ascii="Times New Roman" w:eastAsia="Times New Roman" w:hAnsi="Times New Roman" w:cs="Times New Roman"/>
                <w:sz w:val="24"/>
                <w:szCs w:val="24"/>
                <w:lang w:eastAsia="sk-SK"/>
              </w:rPr>
              <w:t>.</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sz w:val="24"/>
                <w:szCs w:val="24"/>
                <w:lang w:eastAsia="sk-SK"/>
              </w:rPr>
              <w:t>Z</w:t>
            </w:r>
            <w:r w:rsidRPr="00274CB3">
              <w:rPr>
                <w:rFonts w:ascii="Times New Roman" w:eastAsia="Times New Roman" w:hAnsi="Times New Roman" w:cs="Times New Roman"/>
                <w:sz w:val="24"/>
                <w:szCs w:val="24"/>
                <w:lang w:eastAsia="sk-SK"/>
              </w:rPr>
              <w:t xml:space="preserve">avedením bezpečného prístavu pri posudzovaní </w:t>
            </w:r>
            <w:r w:rsidRPr="008566E4">
              <w:rPr>
                <w:rFonts w:ascii="Times New Roman" w:eastAsia="Times New Roman" w:hAnsi="Times New Roman" w:cs="Times New Roman"/>
                <w:sz w:val="24"/>
                <w:szCs w:val="24"/>
                <w:lang w:eastAsia="sk-SK"/>
              </w:rPr>
              <w:t>významnej</w:t>
            </w:r>
            <w:r w:rsidRPr="00274CB3">
              <w:rPr>
                <w:rFonts w:ascii="Times New Roman" w:eastAsia="Times New Roman" w:hAnsi="Times New Roman" w:cs="Times New Roman"/>
                <w:sz w:val="24"/>
                <w:szCs w:val="24"/>
                <w:lang w:eastAsia="sk-SK"/>
              </w:rPr>
              <w:t xml:space="preserve"> kontrolovanej transakcie a </w:t>
            </w:r>
            <w:r>
              <w:rPr>
                <w:rFonts w:ascii="Times New Roman" w:eastAsia="Times New Roman" w:hAnsi="Times New Roman" w:cs="Times New Roman"/>
                <w:sz w:val="24"/>
                <w:szCs w:val="24"/>
                <w:lang w:eastAsia="sk-SK"/>
              </w:rPr>
              <w:t xml:space="preserve">bezpečného prístavu </w:t>
            </w:r>
            <w:r w:rsidRPr="00274CB3">
              <w:rPr>
                <w:rFonts w:ascii="Times New Roman" w:eastAsia="Times New Roman" w:hAnsi="Times New Roman" w:cs="Times New Roman"/>
                <w:sz w:val="24"/>
                <w:szCs w:val="24"/>
                <w:lang w:eastAsia="sk-SK"/>
              </w:rPr>
              <w:t>pri uplatňovaní pravidla o obmedzení úrokových nákladov</w:t>
            </w:r>
            <w:r>
              <w:rPr>
                <w:rFonts w:ascii="Times New Roman" w:eastAsia="Times New Roman" w:hAnsi="Times New Roman" w:cs="Times New Roman"/>
                <w:sz w:val="24"/>
                <w:szCs w:val="24"/>
                <w:lang w:eastAsia="sk-SK"/>
              </w:rPr>
              <w:t xml:space="preserve"> sa </w:t>
            </w:r>
            <w:r w:rsidRPr="00274CB3">
              <w:rPr>
                <w:rFonts w:ascii="Times New Roman" w:eastAsia="Times New Roman" w:hAnsi="Times New Roman" w:cs="Times New Roman"/>
                <w:sz w:val="24"/>
                <w:szCs w:val="24"/>
                <w:lang w:eastAsia="sk-SK"/>
              </w:rPr>
              <w:t xml:space="preserve">významne znižuje administratívna záťaž </w:t>
            </w:r>
            <w:r>
              <w:rPr>
                <w:rFonts w:ascii="Times New Roman" w:eastAsia="Times New Roman" w:hAnsi="Times New Roman" w:cs="Times New Roman"/>
                <w:sz w:val="24"/>
                <w:szCs w:val="24"/>
                <w:lang w:eastAsia="sk-SK"/>
              </w:rPr>
              <w:t xml:space="preserve">malých a stredných </w:t>
            </w:r>
            <w:r w:rsidRPr="00274CB3">
              <w:rPr>
                <w:rFonts w:ascii="Times New Roman" w:eastAsia="Times New Roman" w:hAnsi="Times New Roman" w:cs="Times New Roman"/>
                <w:sz w:val="24"/>
                <w:szCs w:val="24"/>
                <w:lang w:eastAsia="sk-SK"/>
              </w:rPr>
              <w:t>podnikateľov</w:t>
            </w:r>
            <w:r>
              <w:rPr>
                <w:rFonts w:ascii="Times New Roman" w:eastAsia="Times New Roman" w:hAnsi="Times New Roman" w:cs="Times New Roman"/>
                <w:sz w:val="24"/>
                <w:szCs w:val="24"/>
                <w:lang w:eastAsia="sk-SK"/>
              </w:rPr>
              <w:t xml:space="preserve">. </w:t>
            </w:r>
            <w:r w:rsidRPr="00274CB3">
              <w:rPr>
                <w:rFonts w:ascii="Times New Roman" w:eastAsia="Times New Roman" w:hAnsi="Times New Roman" w:cs="Times New Roman"/>
                <w:sz w:val="24"/>
                <w:szCs w:val="24"/>
                <w:lang w:eastAsia="sk-SK"/>
              </w:rPr>
              <w:t xml:space="preserve"> </w:t>
            </w:r>
          </w:p>
          <w:p w:rsidR="004C0B34" w:rsidRDefault="004C0B34" w:rsidP="004C0B34">
            <w:pPr>
              <w:spacing w:after="60"/>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Cs/>
                <w:kern w:val="36"/>
                <w:sz w:val="24"/>
                <w:szCs w:val="24"/>
                <w:lang w:eastAsia="cs-CZ"/>
              </w:rPr>
              <w:t xml:space="preserve">Po prijatí </w:t>
            </w:r>
            <w:r w:rsidRPr="00152668">
              <w:rPr>
                <w:rFonts w:ascii="Times New Roman" w:eastAsia="Times New Roman" w:hAnsi="Times New Roman" w:cs="Times New Roman"/>
                <w:bCs/>
                <w:kern w:val="36"/>
                <w:sz w:val="24"/>
                <w:szCs w:val="24"/>
                <w:lang w:eastAsia="cs-CZ"/>
              </w:rPr>
              <w:t>nového medzinárodného štandardu finančného výkazníctva IFRS 17</w:t>
            </w:r>
            <w:r>
              <w:rPr>
                <w:rFonts w:ascii="Times New Roman" w:eastAsia="Times New Roman" w:hAnsi="Times New Roman" w:cs="Times New Roman"/>
                <w:bCs/>
                <w:kern w:val="36"/>
                <w:sz w:val="24"/>
                <w:szCs w:val="24"/>
                <w:lang w:eastAsia="cs-CZ"/>
              </w:rPr>
              <w:t>-</w:t>
            </w:r>
            <w:r w:rsidRPr="00152668">
              <w:rPr>
                <w:rFonts w:ascii="Times New Roman" w:eastAsia="Times New Roman" w:hAnsi="Times New Roman" w:cs="Times New Roman"/>
                <w:bCs/>
                <w:kern w:val="36"/>
                <w:sz w:val="24"/>
                <w:szCs w:val="24"/>
                <w:lang w:eastAsia="cs-CZ"/>
              </w:rPr>
              <w:t>Poistné zmluvy, ktorý nahrádza dočasný IFRS 4</w:t>
            </w:r>
            <w:r>
              <w:rPr>
                <w:rFonts w:ascii="Times New Roman" w:eastAsia="Times New Roman" w:hAnsi="Times New Roman" w:cs="Times New Roman"/>
                <w:bCs/>
                <w:kern w:val="36"/>
                <w:sz w:val="24"/>
                <w:szCs w:val="24"/>
                <w:lang w:eastAsia="cs-CZ"/>
              </w:rPr>
              <w:t>-</w:t>
            </w:r>
            <w:r w:rsidRPr="00152668">
              <w:rPr>
                <w:rFonts w:ascii="Times New Roman" w:eastAsia="Times New Roman" w:hAnsi="Times New Roman" w:cs="Times New Roman"/>
                <w:bCs/>
                <w:kern w:val="36"/>
                <w:sz w:val="24"/>
                <w:szCs w:val="24"/>
                <w:lang w:eastAsia="cs-CZ"/>
              </w:rPr>
              <w:t>Poistné zmluvy</w:t>
            </w:r>
            <w:r>
              <w:rPr>
                <w:rFonts w:ascii="Times New Roman" w:eastAsia="Times New Roman" w:hAnsi="Times New Roman" w:cs="Times New Roman"/>
                <w:bCs/>
                <w:kern w:val="36"/>
                <w:sz w:val="24"/>
                <w:szCs w:val="24"/>
                <w:lang w:eastAsia="cs-CZ"/>
              </w:rPr>
              <w:t xml:space="preserve">, je nevyhnutné zmeniť aj súvisiace ustanovenia zákona o dani z príjmov </w:t>
            </w:r>
            <w:r w:rsidRPr="00152668">
              <w:rPr>
                <w:rFonts w:ascii="Times New Roman" w:eastAsia="Times New Roman" w:hAnsi="Times New Roman" w:cs="Times New Roman"/>
                <w:bCs/>
                <w:kern w:val="36"/>
                <w:sz w:val="24"/>
                <w:szCs w:val="24"/>
                <w:lang w:eastAsia="cs-CZ"/>
              </w:rPr>
              <w:t>upravuj</w:t>
            </w:r>
            <w:r>
              <w:rPr>
                <w:rFonts w:ascii="Times New Roman" w:eastAsia="Times New Roman" w:hAnsi="Times New Roman" w:cs="Times New Roman"/>
                <w:bCs/>
                <w:kern w:val="36"/>
                <w:sz w:val="24"/>
                <w:szCs w:val="24"/>
                <w:lang w:eastAsia="cs-CZ"/>
              </w:rPr>
              <w:t>úce</w:t>
            </w:r>
            <w:r w:rsidRPr="00152668">
              <w:rPr>
                <w:rFonts w:ascii="Times New Roman" w:eastAsia="Times New Roman" w:hAnsi="Times New Roman" w:cs="Times New Roman"/>
                <w:bCs/>
                <w:kern w:val="36"/>
                <w:sz w:val="24"/>
                <w:szCs w:val="24"/>
                <w:lang w:eastAsia="cs-CZ"/>
              </w:rPr>
              <w:t xml:space="preserve"> zahrnovanie technických rezerv vytváraných v po</w:t>
            </w:r>
            <w:r>
              <w:rPr>
                <w:rFonts w:ascii="Times New Roman" w:eastAsia="Times New Roman" w:hAnsi="Times New Roman" w:cs="Times New Roman"/>
                <w:bCs/>
                <w:kern w:val="36"/>
                <w:sz w:val="24"/>
                <w:szCs w:val="24"/>
                <w:lang w:eastAsia="cs-CZ"/>
              </w:rPr>
              <w:t>isťovníctve do daňových výdavkov. V dôsledku uvedenej zmeny môže dôjsť u dotknutých daňovníkov k zjednodušeniu zisťovania základu dane.</w:t>
            </w:r>
          </w:p>
          <w:p w:rsidR="00EA3A14" w:rsidRPr="00B215D1" w:rsidRDefault="00EA3A14" w:rsidP="00EA3A14">
            <w:pPr>
              <w:jc w:val="both"/>
              <w:rPr>
                <w:rFonts w:ascii="Times New Roman" w:eastAsia="Times New Roman" w:hAnsi="Times New Roman" w:cs="Times New Roman"/>
                <w:b/>
                <w:sz w:val="24"/>
                <w:szCs w:val="24"/>
                <w:lang w:eastAsia="sk-SK"/>
              </w:rPr>
            </w:pPr>
            <w:r w:rsidRPr="00B215D1">
              <w:rPr>
                <w:rFonts w:ascii="Times New Roman" w:eastAsia="Times New Roman" w:hAnsi="Times New Roman" w:cs="Times New Roman"/>
                <w:b/>
                <w:sz w:val="24"/>
                <w:szCs w:val="24"/>
                <w:lang w:eastAsia="sk-SK"/>
              </w:rPr>
              <w:t>K </w:t>
            </w:r>
            <w:r>
              <w:rPr>
                <w:rFonts w:ascii="Times New Roman" w:eastAsia="Times New Roman" w:hAnsi="Times New Roman" w:cs="Times New Roman"/>
                <w:b/>
                <w:sz w:val="24"/>
                <w:szCs w:val="24"/>
                <w:lang w:eastAsia="sk-SK"/>
              </w:rPr>
              <w:t>n</w:t>
            </w:r>
            <w:r w:rsidRPr="00B215D1">
              <w:rPr>
                <w:rFonts w:ascii="Times New Roman" w:eastAsia="Times New Roman" w:hAnsi="Times New Roman" w:cs="Times New Roman"/>
                <w:b/>
                <w:sz w:val="24"/>
                <w:szCs w:val="24"/>
                <w:lang w:eastAsia="sk-SK"/>
              </w:rPr>
              <w:t>ovele Daňového poriadku:</w:t>
            </w:r>
          </w:p>
          <w:p w:rsidR="004C0B34" w:rsidRPr="00D03B1D" w:rsidRDefault="004C0B34" w:rsidP="004C0B34">
            <w:pPr>
              <w:jc w:val="both"/>
              <w:rPr>
                <w:rFonts w:ascii="Times New Roman" w:eastAsia="Times New Roman" w:hAnsi="Times New Roman" w:cs="Times New Roman"/>
                <w:sz w:val="24"/>
                <w:szCs w:val="24"/>
                <w:lang w:eastAsia="sk-SK"/>
              </w:rPr>
            </w:pPr>
            <w:r w:rsidRPr="00D03B1D">
              <w:rPr>
                <w:rFonts w:ascii="Times New Roman" w:eastAsia="Times New Roman" w:hAnsi="Times New Roman" w:cs="Times New Roman"/>
                <w:sz w:val="24"/>
                <w:szCs w:val="24"/>
                <w:lang w:eastAsia="sk-SK"/>
              </w:rPr>
              <w:t xml:space="preserve">Pokutu za porušenie povinností nepeňažnej povahy musí správca dane vždy uložiť, nie je možnosť v prípade „prvého porušenia“ upustiť od uloženia pokuty. </w:t>
            </w:r>
          </w:p>
          <w:p w:rsidR="001B23B7" w:rsidRPr="00B043B4" w:rsidRDefault="004C0B34" w:rsidP="004C0B34">
            <w:pPr>
              <w:jc w:val="both"/>
              <w:rPr>
                <w:rFonts w:ascii="Times New Roman" w:eastAsia="Times New Roman" w:hAnsi="Times New Roman" w:cs="Times New Roman"/>
                <w:b/>
                <w:sz w:val="20"/>
                <w:szCs w:val="20"/>
                <w:lang w:eastAsia="sk-SK"/>
              </w:rPr>
            </w:pPr>
            <w:r w:rsidRPr="00D03B1D">
              <w:rPr>
                <w:rFonts w:ascii="Times New Roman" w:eastAsia="Times New Roman" w:hAnsi="Times New Roman" w:cs="Times New Roman"/>
                <w:sz w:val="24"/>
                <w:szCs w:val="24"/>
                <w:lang w:eastAsia="sk-SK"/>
              </w:rPr>
              <w:t>Úrok z omeškania pri oneskorenej úhrade je možné vyrubiť až päť rokov od konca roka, v ktorom bola povinnosť daň uhradiť.</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4C0B34"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4C0B34" w:rsidRPr="00B648DC" w:rsidRDefault="004C0B34" w:rsidP="004C0B34">
            <w:pPr>
              <w:ind w:firstLine="29"/>
              <w:jc w:val="both"/>
              <w:rPr>
                <w:rStyle w:val="awspan"/>
                <w:rFonts w:ascii="Times New Roman" w:hAnsi="Times New Roman" w:cs="Times New Roman"/>
                <w:b/>
                <w:color w:val="000000"/>
                <w:sz w:val="24"/>
                <w:szCs w:val="24"/>
              </w:rPr>
            </w:pPr>
            <w:r w:rsidRPr="00B648DC">
              <w:rPr>
                <w:rStyle w:val="awspan"/>
                <w:rFonts w:ascii="Times New Roman" w:hAnsi="Times New Roman" w:cs="Times New Roman"/>
                <w:b/>
                <w:color w:val="000000"/>
                <w:sz w:val="24"/>
                <w:szCs w:val="24"/>
              </w:rPr>
              <w:t>K novele zákona o dani z príjmov:</w:t>
            </w:r>
          </w:p>
          <w:p w:rsidR="004C0B34" w:rsidRPr="00FD5CF6" w:rsidRDefault="004C0B34" w:rsidP="004C0B34">
            <w:pPr>
              <w:pStyle w:val="Odsekzoznamu"/>
              <w:numPr>
                <w:ilvl w:val="0"/>
                <w:numId w:val="4"/>
              </w:numPr>
              <w:ind w:left="313" w:hanging="284"/>
              <w:jc w:val="both"/>
              <w:rPr>
                <w:rFonts w:ascii="Times New Roman" w:hAnsi="Times New Roman"/>
                <w:sz w:val="24"/>
                <w:szCs w:val="24"/>
              </w:rPr>
            </w:pPr>
            <w:r w:rsidRPr="00FD5CF6">
              <w:rPr>
                <w:rFonts w:ascii="Times New Roman" w:hAnsi="Times New Roman"/>
                <w:sz w:val="24"/>
                <w:szCs w:val="24"/>
              </w:rPr>
              <w:t>V návrhu zákona sa spresňujú a dopĺňajú ustanovenia týkajúce sa pravidiel transferového oceňovania, a to najmä:</w:t>
            </w:r>
          </w:p>
          <w:p w:rsidR="004C0B34" w:rsidRPr="00286A36" w:rsidRDefault="004C0B34" w:rsidP="004C0B34">
            <w:pPr>
              <w:pStyle w:val="Odsekzoznamu"/>
              <w:numPr>
                <w:ilvl w:val="0"/>
                <w:numId w:val="3"/>
              </w:numPr>
              <w:ind w:left="738"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w:t>
            </w:r>
            <w:r w:rsidRPr="00286A36">
              <w:rPr>
                <w:rFonts w:ascii="Times New Roman" w:eastAsia="Times New Roman" w:hAnsi="Times New Roman" w:cs="Times New Roman"/>
                <w:sz w:val="24"/>
                <w:szCs w:val="24"/>
                <w:lang w:eastAsia="sk-SK"/>
              </w:rPr>
              <w:t>prava</w:t>
            </w:r>
            <w:r>
              <w:rPr>
                <w:rFonts w:ascii="Times New Roman" w:eastAsia="Times New Roman" w:hAnsi="Times New Roman" w:cs="Times New Roman"/>
                <w:sz w:val="24"/>
                <w:szCs w:val="24"/>
                <w:lang w:eastAsia="sk-SK"/>
              </w:rPr>
              <w:t xml:space="preserve"> a spresnenie</w:t>
            </w:r>
            <w:r w:rsidRPr="00286A36">
              <w:rPr>
                <w:rFonts w:ascii="Times New Roman" w:eastAsia="Times New Roman" w:hAnsi="Times New Roman" w:cs="Times New Roman"/>
                <w:sz w:val="24"/>
                <w:szCs w:val="24"/>
                <w:lang w:eastAsia="sk-SK"/>
              </w:rPr>
              <w:t xml:space="preserve"> definície zahraničnej závislej osoby, </w:t>
            </w:r>
          </w:p>
          <w:p w:rsidR="004C0B34" w:rsidRPr="00286A36" w:rsidRDefault="004C0B34" w:rsidP="004C0B34">
            <w:pPr>
              <w:pStyle w:val="Odsekzoznamu"/>
              <w:numPr>
                <w:ilvl w:val="0"/>
                <w:numId w:val="3"/>
              </w:numPr>
              <w:ind w:left="738" w:hanging="425"/>
              <w:jc w:val="both"/>
              <w:rPr>
                <w:rFonts w:ascii="Times New Roman" w:eastAsia="Times New Roman" w:hAnsi="Times New Roman" w:cs="Times New Roman"/>
                <w:sz w:val="24"/>
                <w:szCs w:val="24"/>
                <w:lang w:eastAsia="sk-SK"/>
              </w:rPr>
            </w:pPr>
            <w:r w:rsidRPr="00286A36">
              <w:rPr>
                <w:rFonts w:ascii="Times New Roman" w:eastAsia="Times New Roman" w:hAnsi="Times New Roman" w:cs="Times New Roman"/>
                <w:sz w:val="24"/>
                <w:szCs w:val="24"/>
                <w:lang w:eastAsia="sk-SK"/>
              </w:rPr>
              <w:t>spresnenie definície kontrolovanej transakcie</w:t>
            </w:r>
            <w:r>
              <w:rPr>
                <w:rFonts w:ascii="Times New Roman" w:eastAsia="Times New Roman" w:hAnsi="Times New Roman" w:cs="Times New Roman"/>
                <w:sz w:val="24"/>
                <w:szCs w:val="24"/>
                <w:lang w:eastAsia="sk-SK"/>
              </w:rPr>
              <w:t xml:space="preserve"> a doplnenie významnej kontrolovanej transakcie (bezpečný prístav),</w:t>
            </w:r>
          </w:p>
          <w:p w:rsidR="004C0B34" w:rsidRPr="00286A36" w:rsidRDefault="004C0B34" w:rsidP="004C0B34">
            <w:pPr>
              <w:pStyle w:val="Odsekzoznamu"/>
              <w:numPr>
                <w:ilvl w:val="0"/>
                <w:numId w:val="3"/>
              </w:numPr>
              <w:ind w:left="738"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doplnenie pravidiel pri určení</w:t>
            </w:r>
            <w:r w:rsidRPr="00286A36">
              <w:rPr>
                <w:rFonts w:ascii="Times New Roman" w:eastAsia="Times New Roman" w:hAnsi="Times New Roman" w:cs="Times New Roman"/>
                <w:sz w:val="24"/>
                <w:szCs w:val="24"/>
                <w:lang w:eastAsia="sk-SK"/>
              </w:rPr>
              <w:t xml:space="preserve"> základu dane stálej prevádzkarne daňovník</w:t>
            </w:r>
            <w:r>
              <w:rPr>
                <w:rFonts w:ascii="Times New Roman" w:eastAsia="Times New Roman" w:hAnsi="Times New Roman" w:cs="Times New Roman"/>
                <w:sz w:val="24"/>
                <w:szCs w:val="24"/>
                <w:lang w:eastAsia="sk-SK"/>
              </w:rPr>
              <w:t>a</w:t>
            </w:r>
            <w:r w:rsidRPr="00286A36">
              <w:rPr>
                <w:rFonts w:ascii="Times New Roman" w:eastAsia="Times New Roman" w:hAnsi="Times New Roman" w:cs="Times New Roman"/>
                <w:sz w:val="24"/>
                <w:szCs w:val="24"/>
                <w:lang w:eastAsia="sk-SK"/>
              </w:rPr>
              <w:t xml:space="preserve"> s obmedzenou daňovou povinnosťou (nerezident</w:t>
            </w:r>
            <w:r>
              <w:rPr>
                <w:rFonts w:ascii="Times New Roman" w:eastAsia="Times New Roman" w:hAnsi="Times New Roman" w:cs="Times New Roman"/>
                <w:sz w:val="24"/>
                <w:szCs w:val="24"/>
                <w:lang w:eastAsia="sk-SK"/>
              </w:rPr>
              <w:t>a</w:t>
            </w:r>
            <w:r w:rsidRPr="00286A36">
              <w:rPr>
                <w:rFonts w:ascii="Times New Roman" w:eastAsia="Times New Roman" w:hAnsi="Times New Roman" w:cs="Times New Roman"/>
                <w:sz w:val="24"/>
                <w:szCs w:val="24"/>
                <w:lang w:eastAsia="sk-SK"/>
              </w:rPr>
              <w:t>) na území SR</w:t>
            </w:r>
            <w:r>
              <w:rPr>
                <w:rFonts w:ascii="Times New Roman" w:eastAsia="Times New Roman" w:hAnsi="Times New Roman" w:cs="Times New Roman"/>
                <w:sz w:val="24"/>
                <w:szCs w:val="24"/>
                <w:lang w:eastAsia="sk-SK"/>
              </w:rPr>
              <w:t xml:space="preserve"> v súlade s aktuálnou metodikou Smernice OECD </w:t>
            </w:r>
            <w:r w:rsidRPr="00AE791B">
              <w:rPr>
                <w:rFonts w:ascii="Times New Roman" w:eastAsia="Times New Roman" w:hAnsi="Times New Roman" w:cs="Times New Roman"/>
                <w:sz w:val="24"/>
                <w:szCs w:val="24"/>
                <w:lang w:eastAsia="sk-SK"/>
              </w:rPr>
              <w:t>o transferovom oceňovaní</w:t>
            </w:r>
            <w:r>
              <w:rPr>
                <w:rFonts w:ascii="Times New Roman" w:eastAsia="Times New Roman" w:hAnsi="Times New Roman" w:cs="Times New Roman"/>
                <w:sz w:val="24"/>
                <w:szCs w:val="24"/>
                <w:lang w:eastAsia="sk-SK"/>
              </w:rPr>
              <w:t>,</w:t>
            </w:r>
            <w:r w:rsidRPr="00286A36">
              <w:rPr>
                <w:rFonts w:ascii="Times New Roman" w:eastAsia="Times New Roman" w:hAnsi="Times New Roman" w:cs="Times New Roman"/>
                <w:sz w:val="24"/>
                <w:szCs w:val="24"/>
                <w:lang w:eastAsia="sk-SK"/>
              </w:rPr>
              <w:t xml:space="preserve"> </w:t>
            </w:r>
          </w:p>
          <w:p w:rsidR="004C0B34" w:rsidRDefault="004C0B34" w:rsidP="004C0B34">
            <w:pPr>
              <w:pStyle w:val="Odsekzoznamu"/>
              <w:numPr>
                <w:ilvl w:val="0"/>
                <w:numId w:val="3"/>
              </w:numPr>
              <w:ind w:left="738"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doplnenie pravidiel pri korešpondujúcej úprave základu dane v prípade </w:t>
            </w:r>
            <w:r w:rsidRPr="00286A36">
              <w:rPr>
                <w:rFonts w:ascii="Times New Roman" w:eastAsia="Times New Roman" w:hAnsi="Times New Roman" w:cs="Times New Roman"/>
                <w:sz w:val="24"/>
                <w:szCs w:val="24"/>
                <w:lang w:eastAsia="sk-SK"/>
              </w:rPr>
              <w:t>stálej prevádzkarne daňovník</w:t>
            </w:r>
            <w:r>
              <w:rPr>
                <w:rFonts w:ascii="Times New Roman" w:eastAsia="Times New Roman" w:hAnsi="Times New Roman" w:cs="Times New Roman"/>
                <w:sz w:val="24"/>
                <w:szCs w:val="24"/>
                <w:lang w:eastAsia="sk-SK"/>
              </w:rPr>
              <w:t xml:space="preserve">a </w:t>
            </w:r>
            <w:r w:rsidRPr="00286A36">
              <w:rPr>
                <w:rFonts w:ascii="Times New Roman" w:eastAsia="Times New Roman" w:hAnsi="Times New Roman" w:cs="Times New Roman"/>
                <w:sz w:val="24"/>
                <w:szCs w:val="24"/>
                <w:lang w:eastAsia="sk-SK"/>
              </w:rPr>
              <w:t>s obmedzenou daňovou povinnosťou (nerezident</w:t>
            </w:r>
            <w:r>
              <w:rPr>
                <w:rFonts w:ascii="Times New Roman" w:eastAsia="Times New Roman" w:hAnsi="Times New Roman" w:cs="Times New Roman"/>
                <w:sz w:val="24"/>
                <w:szCs w:val="24"/>
                <w:lang w:eastAsia="sk-SK"/>
              </w:rPr>
              <w:t>a</w:t>
            </w:r>
            <w:r w:rsidRPr="00286A36">
              <w:rPr>
                <w:rFonts w:ascii="Times New Roman" w:eastAsia="Times New Roman" w:hAnsi="Times New Roman" w:cs="Times New Roman"/>
                <w:sz w:val="24"/>
                <w:szCs w:val="24"/>
                <w:lang w:eastAsia="sk-SK"/>
              </w:rPr>
              <w:t>) na území SR</w:t>
            </w:r>
            <w:r>
              <w:rPr>
                <w:rFonts w:ascii="Times New Roman" w:eastAsia="Times New Roman" w:hAnsi="Times New Roman" w:cs="Times New Roman"/>
                <w:sz w:val="24"/>
                <w:szCs w:val="24"/>
                <w:lang w:eastAsia="sk-SK"/>
              </w:rPr>
              <w:t xml:space="preserve">, </w:t>
            </w:r>
          </w:p>
          <w:p w:rsidR="004C0B34" w:rsidRDefault="004C0B34" w:rsidP="004C0B34">
            <w:pPr>
              <w:pStyle w:val="Odsekzoznamu"/>
              <w:numPr>
                <w:ilvl w:val="0"/>
                <w:numId w:val="3"/>
              </w:numPr>
              <w:ind w:left="738"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doplnenie odkazu na </w:t>
            </w:r>
            <w:r w:rsidRPr="00AE791B">
              <w:rPr>
                <w:rFonts w:ascii="Times New Roman" w:eastAsia="Times New Roman" w:hAnsi="Times New Roman" w:cs="Times New Roman"/>
                <w:sz w:val="24"/>
                <w:szCs w:val="24"/>
                <w:lang w:eastAsia="sk-SK"/>
              </w:rPr>
              <w:t>Smernicu OECD o transferovom oceňovaní do zákona o dani z príjmov z dôvodu zabezpečenia právnej istoty pri uplatňovaní pravidiel transferového oceňovania</w:t>
            </w:r>
            <w:r>
              <w:rPr>
                <w:rFonts w:ascii="Times New Roman" w:eastAsia="Times New Roman" w:hAnsi="Times New Roman" w:cs="Times New Roman"/>
                <w:sz w:val="24"/>
                <w:szCs w:val="24"/>
                <w:lang w:eastAsia="sk-SK"/>
              </w:rPr>
              <w:t>.</w:t>
            </w:r>
          </w:p>
          <w:p w:rsidR="004C0B34" w:rsidRPr="004424FB" w:rsidRDefault="004C0B34" w:rsidP="004C0B34">
            <w:pPr>
              <w:pStyle w:val="Odsekzoznamu"/>
              <w:numPr>
                <w:ilvl w:val="0"/>
                <w:numId w:val="5"/>
              </w:numPr>
              <w:ind w:left="313" w:hanging="284"/>
              <w:jc w:val="both"/>
              <w:rPr>
                <w:rFonts w:ascii="Times New Roman" w:hAnsi="Times New Roman"/>
                <w:sz w:val="24"/>
                <w:szCs w:val="24"/>
              </w:rPr>
            </w:pPr>
            <w:r w:rsidRPr="004424FB">
              <w:rPr>
                <w:rFonts w:ascii="Times New Roman" w:hAnsi="Times New Roman"/>
                <w:sz w:val="24"/>
                <w:szCs w:val="24"/>
              </w:rPr>
              <w:t xml:space="preserve">Transpozíciou </w:t>
            </w:r>
            <w:r>
              <w:rPr>
                <w:rFonts w:ascii="Times New Roman" w:hAnsi="Times New Roman"/>
                <w:sz w:val="24"/>
                <w:szCs w:val="24"/>
              </w:rPr>
              <w:t xml:space="preserve">smernice EÚ </w:t>
            </w:r>
            <w:r w:rsidRPr="004424FB">
              <w:rPr>
                <w:rFonts w:ascii="Times New Roman" w:hAnsi="Times New Roman"/>
                <w:sz w:val="24"/>
                <w:szCs w:val="24"/>
              </w:rPr>
              <w:t xml:space="preserve">do </w:t>
            </w:r>
            <w:r>
              <w:rPr>
                <w:rFonts w:ascii="Times New Roman" w:hAnsi="Times New Roman"/>
                <w:sz w:val="24"/>
                <w:szCs w:val="24"/>
              </w:rPr>
              <w:t xml:space="preserve">vnútroštátneho </w:t>
            </w:r>
            <w:r w:rsidRPr="004424FB">
              <w:rPr>
                <w:rFonts w:ascii="Times New Roman" w:hAnsi="Times New Roman"/>
                <w:sz w:val="24"/>
                <w:szCs w:val="24"/>
              </w:rPr>
              <w:t>zákona dochádza k obmedzeniu čistých úrokových nákladov u právnických osôb s cieľom zabrániť umelému znižovaniu základu dane z príjmov právnických osôb prostredníctvom dlhového financovania.</w:t>
            </w:r>
          </w:p>
          <w:p w:rsidR="004C0B34" w:rsidRPr="004424FB" w:rsidRDefault="004C0B34" w:rsidP="004C0B34">
            <w:pPr>
              <w:pStyle w:val="Odsekzoznamu"/>
              <w:numPr>
                <w:ilvl w:val="0"/>
                <w:numId w:val="5"/>
              </w:numPr>
              <w:ind w:left="313" w:hanging="284"/>
              <w:jc w:val="both"/>
              <w:rPr>
                <w:rFonts w:ascii="Times New Roman" w:hAnsi="Times New Roman"/>
                <w:sz w:val="24"/>
                <w:szCs w:val="24"/>
              </w:rPr>
            </w:pPr>
            <w:r>
              <w:rPr>
                <w:rFonts w:ascii="Times New Roman" w:hAnsi="Times New Roman"/>
                <w:sz w:val="24"/>
                <w:szCs w:val="24"/>
              </w:rPr>
              <w:t>V n</w:t>
            </w:r>
            <w:r w:rsidRPr="004424FB">
              <w:rPr>
                <w:rFonts w:ascii="Times New Roman" w:hAnsi="Times New Roman"/>
                <w:sz w:val="24"/>
                <w:szCs w:val="24"/>
              </w:rPr>
              <w:t>ovel</w:t>
            </w:r>
            <w:r>
              <w:rPr>
                <w:rFonts w:ascii="Times New Roman" w:hAnsi="Times New Roman"/>
                <w:sz w:val="24"/>
                <w:szCs w:val="24"/>
              </w:rPr>
              <w:t>e</w:t>
            </w:r>
            <w:r w:rsidRPr="004424FB">
              <w:rPr>
                <w:rFonts w:ascii="Times New Roman" w:hAnsi="Times New Roman"/>
                <w:sz w:val="24"/>
                <w:szCs w:val="24"/>
              </w:rPr>
              <w:t xml:space="preserve"> zákona </w:t>
            </w:r>
            <w:r>
              <w:rPr>
                <w:rFonts w:ascii="Times New Roman" w:hAnsi="Times New Roman"/>
                <w:sz w:val="24"/>
                <w:szCs w:val="24"/>
              </w:rPr>
              <w:t xml:space="preserve">sa </w:t>
            </w:r>
            <w:r w:rsidRPr="004424FB">
              <w:rPr>
                <w:rFonts w:ascii="Times New Roman" w:hAnsi="Times New Roman"/>
                <w:sz w:val="24"/>
                <w:szCs w:val="24"/>
              </w:rPr>
              <w:t>dopĺňa postup daňovníka v prípade preventívnej reštrukturalizácie. Ide o legislatívnu úpravu tzv. zákonného a daňovo uznaného odpisu pohľadávok, podľa ktorej bude postupovať daňovník pri zániku pohľadávky alebo záväzku, vrátane odpustenia dlhu, ako aj pri tvorbe opravných položiek k pohľadávkam.</w:t>
            </w:r>
          </w:p>
          <w:p w:rsidR="004C0B34" w:rsidRDefault="004C0B34" w:rsidP="004C0B34">
            <w:pPr>
              <w:pStyle w:val="Odsekzoznamu"/>
              <w:numPr>
                <w:ilvl w:val="0"/>
                <w:numId w:val="5"/>
              </w:numPr>
              <w:ind w:left="313" w:hanging="284"/>
              <w:jc w:val="both"/>
              <w:rPr>
                <w:rFonts w:ascii="Times New Roman" w:hAnsi="Times New Roman"/>
                <w:sz w:val="24"/>
                <w:szCs w:val="24"/>
              </w:rPr>
            </w:pPr>
            <w:r>
              <w:rPr>
                <w:rFonts w:ascii="Times New Roman" w:hAnsi="Times New Roman"/>
                <w:sz w:val="24"/>
                <w:szCs w:val="24"/>
              </w:rPr>
              <w:t>Novelou zákona sa od</w:t>
            </w:r>
            <w:r w:rsidRPr="004424FB">
              <w:rPr>
                <w:rFonts w:ascii="Times New Roman" w:hAnsi="Times New Roman"/>
                <w:sz w:val="24"/>
                <w:szCs w:val="24"/>
              </w:rPr>
              <w:t xml:space="preserve"> 1. 1. 2023 </w:t>
            </w:r>
            <w:r>
              <w:rPr>
                <w:rFonts w:ascii="Times New Roman" w:hAnsi="Times New Roman"/>
                <w:sz w:val="24"/>
                <w:szCs w:val="24"/>
              </w:rPr>
              <w:t>sa  mení spôsob registrácie k dani z príjmov u vybraných typov daňovníkov</w:t>
            </w:r>
            <w:r w:rsidRPr="004424FB">
              <w:rPr>
                <w:rFonts w:ascii="Times New Roman" w:hAnsi="Times New Roman"/>
                <w:sz w:val="24"/>
                <w:szCs w:val="24"/>
              </w:rPr>
              <w:t>. Správca dane bude registrovať daňovníkov na daň z príjmov z úradnej moci na základe údajov z registra právnických osôb, podnikateľov a orgánov verejnej moci zapísaných do obchodného registra a živnostenského registra</w:t>
            </w:r>
            <w:r>
              <w:rPr>
                <w:rFonts w:ascii="Times New Roman" w:hAnsi="Times New Roman"/>
                <w:sz w:val="24"/>
                <w:szCs w:val="24"/>
              </w:rPr>
              <w:t xml:space="preserve"> a podľa oznámenia finančného riaditeľstva zverejneného na jeho webovom sídle</w:t>
            </w:r>
            <w:r w:rsidRPr="004424FB">
              <w:rPr>
                <w:rFonts w:ascii="Times New Roman" w:hAnsi="Times New Roman"/>
                <w:sz w:val="24"/>
                <w:szCs w:val="24"/>
              </w:rPr>
              <w:t>.</w:t>
            </w:r>
          </w:p>
          <w:p w:rsidR="004C0B34" w:rsidRDefault="004C0B34" w:rsidP="004C0B34">
            <w:pPr>
              <w:ind w:left="29"/>
              <w:jc w:val="both"/>
              <w:rPr>
                <w:rFonts w:ascii="Times New Roman" w:hAnsi="Times New Roman"/>
                <w:b/>
                <w:sz w:val="24"/>
                <w:szCs w:val="24"/>
              </w:rPr>
            </w:pPr>
            <w:r w:rsidRPr="0089386C">
              <w:rPr>
                <w:rFonts w:ascii="Times New Roman" w:hAnsi="Times New Roman"/>
                <w:b/>
                <w:sz w:val="24"/>
                <w:szCs w:val="24"/>
              </w:rPr>
              <w:t>K novele Daňového poriadku</w:t>
            </w:r>
            <w:r>
              <w:rPr>
                <w:rFonts w:ascii="Times New Roman" w:hAnsi="Times New Roman"/>
                <w:b/>
                <w:sz w:val="24"/>
                <w:szCs w:val="24"/>
              </w:rPr>
              <w:t>:</w:t>
            </w:r>
          </w:p>
          <w:p w:rsidR="004C0B34" w:rsidRPr="009D61A8" w:rsidRDefault="004C0B34" w:rsidP="004C0B34">
            <w:pPr>
              <w:pStyle w:val="Odsekzoznamu"/>
              <w:numPr>
                <w:ilvl w:val="0"/>
                <w:numId w:val="4"/>
              </w:numPr>
              <w:ind w:left="313" w:hanging="284"/>
              <w:jc w:val="both"/>
              <w:rPr>
                <w:rFonts w:ascii="Times New Roman" w:hAnsi="Times New Roman" w:cs="Times New Roman"/>
                <w:sz w:val="24"/>
                <w:szCs w:val="24"/>
              </w:rPr>
            </w:pPr>
            <w:r w:rsidRPr="009D61A8">
              <w:rPr>
                <w:rFonts w:ascii="Times New Roman" w:hAnsi="Times New Roman"/>
                <w:sz w:val="24"/>
                <w:szCs w:val="24"/>
              </w:rPr>
              <w:t>Zavádza sa „druhá šanca“ pri ukladaní pokút. Navrhuje</w:t>
            </w:r>
            <w:r w:rsidRPr="009D61A8">
              <w:rPr>
                <w:rFonts w:ascii="Times New Roman" w:hAnsi="Times New Roman" w:cs="Times New Roman"/>
                <w:sz w:val="24"/>
                <w:szCs w:val="24"/>
              </w:rPr>
              <w:t xml:space="preserve"> sa, aby pri prvom zistení porušenia, správca dane pokutu, ktorú je možné určiť v rámci intervalového rozpätia, neuložil, ale aby vyzval na splnenie povinnosti a aby zároveň upozornil daňový subjekt, že pri ďalšom porušení už bude uložená pokuta.</w:t>
            </w:r>
          </w:p>
          <w:p w:rsidR="004C0B34" w:rsidRPr="009D61A8" w:rsidRDefault="004C0B34" w:rsidP="004C0B34">
            <w:pPr>
              <w:pStyle w:val="Odsekzoznamu"/>
              <w:numPr>
                <w:ilvl w:val="0"/>
                <w:numId w:val="4"/>
              </w:numPr>
              <w:ind w:left="313" w:hanging="284"/>
              <w:jc w:val="both"/>
              <w:rPr>
                <w:rFonts w:ascii="Times New Roman" w:hAnsi="Times New Roman"/>
                <w:b/>
                <w:sz w:val="24"/>
                <w:szCs w:val="24"/>
              </w:rPr>
            </w:pPr>
            <w:r w:rsidRPr="00D03B1D">
              <w:rPr>
                <w:rFonts w:ascii="Times New Roman" w:hAnsi="Times New Roman"/>
                <w:sz w:val="24"/>
                <w:szCs w:val="24"/>
              </w:rPr>
              <w:t>Skracuje</w:t>
            </w:r>
            <w:r w:rsidRPr="009D61A8">
              <w:rPr>
                <w:rFonts w:ascii="Times New Roman" w:hAnsi="Times New Roman" w:cs="Times New Roman"/>
                <w:sz w:val="24"/>
                <w:szCs w:val="24"/>
              </w:rPr>
              <w:t xml:space="preserve"> sa lehota na vyrubenie úroku z omeškania pri úhrade nedoplatku v plnej výške. Navrhuje sa</w:t>
            </w:r>
            <w:r>
              <w:rPr>
                <w:rFonts w:ascii="Times New Roman" w:hAnsi="Times New Roman" w:cs="Times New Roman"/>
                <w:sz w:val="24"/>
                <w:szCs w:val="24"/>
              </w:rPr>
              <w:t>,</w:t>
            </w:r>
            <w:r w:rsidRPr="009D61A8">
              <w:rPr>
                <w:rFonts w:ascii="Times New Roman" w:hAnsi="Times New Roman" w:cs="Times New Roman"/>
                <w:sz w:val="24"/>
                <w:szCs w:val="24"/>
              </w:rPr>
              <w:t xml:space="preserve"> aby správca dane vyrubil úrok z omeškania do jedného roka od konca roka, v ktorom bola táto suma uhradená. </w:t>
            </w:r>
          </w:p>
        </w:tc>
      </w:tr>
      <w:tr w:rsidR="00EA3A14"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EA3A14" w:rsidRPr="00B043B4" w:rsidRDefault="00EA3A14" w:rsidP="00EA3A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EA3A14"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4C0B34" w:rsidRPr="00C72927" w:rsidRDefault="004C0B34" w:rsidP="004C0B34">
            <w:pPr>
              <w:jc w:val="both"/>
              <w:rPr>
                <w:rFonts w:ascii="Times New Roman" w:eastAsia="Times New Roman" w:hAnsi="Times New Roman" w:cs="Times New Roman"/>
                <w:sz w:val="24"/>
                <w:szCs w:val="24"/>
                <w:lang w:eastAsia="sk-SK"/>
              </w:rPr>
            </w:pPr>
            <w:r w:rsidRPr="005775C9">
              <w:rPr>
                <w:rFonts w:ascii="Times New Roman" w:eastAsia="Times New Roman" w:hAnsi="Times New Roman" w:cs="Times New Roman"/>
                <w:sz w:val="24"/>
                <w:szCs w:val="24"/>
                <w:lang w:eastAsia="sk-SK"/>
              </w:rPr>
              <w:t xml:space="preserve">Navrhovaná </w:t>
            </w:r>
            <w:r w:rsidRPr="00C72927">
              <w:rPr>
                <w:rFonts w:ascii="Times New Roman" w:eastAsia="Times New Roman" w:hAnsi="Times New Roman" w:cs="Times New Roman"/>
                <w:sz w:val="24"/>
                <w:szCs w:val="24"/>
                <w:lang w:eastAsia="sk-SK"/>
              </w:rPr>
              <w:t xml:space="preserve">úprava v zákone o dani z príjmov sa dotkne právnických osôb  a fyzických osôb-podnikateľov a všetkých fyzických osôb, ktoré majú nárok na uplatnenie daňového bonusu.  </w:t>
            </w:r>
          </w:p>
          <w:p w:rsidR="00EA3A14" w:rsidRPr="005775C9" w:rsidRDefault="004C0B34" w:rsidP="00EA3A14">
            <w:pPr>
              <w:jc w:val="both"/>
              <w:rPr>
                <w:rFonts w:ascii="Times New Roman" w:eastAsia="Times New Roman" w:hAnsi="Times New Roman" w:cs="Times New Roman"/>
                <w:sz w:val="24"/>
                <w:szCs w:val="24"/>
                <w:lang w:eastAsia="sk-SK"/>
              </w:rPr>
            </w:pPr>
            <w:r w:rsidRPr="00C72927">
              <w:rPr>
                <w:rFonts w:ascii="Times New Roman" w:eastAsia="Times New Roman" w:hAnsi="Times New Roman" w:cs="Times New Roman"/>
                <w:sz w:val="24"/>
                <w:szCs w:val="24"/>
                <w:lang w:eastAsia="sk-SK"/>
              </w:rPr>
              <w:t>Navrhovaná úprava v daňovom poriadku sa dotkne všetkých daňových subjektov.</w:t>
            </w:r>
          </w:p>
        </w:tc>
      </w:tr>
      <w:tr w:rsidR="00EA3A14" w:rsidRPr="00B043B4" w:rsidTr="00A565F5">
        <w:tc>
          <w:tcPr>
            <w:tcW w:w="9180" w:type="dxa"/>
            <w:gridSpan w:val="11"/>
            <w:tcBorders>
              <w:top w:val="single" w:sz="4" w:space="0" w:color="auto"/>
              <w:left w:val="single" w:sz="4" w:space="0" w:color="auto"/>
              <w:bottom w:val="single" w:sz="4" w:space="0" w:color="auto"/>
              <w:right w:val="single" w:sz="4" w:space="0" w:color="auto"/>
            </w:tcBorders>
            <w:shd w:val="clear" w:color="auto" w:fill="E2E2E2"/>
          </w:tcPr>
          <w:p w:rsidR="00EA3A14" w:rsidRPr="00B043B4" w:rsidRDefault="00EA3A14" w:rsidP="00EA3A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4C0B34" w:rsidRPr="00B043B4" w:rsidTr="00A565F5">
        <w:trPr>
          <w:trHeight w:val="605"/>
        </w:trPr>
        <w:tc>
          <w:tcPr>
            <w:tcW w:w="9180" w:type="dxa"/>
            <w:gridSpan w:val="11"/>
            <w:tcBorders>
              <w:top w:val="single" w:sz="4" w:space="0" w:color="auto"/>
              <w:left w:val="single" w:sz="4" w:space="0" w:color="auto"/>
              <w:bottom w:val="single" w:sz="4" w:space="0" w:color="auto"/>
              <w:right w:val="single" w:sz="4" w:space="0" w:color="auto"/>
            </w:tcBorders>
            <w:shd w:val="clear" w:color="auto" w:fill="FFFFFF"/>
          </w:tcPr>
          <w:p w:rsidR="004C0B34" w:rsidRPr="004C0B34" w:rsidRDefault="004C0B34" w:rsidP="004C0B34">
            <w:pPr>
              <w:pStyle w:val="Default"/>
              <w:jc w:val="both"/>
              <w:rPr>
                <w:b/>
                <w:color w:val="auto"/>
              </w:rPr>
            </w:pPr>
            <w:r w:rsidRPr="004C0B34">
              <w:rPr>
                <w:b/>
                <w:color w:val="auto"/>
              </w:rPr>
              <w:t>Daň z príjmov</w:t>
            </w:r>
          </w:p>
          <w:p w:rsidR="004C0B34" w:rsidRPr="00C72927" w:rsidRDefault="004C0B34" w:rsidP="004C0B34">
            <w:pPr>
              <w:pStyle w:val="Default"/>
              <w:jc w:val="both"/>
              <w:rPr>
                <w:color w:val="auto"/>
              </w:rPr>
            </w:pPr>
            <w:r w:rsidRPr="00C72927">
              <w:rPr>
                <w:color w:val="auto"/>
              </w:rPr>
              <w:t>Nulový variant – pravidlo o obmedzení úrokových nákladov</w:t>
            </w:r>
          </w:p>
          <w:p w:rsidR="004C0B34" w:rsidRPr="00C72927" w:rsidRDefault="004C0B34" w:rsidP="004C0B34">
            <w:pPr>
              <w:pStyle w:val="Default"/>
              <w:jc w:val="both"/>
              <w:rPr>
                <w:color w:val="auto"/>
              </w:rPr>
            </w:pPr>
            <w:r w:rsidRPr="00C72927">
              <w:rPr>
                <w:color w:val="auto"/>
              </w:rPr>
              <w:t xml:space="preserve">Nezavedenie pravidla o obmedzení úrokových nákladov do zákona o dani z príjmov by viedlo k začatiu konania Komisie EÚ o porušení z dôvodu </w:t>
            </w:r>
            <w:proofErr w:type="spellStart"/>
            <w:r w:rsidRPr="00C72927">
              <w:rPr>
                <w:color w:val="auto"/>
              </w:rPr>
              <w:t>neimplementácie</w:t>
            </w:r>
            <w:proofErr w:type="spellEnd"/>
            <w:r w:rsidRPr="00C72927">
              <w:rPr>
                <w:color w:val="auto"/>
              </w:rPr>
              <w:t xml:space="preserve"> prijatej smernice EÚ (</w:t>
            </w:r>
            <w:r w:rsidRPr="00C72927">
              <w:rPr>
                <w:color w:val="auto"/>
                <w:lang w:val="en-GB"/>
              </w:rPr>
              <w:t xml:space="preserve">infringement procedure) s </w:t>
            </w:r>
            <w:r w:rsidRPr="00C72927">
              <w:rPr>
                <w:color w:val="auto"/>
              </w:rPr>
              <w:t>následnými sankciami voči SR.</w:t>
            </w:r>
          </w:p>
          <w:p w:rsidR="004C0B34" w:rsidRPr="00C72927" w:rsidRDefault="004C0B34" w:rsidP="004C0B34">
            <w:pPr>
              <w:pStyle w:val="Default"/>
              <w:jc w:val="both"/>
              <w:rPr>
                <w:color w:val="auto"/>
              </w:rPr>
            </w:pPr>
            <w:r w:rsidRPr="00C72927">
              <w:rPr>
                <w:color w:val="auto"/>
              </w:rPr>
              <w:t>Nulový variant – bezpečný prístav</w:t>
            </w:r>
          </w:p>
          <w:p w:rsidR="004C0B34" w:rsidRPr="00C72927" w:rsidRDefault="004C0B34" w:rsidP="004C0B34">
            <w:pPr>
              <w:pStyle w:val="Default"/>
              <w:jc w:val="both"/>
              <w:rPr>
                <w:color w:val="auto"/>
              </w:rPr>
            </w:pPr>
            <w:r w:rsidRPr="00C72927">
              <w:rPr>
                <w:color w:val="auto"/>
              </w:rPr>
              <w:t>Zavedenie bezpečného prístavu  pri posudzovaní významnej kontrolovanej transakcie bola dlhodobá požiadavka zo strany podnikateľských subjektov za účelom zníženia administratívnej záťaže podnikateľov, ktorí sú závislými osobami.</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lastRenderedPageBreak/>
              <w:t xml:space="preserve">Nulový variant – tvorba rezerv v poisťovniach </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 xml:space="preserve">Poisťovniam vzniká povinnosť vytvárať rezervy novým spôsobom podľa štandardu IFRS 17, a preto je nevyhnuté zosúladiť tento spôsob vykazovania aj s príslušnými ustanoveniami v zákone o dani z príjmov. </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Nulový variant – možnosť uplatnenia vyššej sumy daňového bonusu na vyživované dieťa (deti)</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Zavedením možnosti zápočtu príjmov (čiastkových základov dane) obidvoch oprávnených osôb (</w:t>
            </w:r>
            <w:proofErr w:type="spellStart"/>
            <w:r w:rsidRPr="00C72927">
              <w:rPr>
                <w:rFonts w:ascii="Times New Roman" w:hAnsi="Times New Roman" w:cs="Times New Roman"/>
                <w:sz w:val="24"/>
                <w:szCs w:val="24"/>
              </w:rPr>
              <w:t>napr</w:t>
            </w:r>
            <w:proofErr w:type="spellEnd"/>
            <w:r w:rsidRPr="00C72927">
              <w:rPr>
                <w:rFonts w:ascii="Times New Roman" w:hAnsi="Times New Roman" w:cs="Times New Roman"/>
                <w:sz w:val="24"/>
                <w:szCs w:val="24"/>
              </w:rPr>
              <w:t>,. rodičov)  do úhrnu príjmov na účely uplatnenia daňového bonusu sa umožní uplatnenie daňového bonusu vo vyššej sume u daňovníkov, ktorým ich vlastný príjem (čiastkový základ dane) nepostačuje na uplatnenie daňového bonusu v plnej výške.</w:t>
            </w:r>
          </w:p>
          <w:p w:rsidR="004C0B34" w:rsidRPr="00C72927" w:rsidRDefault="004C0B34" w:rsidP="004C0B34">
            <w:pPr>
              <w:jc w:val="both"/>
              <w:rPr>
                <w:rFonts w:ascii="Times New Roman" w:hAnsi="Times New Roman" w:cs="Times New Roman"/>
                <w:sz w:val="24"/>
                <w:szCs w:val="24"/>
              </w:rPr>
            </w:pPr>
          </w:p>
          <w:p w:rsidR="004C0B34" w:rsidRPr="004C0B34" w:rsidRDefault="004C0B34" w:rsidP="004C0B34">
            <w:pPr>
              <w:jc w:val="both"/>
              <w:rPr>
                <w:rFonts w:ascii="Times New Roman" w:hAnsi="Times New Roman" w:cs="Times New Roman"/>
                <w:b/>
                <w:sz w:val="24"/>
                <w:szCs w:val="24"/>
              </w:rPr>
            </w:pPr>
            <w:r w:rsidRPr="004C0B34">
              <w:rPr>
                <w:rFonts w:ascii="Times New Roman" w:hAnsi="Times New Roman" w:cs="Times New Roman"/>
                <w:b/>
                <w:sz w:val="24"/>
                <w:szCs w:val="24"/>
              </w:rPr>
              <w:t xml:space="preserve">Správa daní </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Nulový variant - pokuty</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 xml:space="preserve">V súčasnosti je správca dane povinný vyrubiť pokutu pri každom porušení (aj pri prvom). Ak má mať pokuta aj výchovný charakter, navrhuje sa pri prvom porušení pokutu neuložiť, ale vyzvať daňový subjekt na dodatočné splnenie povinnosti, alebo ak bola povinnosť splnená, oneskorene upozorniť, že pri ďalšom porušení už bude uložená pokuta. </w:t>
            </w:r>
          </w:p>
          <w:p w:rsidR="00652601"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 xml:space="preserve">Zavedením „druhej šance“ sa splní úloha z programového vyhlásenia vlády, ako aj požiadavky daňových subjektov. </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Nulový variant – skrátenie lehoty na vyrubenie úroku z omeškania</w:t>
            </w:r>
          </w:p>
          <w:p w:rsidR="004C0B34" w:rsidRPr="00C72927" w:rsidRDefault="004C0B34" w:rsidP="004C0B34">
            <w:pPr>
              <w:jc w:val="both"/>
              <w:rPr>
                <w:rFonts w:ascii="Times New Roman" w:hAnsi="Times New Roman" w:cs="Times New Roman"/>
                <w:sz w:val="24"/>
                <w:szCs w:val="24"/>
              </w:rPr>
            </w:pPr>
            <w:r w:rsidRPr="00C72927">
              <w:rPr>
                <w:rFonts w:ascii="Times New Roman" w:hAnsi="Times New Roman" w:cs="Times New Roman"/>
                <w:sz w:val="24"/>
                <w:szCs w:val="24"/>
              </w:rPr>
              <w:t xml:space="preserve">Úrok z omeškania je možné vyrubiť v lehote päť rokov od konca roka, v ktorom bola povinnosť uhradiť  daň, preddavok na daň, a to aj v prípade, že nedoplatok bol uhradený v plnej výške už v prvom roku. Navrhovanou úpravou sa zabezpečí, aby bol úrok z omeškania vyrubený do konca roka nasledujúceho po roku, v ktorom bola suma nedoplatku uhradená.  Skoršie vyrubenie úroku z omeškania bude zároveň pôsobiť preventívne, aby daňové subjekty platili daňové povinnosti včas.   </w:t>
            </w:r>
          </w:p>
        </w:tc>
      </w:tr>
      <w:tr w:rsidR="004C0B34"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0B34" w:rsidRPr="00B043B4" w:rsidRDefault="004C0B34" w:rsidP="004C0B3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4C0B34" w:rsidRPr="00B043B4" w:rsidTr="000800FC">
        <w:tc>
          <w:tcPr>
            <w:tcW w:w="6203" w:type="dxa"/>
            <w:gridSpan w:val="7"/>
            <w:tcBorders>
              <w:top w:val="single" w:sz="4" w:space="0" w:color="FFFFFF"/>
              <w:left w:val="single" w:sz="4" w:space="0" w:color="auto"/>
              <w:bottom w:val="nil"/>
              <w:right w:val="nil"/>
            </w:tcBorders>
            <w:shd w:val="clear" w:color="auto" w:fill="FFFFFF"/>
          </w:tcPr>
          <w:p w:rsidR="004C0B34" w:rsidRPr="00B043B4" w:rsidRDefault="004C0B34" w:rsidP="004C0B34">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4C0B34" w:rsidRPr="00B043B4" w:rsidRDefault="00764BC6" w:rsidP="004C0B34">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4C0B34">
                  <w:rPr>
                    <w:rFonts w:ascii="MS Gothic" w:eastAsia="MS Gothic" w:hAnsi="MS Gothic" w:cs="Times New Roman" w:hint="eastAsia"/>
                    <w:b/>
                    <w:sz w:val="20"/>
                    <w:szCs w:val="20"/>
                    <w:lang w:eastAsia="sk-SK"/>
                  </w:rPr>
                  <w:t>☐</w:t>
                </w:r>
              </w:sdtContent>
            </w:sdt>
            <w:r w:rsidR="004C0B34"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4C0B34" w:rsidRPr="00B043B4" w:rsidRDefault="00764BC6" w:rsidP="004C0B34">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4C0B34">
                  <w:rPr>
                    <w:rFonts w:ascii="MS Gothic" w:eastAsia="MS Gothic" w:hAnsi="MS Gothic" w:cs="Times New Roman" w:hint="eastAsia"/>
                    <w:b/>
                    <w:sz w:val="20"/>
                    <w:szCs w:val="20"/>
                    <w:lang w:eastAsia="sk-SK"/>
                  </w:rPr>
                  <w:t>☒</w:t>
                </w:r>
              </w:sdtContent>
            </w:sdt>
            <w:r w:rsidR="004C0B34" w:rsidRPr="00B043B4">
              <w:rPr>
                <w:rFonts w:ascii="Times New Roman" w:eastAsia="Times New Roman" w:hAnsi="Times New Roman" w:cs="Times New Roman"/>
                <w:b/>
                <w:sz w:val="20"/>
                <w:szCs w:val="20"/>
                <w:lang w:eastAsia="sk-SK"/>
              </w:rPr>
              <w:t xml:space="preserve">  Nie</w:t>
            </w:r>
          </w:p>
        </w:tc>
      </w:tr>
      <w:tr w:rsidR="004C0B34"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4C0B34" w:rsidRPr="00B043B4" w:rsidRDefault="004C0B34" w:rsidP="004C0B34">
            <w:pPr>
              <w:rPr>
                <w:rFonts w:ascii="Times New Roman" w:eastAsia="Times New Roman" w:hAnsi="Times New Roman" w:cs="Times New Roman"/>
                <w:sz w:val="20"/>
                <w:szCs w:val="20"/>
                <w:lang w:eastAsia="sk-SK"/>
              </w:rPr>
            </w:pPr>
          </w:p>
        </w:tc>
      </w:tr>
      <w:tr w:rsidR="004C0B34"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0B34" w:rsidRPr="00B043B4" w:rsidRDefault="004C0B34" w:rsidP="004C0B3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4C0B34"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A565F5" w:rsidRDefault="00A565F5" w:rsidP="004C0B34">
            <w:pPr>
              <w:jc w:val="both"/>
              <w:rPr>
                <w:rFonts w:ascii="Times New Roman" w:hAnsi="Times New Roman"/>
                <w:sz w:val="24"/>
                <w:szCs w:val="24"/>
              </w:rPr>
            </w:pPr>
          </w:p>
          <w:p w:rsidR="004C0B34" w:rsidRPr="00B043B4" w:rsidRDefault="004C0B34" w:rsidP="004C0B34">
            <w:pPr>
              <w:jc w:val="both"/>
              <w:rPr>
                <w:rFonts w:ascii="Times New Roman" w:eastAsia="Times New Roman" w:hAnsi="Times New Roman" w:cs="Times New Roman"/>
                <w:i/>
                <w:sz w:val="20"/>
                <w:szCs w:val="20"/>
                <w:lang w:eastAsia="sk-SK"/>
              </w:rPr>
            </w:pPr>
            <w:r>
              <w:rPr>
                <w:rFonts w:ascii="Times New Roman" w:hAnsi="Times New Roman"/>
                <w:sz w:val="24"/>
                <w:szCs w:val="24"/>
              </w:rPr>
              <w:t xml:space="preserve">Navrhovanými zákonmi </w:t>
            </w:r>
            <w:r w:rsidRPr="009C1E07">
              <w:rPr>
                <w:rFonts w:ascii="Times New Roman" w:hAnsi="Times New Roman"/>
                <w:sz w:val="24"/>
                <w:szCs w:val="24"/>
              </w:rPr>
              <w:t>dochádza k transpozícii práva EÚ.</w:t>
            </w:r>
          </w:p>
        </w:tc>
      </w:tr>
      <w:tr w:rsidR="004C0B34" w:rsidRPr="00B043B4" w:rsidTr="00A565F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0B34" w:rsidRPr="00B043B4" w:rsidRDefault="004C0B34" w:rsidP="004C0B3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4C0B34" w:rsidRPr="00B043B4" w:rsidTr="00A565F5">
        <w:tc>
          <w:tcPr>
            <w:tcW w:w="9180" w:type="dxa"/>
            <w:gridSpan w:val="11"/>
            <w:tcBorders>
              <w:top w:val="single" w:sz="4" w:space="0" w:color="FFFFFF"/>
              <w:left w:val="single" w:sz="4" w:space="0" w:color="auto"/>
              <w:bottom w:val="single" w:sz="4" w:space="0" w:color="FFFFFF"/>
              <w:right w:val="single" w:sz="4" w:space="0" w:color="auto"/>
            </w:tcBorders>
            <w:shd w:val="clear" w:color="auto" w:fill="FFFFFF"/>
          </w:tcPr>
          <w:p w:rsidR="00A565F5" w:rsidRDefault="00A565F5" w:rsidP="00A565F5">
            <w:pPr>
              <w:jc w:val="both"/>
              <w:rPr>
                <w:rFonts w:ascii="Times New Roman" w:hAnsi="Times New Roman"/>
                <w:sz w:val="24"/>
                <w:szCs w:val="24"/>
              </w:rPr>
            </w:pPr>
          </w:p>
          <w:p w:rsidR="00A565F5" w:rsidRPr="005E72C3" w:rsidRDefault="00A565F5" w:rsidP="00A565F5">
            <w:pPr>
              <w:jc w:val="both"/>
              <w:rPr>
                <w:rFonts w:ascii="Times New Roman" w:hAnsi="Times New Roman"/>
                <w:sz w:val="24"/>
                <w:szCs w:val="24"/>
              </w:rPr>
            </w:pPr>
            <w:r w:rsidRPr="005E72C3">
              <w:rPr>
                <w:rFonts w:ascii="Times New Roman" w:hAnsi="Times New Roman"/>
                <w:sz w:val="24"/>
                <w:szCs w:val="24"/>
              </w:rPr>
              <w:t xml:space="preserve">Preskúmanie účelnosti v súvislosti so zavedením pravidla o obmedzení úrokových nákladov je bezpredmetné, pretože SR má povinnosť implementovať smernice EÚ. </w:t>
            </w:r>
          </w:p>
          <w:p w:rsidR="00A565F5" w:rsidRPr="005E72C3" w:rsidRDefault="00A565F5" w:rsidP="00A565F5">
            <w:pPr>
              <w:jc w:val="both"/>
              <w:rPr>
                <w:rFonts w:ascii="Times New Roman" w:hAnsi="Times New Roman"/>
                <w:sz w:val="24"/>
                <w:szCs w:val="24"/>
              </w:rPr>
            </w:pPr>
            <w:r w:rsidRPr="005E72C3">
              <w:rPr>
                <w:rFonts w:ascii="Times New Roman" w:hAnsi="Times New Roman"/>
                <w:sz w:val="24"/>
                <w:szCs w:val="24"/>
              </w:rPr>
              <w:t>Ďalšie predkladané  opatrenia [zjednodušenie vykazovania technických rezerv u poisťovní, spresnenie a úprava pravidiel transferového oceňovania, automatická registrácia na daň z príjmov pre FO a PO s povinnosťou registrácie v ŽR a OR, zavedenie možnosti uplatnenia vyššej sumy daňového bonusu na vyživovanie dieťa (deti)] sú jednoznačne v prospech daňovníkov, ich účelnosť je aj bez akéhokoľvek ďalšieho skúmania zrejmá a preukázateľná.</w:t>
            </w:r>
          </w:p>
          <w:p w:rsidR="00A565F5" w:rsidRPr="005E72C3" w:rsidRDefault="00A565F5" w:rsidP="00A565F5">
            <w:pPr>
              <w:jc w:val="both"/>
              <w:rPr>
                <w:rFonts w:ascii="Times New Roman" w:hAnsi="Times New Roman"/>
                <w:sz w:val="24"/>
                <w:szCs w:val="24"/>
              </w:rPr>
            </w:pPr>
            <w:r w:rsidRPr="005E72C3">
              <w:rPr>
                <w:rFonts w:ascii="Times New Roman" w:hAnsi="Times New Roman"/>
                <w:sz w:val="24"/>
                <w:szCs w:val="24"/>
              </w:rPr>
              <w:t xml:space="preserve">Cieľom navrhovaných opatrení je predovšetkým odstrániť časť nákladov podnikateľského prostredia na základe podnetov, ktoré boli identifikované ako problémové. </w:t>
            </w:r>
          </w:p>
          <w:p w:rsidR="004C0B34" w:rsidRPr="00B043B4" w:rsidRDefault="00A565F5" w:rsidP="00A565F5">
            <w:pPr>
              <w:jc w:val="both"/>
              <w:rPr>
                <w:rFonts w:ascii="Times New Roman" w:eastAsia="Times New Roman" w:hAnsi="Times New Roman" w:cs="Times New Roman"/>
                <w:i/>
                <w:sz w:val="20"/>
                <w:szCs w:val="20"/>
                <w:lang w:eastAsia="sk-SK"/>
              </w:rPr>
            </w:pPr>
            <w:r w:rsidRPr="005E72C3">
              <w:rPr>
                <w:rFonts w:ascii="Times New Roman" w:hAnsi="Times New Roman"/>
                <w:sz w:val="24"/>
                <w:szCs w:val="24"/>
              </w:rPr>
              <w:t xml:space="preserve">V daňovom poriadku navrhnuté zmeny - zavedenie „druhej šance“ pri pokutách, ako aj skoršie </w:t>
            </w:r>
            <w:r w:rsidRPr="00A565F5">
              <w:rPr>
                <w:rFonts w:ascii="Times New Roman" w:hAnsi="Times New Roman"/>
                <w:sz w:val="24"/>
                <w:szCs w:val="24"/>
              </w:rPr>
              <w:t>vyrubenie úroku z omeškania, sú v prospech daňových subjektov a ich účelnosť je evidentná</w:t>
            </w:r>
          </w:p>
        </w:tc>
      </w:tr>
      <w:tr w:rsidR="00A565F5" w:rsidRPr="00B043B4" w:rsidTr="00A565F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A565F5" w:rsidRDefault="00A565F5" w:rsidP="00A565F5">
            <w:pPr>
              <w:jc w:val="both"/>
              <w:rPr>
                <w:rFonts w:ascii="Times New Roman" w:hAnsi="Times New Roman"/>
                <w:sz w:val="24"/>
                <w:szCs w:val="24"/>
              </w:rPr>
            </w:pPr>
          </w:p>
        </w:tc>
      </w:tr>
      <w:tr w:rsidR="00A565F5" w:rsidRPr="00B043B4" w:rsidTr="00A565F5">
        <w:tc>
          <w:tcPr>
            <w:tcW w:w="9180" w:type="dxa"/>
            <w:gridSpan w:val="11"/>
            <w:tcBorders>
              <w:top w:val="single" w:sz="4" w:space="0" w:color="auto"/>
              <w:left w:val="nil"/>
              <w:bottom w:val="nil"/>
              <w:right w:val="nil"/>
            </w:tcBorders>
            <w:shd w:val="clear" w:color="auto" w:fill="FFFFFF"/>
          </w:tcPr>
          <w:p w:rsidR="00A565F5" w:rsidRDefault="00A565F5" w:rsidP="00A565F5">
            <w:pPr>
              <w:jc w:val="both"/>
              <w:rPr>
                <w:rFonts w:ascii="Times New Roman" w:hAnsi="Times New Roman"/>
                <w:sz w:val="24"/>
                <w:szCs w:val="24"/>
              </w:rPr>
            </w:pPr>
          </w:p>
        </w:tc>
      </w:tr>
      <w:tr w:rsidR="00A565F5" w:rsidRPr="00B043B4" w:rsidTr="00A565F5">
        <w:tc>
          <w:tcPr>
            <w:tcW w:w="9180" w:type="dxa"/>
            <w:gridSpan w:val="11"/>
            <w:tcBorders>
              <w:top w:val="nil"/>
              <w:left w:val="nil"/>
              <w:bottom w:val="nil"/>
              <w:right w:val="nil"/>
            </w:tcBorders>
            <w:shd w:val="clear" w:color="auto" w:fill="FFFFFF"/>
          </w:tcPr>
          <w:p w:rsidR="00A565F5" w:rsidRDefault="00A565F5" w:rsidP="00A565F5">
            <w:pPr>
              <w:jc w:val="both"/>
              <w:rPr>
                <w:rFonts w:ascii="Times New Roman" w:hAnsi="Times New Roman"/>
                <w:sz w:val="24"/>
                <w:szCs w:val="24"/>
              </w:rPr>
            </w:pPr>
          </w:p>
        </w:tc>
      </w:tr>
      <w:tr w:rsidR="004C0B34" w:rsidRPr="00B043B4" w:rsidTr="00A565F5">
        <w:tc>
          <w:tcPr>
            <w:tcW w:w="9180" w:type="dxa"/>
            <w:gridSpan w:val="11"/>
            <w:tcBorders>
              <w:top w:val="nil"/>
              <w:left w:val="nil"/>
              <w:bottom w:val="nil"/>
              <w:right w:val="nil"/>
            </w:tcBorders>
            <w:shd w:val="clear" w:color="auto" w:fill="FFFFFF"/>
          </w:tcPr>
          <w:p w:rsidR="00A565F5" w:rsidRDefault="00A565F5" w:rsidP="004C0B34">
            <w:pPr>
              <w:rPr>
                <w:rFonts w:ascii="Times New Roman" w:eastAsia="Times New Roman" w:hAnsi="Times New Roman" w:cs="Times New Roman"/>
                <w:b/>
                <w:sz w:val="20"/>
                <w:szCs w:val="20"/>
                <w:lang w:eastAsia="sk-SK"/>
              </w:rPr>
            </w:pPr>
          </w:p>
          <w:p w:rsidR="00A565F5" w:rsidRPr="00B043B4" w:rsidRDefault="00A565F5" w:rsidP="004C0B34">
            <w:pPr>
              <w:rPr>
                <w:rFonts w:ascii="Times New Roman" w:eastAsia="Times New Roman" w:hAnsi="Times New Roman" w:cs="Times New Roman"/>
                <w:b/>
                <w:sz w:val="20"/>
                <w:szCs w:val="20"/>
                <w:lang w:eastAsia="sk-SK"/>
              </w:rPr>
            </w:pPr>
          </w:p>
        </w:tc>
      </w:tr>
      <w:tr w:rsidR="004C0B34" w:rsidRPr="00B043B4" w:rsidTr="00A565F5">
        <w:trPr>
          <w:trHeight w:val="283"/>
        </w:trPr>
        <w:tc>
          <w:tcPr>
            <w:tcW w:w="9180" w:type="dxa"/>
            <w:gridSpan w:val="11"/>
            <w:tcBorders>
              <w:top w:val="nil"/>
              <w:left w:val="single" w:sz="4" w:space="0" w:color="auto"/>
              <w:bottom w:val="single" w:sz="4" w:space="0" w:color="FFFFFF"/>
              <w:right w:val="single" w:sz="4" w:space="0" w:color="auto"/>
            </w:tcBorders>
            <w:shd w:val="clear" w:color="auto" w:fill="E2E2E2"/>
            <w:vAlign w:val="center"/>
          </w:tcPr>
          <w:p w:rsidR="004C0B34" w:rsidRPr="00B043B4" w:rsidRDefault="004C0B34" w:rsidP="004C0B3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4C0B34"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4C0B34" w:rsidRPr="00B043B4" w:rsidRDefault="00A565F5"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4C0B34" w:rsidRPr="00B043B4" w:rsidRDefault="004C0B34" w:rsidP="004C0B34">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4C0B34" w:rsidRPr="00B043B4" w:rsidRDefault="004C0B34" w:rsidP="004C0B34">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0B34" w:rsidRPr="00B043B4" w:rsidTr="004C6831">
        <w:tc>
          <w:tcPr>
            <w:tcW w:w="3812" w:type="dxa"/>
            <w:tcBorders>
              <w:top w:val="nil"/>
              <w:left w:val="single" w:sz="4" w:space="0" w:color="auto"/>
              <w:bottom w:val="nil"/>
              <w:right w:val="single" w:sz="4" w:space="0" w:color="auto"/>
            </w:tcBorders>
            <w:shd w:val="clear" w:color="auto" w:fill="E2E2E2"/>
          </w:tcPr>
          <w:p w:rsidR="004C0B34" w:rsidRDefault="004C0B34" w:rsidP="004C0B3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4C0B34" w:rsidRDefault="004C0B34" w:rsidP="004C0B3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4C0B34" w:rsidRPr="00A340BB" w:rsidRDefault="004C0B34" w:rsidP="004C0B3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4C0B34" w:rsidRPr="00B043B4" w:rsidRDefault="004C0B34" w:rsidP="004C0B34">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C0B34" w:rsidRPr="00B043B4" w:rsidRDefault="004C0B34" w:rsidP="004C0B34">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4C0B34" w:rsidRPr="00B043B4" w:rsidTr="004C6831">
        <w:tc>
          <w:tcPr>
            <w:tcW w:w="3812" w:type="dxa"/>
            <w:tcBorders>
              <w:top w:val="nil"/>
              <w:left w:val="single" w:sz="4" w:space="0" w:color="auto"/>
              <w:bottom w:val="nil"/>
              <w:right w:val="single" w:sz="4" w:space="0" w:color="auto"/>
            </w:tcBorders>
            <w:shd w:val="clear" w:color="auto" w:fill="E2E2E2"/>
          </w:tcPr>
          <w:p w:rsidR="004C0B34" w:rsidRPr="003145AE" w:rsidRDefault="004C0B34" w:rsidP="004C0B34">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4C0B34" w:rsidRPr="00B043B4" w:rsidRDefault="00A565F5"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4C0B34" w:rsidRPr="00B043B4" w:rsidRDefault="00A565F5" w:rsidP="004C0B34">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4C0B34" w:rsidRPr="00B043B4" w:rsidRDefault="004C0B34" w:rsidP="004C0B34">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0B34"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4C0B34" w:rsidRDefault="004C0B34" w:rsidP="004C0B34">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4C0B34" w:rsidRPr="003145AE" w:rsidRDefault="004C0B34" w:rsidP="004C0B34">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4C0B34" w:rsidRPr="00B043B4" w:rsidRDefault="00A565F5"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4C0B34" w:rsidRPr="00B043B4" w:rsidRDefault="004C0B34" w:rsidP="004C0B34">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C0B34" w:rsidRPr="00B043B4" w:rsidRDefault="004C0B34" w:rsidP="004C0B34">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4C0B34"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4C0B34" w:rsidRPr="00B043B4" w:rsidRDefault="004C0B34" w:rsidP="004C0B3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4C0B34" w:rsidRPr="00B043B4" w:rsidRDefault="009A019D"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4C0B34" w:rsidRPr="00B043B4" w:rsidRDefault="004C0B34" w:rsidP="004C0B3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0B34" w:rsidRPr="00B043B4" w:rsidTr="00203EE3">
        <w:tc>
          <w:tcPr>
            <w:tcW w:w="3812" w:type="dxa"/>
            <w:tcBorders>
              <w:top w:val="nil"/>
              <w:left w:val="single" w:sz="4" w:space="0" w:color="000000"/>
              <w:bottom w:val="nil"/>
              <w:right w:val="single" w:sz="4" w:space="0" w:color="000000"/>
            </w:tcBorders>
            <w:shd w:val="clear" w:color="auto" w:fill="E2E2E2"/>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4C0B34" w:rsidRPr="00B043B4" w:rsidRDefault="004C0B34" w:rsidP="004C0B3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C0B34" w:rsidRPr="00B043B4" w:rsidRDefault="004C0B34" w:rsidP="004C0B34">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4C0B34" w:rsidRPr="00B043B4" w:rsidRDefault="004C0B34"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C0B34" w:rsidRPr="00B043B4" w:rsidRDefault="004C0B34" w:rsidP="004C0B3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4C0B34" w:rsidRPr="00B043B4" w:rsidRDefault="009A019D" w:rsidP="004C0B3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C0B34" w:rsidRPr="00B043B4" w:rsidRDefault="004C0B34" w:rsidP="004C0B34">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4C0B34"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4C0B34" w:rsidRDefault="004C0B34" w:rsidP="004C0B3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4C0B34" w:rsidRPr="00B043B4" w:rsidRDefault="004C0B34" w:rsidP="004C0B34">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4C0B34" w:rsidRPr="00B043B4" w:rsidRDefault="004C0B34" w:rsidP="004C0B3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4C0B34" w:rsidRPr="00B043B4" w:rsidRDefault="004C0B34" w:rsidP="004C0B3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4C0B34"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0B34" w:rsidRPr="00B043B4" w:rsidRDefault="009713D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0B34" w:rsidRPr="00B043B4" w:rsidRDefault="004C0B34" w:rsidP="004C0B3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0B34" w:rsidRPr="00B043B4" w:rsidRDefault="009713D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0B34" w:rsidRPr="00B043B4" w:rsidRDefault="004C0B34" w:rsidP="004C0B3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0B34"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0B34" w:rsidRPr="00B043B4" w:rsidRDefault="004C0B34" w:rsidP="004C0B3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0B34" w:rsidRPr="00B043B4" w:rsidRDefault="004C0B34" w:rsidP="004C0B3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0B34"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0B34" w:rsidRPr="00B043B4" w:rsidRDefault="001E010C"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0B34" w:rsidRPr="00B043B4" w:rsidRDefault="004C0B34" w:rsidP="004C0B34">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0B34" w:rsidRPr="00B043B4" w:rsidRDefault="001E010C"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0B34" w:rsidRPr="00B043B4" w:rsidRDefault="004C0B34" w:rsidP="004C0B34">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0B34" w:rsidRPr="00B043B4" w:rsidRDefault="004C0B34" w:rsidP="004C0B34">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0B34" w:rsidRPr="00B043B4" w:rsidRDefault="004C0B34" w:rsidP="004C0B34">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9443B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9443B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9713D4"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9713D4"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9443B0" w:rsidRPr="00B648DC" w:rsidRDefault="009443B0" w:rsidP="009443B0">
            <w:pPr>
              <w:jc w:val="both"/>
              <w:rPr>
                <w:rStyle w:val="awspan"/>
                <w:rFonts w:ascii="Times New Roman" w:hAnsi="Times New Roman" w:cs="Times New Roman"/>
                <w:b/>
                <w:color w:val="000000"/>
                <w:sz w:val="24"/>
                <w:szCs w:val="24"/>
              </w:rPr>
            </w:pPr>
            <w:r w:rsidRPr="00B648DC">
              <w:rPr>
                <w:rStyle w:val="awspan"/>
                <w:rFonts w:ascii="Times New Roman" w:hAnsi="Times New Roman" w:cs="Times New Roman"/>
                <w:b/>
                <w:color w:val="000000"/>
                <w:sz w:val="24"/>
                <w:szCs w:val="24"/>
              </w:rPr>
              <w:t>K novele zákona o dani z príjmov:</w:t>
            </w:r>
          </w:p>
          <w:p w:rsidR="009443B0" w:rsidRPr="004263D9" w:rsidRDefault="009443B0" w:rsidP="009443B0">
            <w:pPr>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Úprava a spresnenie pravidiel transferového oceňovania v návrhu zákona má pozitívny vplyv na podnikateľské prostredie, nakoľko dochádza k zníženiu administratívnej náročnosti a zvýšeniu právnej istoty daňovníkov.</w:t>
            </w:r>
          </w:p>
          <w:p w:rsidR="009443B0" w:rsidRPr="004263D9" w:rsidRDefault="009443B0" w:rsidP="009443B0">
            <w:pPr>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Zavedením pravidla o obmedzení úrokových nákladov sa zamedzí proti praktikám cieleným na umelé znižovanie základu dane z príjmov prostredníctvom dlhového financovania, čo bude mať pozitívny vplyv na štátny rozpočet.</w:t>
            </w:r>
          </w:p>
          <w:p w:rsidR="009443B0" w:rsidRDefault="009443B0" w:rsidP="009443B0">
            <w:pPr>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Legislatívna úprava vykazovania technických rezerv v poisťovníctve premietnutá do návrhu zákona v nadväznosti na nový medzinárodný štandard finančného výkazníctva IFRS 17 zníži administratívnu náročnosť pre poisťovne.</w:t>
            </w:r>
          </w:p>
          <w:p w:rsidR="009443B0" w:rsidRDefault="009443B0" w:rsidP="009443B0">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Novelou zákona sa zavádza zjednodušenie spôsobu registrácie podnikateľských subjektov a verejnej správy, ide o </w:t>
            </w:r>
            <w:proofErr w:type="spellStart"/>
            <w:r>
              <w:rPr>
                <w:rFonts w:ascii="Times New Roman" w:eastAsiaTheme="minorEastAsia" w:hAnsi="Times New Roman" w:cs="Times New Roman"/>
                <w:sz w:val="24"/>
                <w:szCs w:val="24"/>
                <w:lang w:eastAsia="sk-SK"/>
              </w:rPr>
              <w:t>antibyrokratické</w:t>
            </w:r>
            <w:proofErr w:type="spellEnd"/>
            <w:r>
              <w:rPr>
                <w:rFonts w:ascii="Times New Roman" w:eastAsiaTheme="minorEastAsia" w:hAnsi="Times New Roman" w:cs="Times New Roman"/>
                <w:sz w:val="24"/>
                <w:szCs w:val="24"/>
                <w:lang w:eastAsia="sk-SK"/>
              </w:rPr>
              <w:t xml:space="preserve"> opatrenie.</w:t>
            </w:r>
          </w:p>
          <w:p w:rsidR="006D674E" w:rsidRPr="001E010C" w:rsidRDefault="006D674E" w:rsidP="009443B0">
            <w:pPr>
              <w:jc w:val="both"/>
              <w:rPr>
                <w:rFonts w:ascii="Times New Roman" w:eastAsiaTheme="minorEastAsia" w:hAnsi="Times New Roman" w:cs="Times New Roman"/>
                <w:sz w:val="24"/>
                <w:szCs w:val="24"/>
                <w:lang w:eastAsia="sk-SK"/>
              </w:rPr>
            </w:pPr>
            <w:r w:rsidRPr="001E010C">
              <w:rPr>
                <w:rFonts w:ascii="Times New Roman" w:eastAsiaTheme="minorEastAsia" w:hAnsi="Times New Roman" w:cs="Times New Roman"/>
                <w:sz w:val="24"/>
                <w:szCs w:val="24"/>
                <w:lang w:eastAsia="sk-SK"/>
              </w:rPr>
              <w:t>Legislatívna úprava týkajúca sa oblasti uplatňovania daňového bonusu nebola predmetom predbežného pripomienkového konania.</w:t>
            </w:r>
          </w:p>
          <w:p w:rsidR="006D674E" w:rsidRPr="006D674E" w:rsidRDefault="006D674E" w:rsidP="009443B0">
            <w:pPr>
              <w:jc w:val="both"/>
              <w:rPr>
                <w:rFonts w:ascii="Times New Roman" w:eastAsiaTheme="minorEastAsia" w:hAnsi="Times New Roman" w:cs="Times New Roman"/>
                <w:color w:val="FF0000"/>
                <w:sz w:val="24"/>
                <w:szCs w:val="24"/>
                <w:lang w:eastAsia="sk-SK"/>
              </w:rPr>
            </w:pP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443B0" w:rsidRDefault="009443B0" w:rsidP="009443B0">
            <w:pPr>
              <w:pStyle w:val="Podpise-mailu"/>
              <w:spacing w:before="120" w:after="120"/>
              <w:rPr>
                <w:rFonts w:ascii="Times New Roman" w:hAnsi="Times New Roman" w:cs="Times New Roman"/>
                <w:sz w:val="24"/>
                <w:szCs w:val="24"/>
              </w:rPr>
            </w:pPr>
            <w:r w:rsidRPr="00D76286">
              <w:rPr>
                <w:rFonts w:ascii="Times New Roman" w:hAnsi="Times New Roman" w:cs="Times New Roman"/>
                <w:sz w:val="24"/>
                <w:szCs w:val="24"/>
              </w:rPr>
              <w:t>Ministerstvo financií Slovenskej republiky</w:t>
            </w:r>
          </w:p>
          <w:p w:rsidR="009443B0" w:rsidRDefault="009443B0" w:rsidP="009443B0">
            <w:pPr>
              <w:pStyle w:val="Podpise-mailu"/>
              <w:spacing w:before="120" w:after="120"/>
              <w:rPr>
                <w:rStyle w:val="Hypertextovprepojenie"/>
                <w:rFonts w:ascii="Times New Roman" w:hAnsi="Times New Roman"/>
              </w:rPr>
            </w:pPr>
            <w:r w:rsidRPr="00535DFA">
              <w:rPr>
                <w:rStyle w:val="Hypertextovprepojenie"/>
                <w:rFonts w:ascii="Times New Roman" w:hAnsi="Times New Roman"/>
              </w:rPr>
              <w:t>michaela.vidova@mfsr.sk, tel.: 5958 3480</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443B0" w:rsidRPr="00FE7F61" w:rsidRDefault="009443B0" w:rsidP="009443B0">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 vypracovaní doložky vplyvov</w:t>
            </w:r>
            <w:r w:rsidRPr="00A21201">
              <w:rPr>
                <w:rFonts w:ascii="Times New Roman" w:eastAsia="Times New Roman" w:hAnsi="Times New Roman" w:cs="Times New Roman"/>
                <w:sz w:val="24"/>
                <w:szCs w:val="24"/>
                <w:lang w:eastAsia="sk-SK"/>
              </w:rPr>
              <w:t xml:space="preserve"> na rozpočet verejnej správy vychádzalo Ministerstvo financií</w:t>
            </w:r>
            <w:r>
              <w:rPr>
                <w:rFonts w:ascii="Times New Roman" w:eastAsia="Times New Roman" w:hAnsi="Times New Roman" w:cs="Times New Roman"/>
                <w:sz w:val="24"/>
                <w:szCs w:val="24"/>
                <w:lang w:eastAsia="sk-SK"/>
              </w:rPr>
              <w:t> </w:t>
            </w:r>
            <w:r w:rsidRPr="00A21201">
              <w:rPr>
                <w:rFonts w:ascii="Times New Roman" w:eastAsia="Times New Roman" w:hAnsi="Times New Roman" w:cs="Times New Roman"/>
                <w:sz w:val="24"/>
                <w:szCs w:val="24"/>
                <w:lang w:eastAsia="sk-SK"/>
              </w:rPr>
              <w:t>SR</w:t>
            </w:r>
            <w:r>
              <w:rPr>
                <w:rFonts w:ascii="Times New Roman" w:eastAsia="Times New Roman" w:hAnsi="Times New Roman" w:cs="Times New Roman"/>
                <w:sz w:val="24"/>
                <w:szCs w:val="24"/>
                <w:lang w:eastAsia="sk-SK"/>
              </w:rPr>
              <w:t> z </w:t>
            </w:r>
            <w:r w:rsidRPr="00A21201">
              <w:rPr>
                <w:rFonts w:ascii="Times" w:hAnsi="Times" w:cs="Times"/>
                <w:sz w:val="24"/>
                <w:szCs w:val="24"/>
              </w:rPr>
              <w:t>Registra</w:t>
            </w:r>
            <w:r>
              <w:rPr>
                <w:rFonts w:ascii="Times" w:hAnsi="Times" w:cs="Times"/>
                <w:sz w:val="24"/>
                <w:szCs w:val="24"/>
              </w:rPr>
              <w:t> </w:t>
            </w:r>
            <w:r w:rsidRPr="00A21201">
              <w:rPr>
                <w:rFonts w:ascii="Times" w:hAnsi="Times" w:cs="Times"/>
                <w:sz w:val="24"/>
                <w:szCs w:val="24"/>
              </w:rPr>
              <w:t>účtovných</w:t>
            </w:r>
            <w:r>
              <w:rPr>
                <w:rFonts w:ascii="Times" w:hAnsi="Times" w:cs="Times"/>
                <w:sz w:val="24"/>
                <w:szCs w:val="24"/>
              </w:rPr>
              <w:t> </w:t>
            </w:r>
            <w:r w:rsidRPr="00A21201">
              <w:rPr>
                <w:rFonts w:ascii="Times" w:hAnsi="Times" w:cs="Times"/>
                <w:sz w:val="24"/>
                <w:szCs w:val="24"/>
              </w:rPr>
              <w:t>závierok</w:t>
            </w:r>
            <w:r>
              <w:rPr>
                <w:rFonts w:ascii="Times" w:hAnsi="Times" w:cs="Times"/>
                <w:sz w:val="24"/>
                <w:szCs w:val="24"/>
              </w:rPr>
              <w:t> </w:t>
            </w:r>
            <w:hyperlink r:id="rId9" w:history="1">
              <w:r w:rsidRPr="00A71868">
                <w:rPr>
                  <w:rStyle w:val="Hypertextovprepojenie"/>
                  <w:rFonts w:ascii="Times" w:hAnsi="Times" w:cs="Times"/>
                  <w:sz w:val="24"/>
                  <w:szCs w:val="24"/>
                </w:rPr>
                <w:t>https://registeruz.sk/cruzpublic/domain/accountingentity/simplesearch</w:t>
              </w:r>
            </w:hyperlink>
            <w:r>
              <w:rPr>
                <w:rFonts w:ascii="Times" w:hAnsi="Times" w:cs="Times"/>
                <w:sz w:val="24"/>
                <w:szCs w:val="24"/>
              </w:rPr>
              <w:t xml:space="preserve">), </w:t>
            </w:r>
            <w:r w:rsidRPr="00A21201">
              <w:rPr>
                <w:rFonts w:ascii="Times New Roman" w:eastAsia="Times New Roman" w:hAnsi="Times New Roman" w:cs="Times New Roman"/>
                <w:sz w:val="24"/>
                <w:szCs w:val="24"/>
                <w:lang w:eastAsia="sk-SK"/>
              </w:rPr>
              <w:t xml:space="preserve">z dostupných zdrojov Ministerstva </w:t>
            </w:r>
            <w:r>
              <w:rPr>
                <w:rFonts w:ascii="Times New Roman" w:eastAsia="Times New Roman" w:hAnsi="Times New Roman" w:cs="Times New Roman"/>
                <w:sz w:val="24"/>
                <w:szCs w:val="24"/>
                <w:lang w:eastAsia="sk-SK"/>
              </w:rPr>
              <w:t>financií</w:t>
            </w:r>
            <w:r w:rsidRPr="00A21201">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xml:space="preserve"> </w:t>
            </w:r>
            <w:r w:rsidRPr="00A21201">
              <w:rPr>
                <w:rFonts w:ascii="Times New Roman" w:eastAsia="Times New Roman" w:hAnsi="Times New Roman" w:cs="Times New Roman"/>
                <w:sz w:val="24"/>
                <w:szCs w:val="24"/>
                <w:lang w:eastAsia="sk-SK"/>
              </w:rPr>
              <w:t>a anal</w:t>
            </w:r>
            <w:r>
              <w:rPr>
                <w:rFonts w:ascii="Times New Roman" w:eastAsia="Times New Roman" w:hAnsi="Times New Roman" w:cs="Times New Roman"/>
                <w:sz w:val="24"/>
                <w:szCs w:val="24"/>
                <w:lang w:eastAsia="sk-SK"/>
              </w:rPr>
              <w:t xml:space="preserve">ýz Inštitútu finančnej politiky.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 PPK č. </w:t>
            </w:r>
            <w:r w:rsidR="003E68E9">
              <w:rPr>
                <w:rFonts w:ascii="Times New Roman" w:eastAsia="Calibri" w:hAnsi="Times New Roman" w:cs="Times New Roman"/>
                <w:b/>
              </w:rPr>
              <w:t>131/2022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B11CF8" w:rsidRPr="00B043B4" w:rsidTr="0012593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hemeFill="background1"/>
          </w:tcPr>
          <w:p w:rsidR="00B11CF8" w:rsidRPr="00B768B8" w:rsidRDefault="00B11CF8" w:rsidP="00B11CF8">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1CF8" w:rsidRPr="00B768B8" w:rsidTr="00607AD1">
              <w:trPr>
                <w:trHeight w:val="396"/>
              </w:trPr>
              <w:tc>
                <w:tcPr>
                  <w:tcW w:w="2552" w:type="dxa"/>
                </w:tcPr>
                <w:p w:rsidR="00B11CF8" w:rsidRPr="00B768B8" w:rsidRDefault="00764BC6" w:rsidP="00B11CF8">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874910888"/>
                      <w14:checkbox>
                        <w14:checked w14:val="0"/>
                        <w14:checkedState w14:val="2612" w14:font="MS Gothic"/>
                        <w14:uncheckedState w14:val="2610" w14:font="MS Gothic"/>
                      </w14:checkbox>
                    </w:sdtPr>
                    <w:sdtEndPr/>
                    <w:sdtContent>
                      <w:r w:rsidR="00B11CF8" w:rsidRPr="00B768B8">
                        <w:rPr>
                          <w:rFonts w:ascii="Segoe UI Symbol" w:eastAsia="MS Gothic" w:hAnsi="Segoe UI Symbol" w:cs="Segoe UI Symbol"/>
                          <w:b/>
                          <w:sz w:val="24"/>
                          <w:szCs w:val="24"/>
                          <w:lang w:eastAsia="sk-SK"/>
                        </w:rPr>
                        <w:t>☐</w:t>
                      </w:r>
                    </w:sdtContent>
                  </w:sdt>
                  <w:r w:rsidR="00B11CF8" w:rsidRPr="00B768B8">
                    <w:rPr>
                      <w:rFonts w:ascii="Times New Roman" w:eastAsia="Times New Roman" w:hAnsi="Times New Roman" w:cs="Times New Roman"/>
                      <w:b/>
                      <w:sz w:val="24"/>
                      <w:szCs w:val="24"/>
                      <w:lang w:eastAsia="sk-SK"/>
                    </w:rPr>
                    <w:t xml:space="preserve">  Súhlasné </w:t>
                  </w:r>
                </w:p>
              </w:tc>
              <w:tc>
                <w:tcPr>
                  <w:tcW w:w="3827" w:type="dxa"/>
                </w:tcPr>
                <w:p w:rsidR="00B11CF8" w:rsidRPr="00B768B8" w:rsidRDefault="00764BC6" w:rsidP="00B11CF8">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697888127"/>
                      <w14:checkbox>
                        <w14:checked w14:val="0"/>
                        <w14:checkedState w14:val="2612" w14:font="MS Gothic"/>
                        <w14:uncheckedState w14:val="2610" w14:font="MS Gothic"/>
                      </w14:checkbox>
                    </w:sdtPr>
                    <w:sdtEndPr/>
                    <w:sdtContent>
                      <w:r w:rsidR="00B11CF8" w:rsidRPr="00B768B8">
                        <w:rPr>
                          <w:rFonts w:ascii="Segoe UI Symbol" w:eastAsia="MS Gothic" w:hAnsi="Segoe UI Symbol" w:cs="Segoe UI Symbol"/>
                          <w:b/>
                          <w:sz w:val="24"/>
                          <w:szCs w:val="24"/>
                          <w:lang w:eastAsia="sk-SK"/>
                        </w:rPr>
                        <w:t>☐</w:t>
                      </w:r>
                    </w:sdtContent>
                  </w:sdt>
                  <w:r w:rsidR="00B11CF8" w:rsidRPr="00B768B8">
                    <w:rPr>
                      <w:rFonts w:ascii="Times New Roman" w:eastAsia="Times New Roman" w:hAnsi="Times New Roman" w:cs="Times New Roman"/>
                      <w:b/>
                      <w:sz w:val="24"/>
                      <w:szCs w:val="24"/>
                      <w:lang w:eastAsia="sk-SK"/>
                    </w:rPr>
                    <w:t xml:space="preserve">  Súhlasné s návrhom na dopracovanie</w:t>
                  </w:r>
                </w:p>
              </w:tc>
              <w:tc>
                <w:tcPr>
                  <w:tcW w:w="2534" w:type="dxa"/>
                </w:tcPr>
                <w:p w:rsidR="00B11CF8" w:rsidRPr="00B768B8" w:rsidRDefault="00764BC6" w:rsidP="00B11CF8">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647822913"/>
                      <w14:checkbox>
                        <w14:checked w14:val="1"/>
                        <w14:checkedState w14:val="2612" w14:font="MS Gothic"/>
                        <w14:uncheckedState w14:val="2610" w14:font="MS Gothic"/>
                      </w14:checkbox>
                    </w:sdtPr>
                    <w:sdtEndPr/>
                    <w:sdtContent>
                      <w:r w:rsidR="003578F6">
                        <w:rPr>
                          <w:rFonts w:ascii="MS Gothic" w:eastAsia="MS Gothic" w:hAnsi="MS Gothic" w:cs="Times New Roman" w:hint="eastAsia"/>
                          <w:b/>
                          <w:sz w:val="24"/>
                          <w:szCs w:val="24"/>
                          <w:lang w:eastAsia="sk-SK"/>
                        </w:rPr>
                        <w:t>☒</w:t>
                      </w:r>
                    </w:sdtContent>
                  </w:sdt>
                  <w:r w:rsidR="00B11CF8" w:rsidRPr="00B768B8">
                    <w:rPr>
                      <w:rFonts w:ascii="Times New Roman" w:eastAsia="Times New Roman" w:hAnsi="Times New Roman" w:cs="Times New Roman"/>
                      <w:b/>
                      <w:sz w:val="24"/>
                      <w:szCs w:val="24"/>
                      <w:lang w:eastAsia="sk-SK"/>
                    </w:rPr>
                    <w:t xml:space="preserve">  Nesúhlasné</w:t>
                  </w:r>
                </w:p>
              </w:tc>
            </w:tr>
          </w:tbl>
          <w:p w:rsidR="00B11CF8" w:rsidRPr="00B768B8" w:rsidRDefault="00B11CF8" w:rsidP="00B11CF8">
            <w:pPr>
              <w:jc w:val="both"/>
              <w:rPr>
                <w:rFonts w:ascii="Times New Roman" w:hAnsi="Times New Roman" w:cs="Times New Roman"/>
                <w:sz w:val="24"/>
                <w:szCs w:val="24"/>
              </w:rPr>
            </w:pPr>
            <w:r w:rsidRPr="00B768B8">
              <w:rPr>
                <w:rFonts w:ascii="Times New Roman" w:hAnsi="Times New Roman" w:cs="Times New Roman"/>
                <w:bCs/>
                <w:sz w:val="24"/>
                <w:szCs w:val="24"/>
              </w:rPr>
              <w:t>Komisia uplatňuje k materiálu nasledovné pripomienky a odporúčania:</w:t>
            </w:r>
          </w:p>
          <w:p w:rsidR="00B11CF8" w:rsidRPr="00B768B8" w:rsidRDefault="00B11CF8" w:rsidP="00B11CF8">
            <w:pPr>
              <w:jc w:val="both"/>
              <w:rPr>
                <w:rFonts w:ascii="Times New Roman" w:eastAsia="Times New Roman" w:hAnsi="Times New Roman" w:cs="Times New Roman"/>
                <w:b/>
                <w:sz w:val="24"/>
                <w:szCs w:val="24"/>
                <w:lang w:eastAsia="sk-SK"/>
              </w:rPr>
            </w:pPr>
          </w:p>
          <w:p w:rsidR="00B11CF8" w:rsidRPr="00B768B8" w:rsidRDefault="00B11CF8" w:rsidP="00B11CF8">
            <w:pPr>
              <w:jc w:val="both"/>
              <w:rPr>
                <w:rFonts w:ascii="Times New Roman" w:hAnsi="Times New Roman" w:cs="Times New Roman"/>
                <w:b/>
                <w:bCs/>
                <w:sz w:val="24"/>
                <w:szCs w:val="24"/>
              </w:rPr>
            </w:pPr>
            <w:r w:rsidRPr="00B768B8">
              <w:rPr>
                <w:rFonts w:ascii="Times New Roman" w:hAnsi="Times New Roman" w:cs="Times New Roman"/>
                <w:b/>
                <w:bCs/>
                <w:sz w:val="24"/>
                <w:szCs w:val="24"/>
              </w:rPr>
              <w:t>K doložke vybraných vplyvov</w:t>
            </w:r>
          </w:p>
          <w:p w:rsidR="00B11CF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 xml:space="preserve">Komisia odporúča  doplniť v Doložke vybraných vplyvov  </w:t>
            </w:r>
            <w:r>
              <w:rPr>
                <w:rFonts w:ascii="Times New Roman" w:hAnsi="Times New Roman" w:cs="Times New Roman"/>
                <w:sz w:val="24"/>
                <w:szCs w:val="24"/>
              </w:rPr>
              <w:t xml:space="preserve">časť 5. „Alternatívne riešenia“, resp. minimálne nulový variant,  </w:t>
            </w:r>
            <w:r w:rsidRPr="00B768B8">
              <w:rPr>
                <w:rFonts w:ascii="Times New Roman" w:hAnsi="Times New Roman" w:cs="Times New Roman"/>
                <w:sz w:val="24"/>
                <w:szCs w:val="24"/>
              </w:rPr>
              <w:t>t.j.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w:t>
            </w:r>
          </w:p>
          <w:p w:rsidR="00B11CF8" w:rsidRPr="00B768B8" w:rsidRDefault="00B11CF8" w:rsidP="00B11CF8">
            <w:pPr>
              <w:spacing w:after="160" w:line="252" w:lineRule="auto"/>
              <w:contextualSpacing/>
              <w:jc w:val="both"/>
              <w:rPr>
                <w:rFonts w:ascii="Times New Roman" w:hAnsi="Times New Roman" w:cs="Times New Roman"/>
                <w:sz w:val="24"/>
                <w:szCs w:val="24"/>
                <w:lang w:eastAsia="ar-SA"/>
              </w:rPr>
            </w:pPr>
          </w:p>
          <w:p w:rsidR="00B11CF8" w:rsidRPr="00B768B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Komisia odporúča doplniť  v časti 8. „Preskúmanie účelnosti“ termín, kedy by malo dôjsť k preskúmaniu účinnosti a účelnosti predkladaného materiálu a kritériá, na základe ktorých bude preskúmanie vykonané.</w:t>
            </w:r>
            <w:r>
              <w:rPr>
                <w:rFonts w:ascii="Times New Roman" w:hAnsi="Times New Roman" w:cs="Times New Roman"/>
                <w:sz w:val="24"/>
                <w:szCs w:val="24"/>
              </w:rPr>
              <w:t xml:space="preserve"> </w:t>
            </w:r>
            <w:r w:rsidRPr="00B768B8">
              <w:rPr>
                <w:rFonts w:ascii="Times New Roman" w:hAnsi="Times New Roman" w:cs="Times New Roman"/>
                <w:sz w:val="24"/>
                <w:szCs w:val="24"/>
              </w:rPr>
              <w:t>Cieľom prieskumu je overiť, či riešenie problému, ktoré bolo prijaté, plní svoj účel a či bol uvedený problém odstránený.</w:t>
            </w:r>
          </w:p>
          <w:p w:rsidR="00B11CF8" w:rsidRPr="00B768B8" w:rsidRDefault="00B11CF8" w:rsidP="00B11CF8">
            <w:pPr>
              <w:jc w:val="both"/>
              <w:rPr>
                <w:rFonts w:ascii="Times New Roman" w:hAnsi="Times New Roman" w:cs="Times New Roman"/>
                <w:b/>
                <w:bCs/>
                <w:sz w:val="24"/>
                <w:szCs w:val="24"/>
              </w:rPr>
            </w:pPr>
          </w:p>
          <w:p w:rsidR="00B11CF8" w:rsidRPr="00B768B8" w:rsidRDefault="00B11CF8" w:rsidP="00B11CF8">
            <w:pPr>
              <w:jc w:val="both"/>
              <w:rPr>
                <w:rFonts w:ascii="Times New Roman" w:hAnsi="Times New Roman" w:cs="Times New Roman"/>
                <w:b/>
                <w:sz w:val="24"/>
                <w:szCs w:val="24"/>
              </w:rPr>
            </w:pPr>
            <w:r w:rsidRPr="00B768B8">
              <w:rPr>
                <w:rFonts w:ascii="Times New Roman" w:hAnsi="Times New Roman" w:cs="Times New Roman"/>
                <w:b/>
                <w:sz w:val="24"/>
                <w:szCs w:val="24"/>
              </w:rPr>
              <w:t>K vplyvom na podnikateľské prostredie</w:t>
            </w:r>
          </w:p>
          <w:p w:rsidR="00B11CF8" w:rsidRPr="00B768B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Komisia žiada predkladateľa o priloženie Kalkulačky nákladov.</w:t>
            </w:r>
          </w:p>
          <w:p w:rsidR="00B11CF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Komisia žiada o vykonanie úpravy v Kalkulačke nákladov a následne v Analýze vplyvov na podnikateľské prostredie.</w:t>
            </w:r>
            <w:r>
              <w:rPr>
                <w:rFonts w:ascii="Times New Roman" w:hAnsi="Times New Roman" w:cs="Times New Roman"/>
                <w:sz w:val="24"/>
                <w:szCs w:val="24"/>
              </w:rPr>
              <w:t xml:space="preserve"> </w:t>
            </w:r>
            <w:r w:rsidRPr="00B768B8">
              <w:rPr>
                <w:rFonts w:ascii="Times New Roman" w:hAnsi="Times New Roman" w:cs="Times New Roman"/>
                <w:sz w:val="24"/>
                <w:szCs w:val="24"/>
              </w:rPr>
              <w:t>V stĺpci „D Administratívne náklady“ musí predkladateľ vyplniť len jednu z alternatív a to buď expertný odhad alebo štandardnú časovú náročnosť pri všetkých uvedených reguláciách.</w:t>
            </w:r>
          </w:p>
          <w:p w:rsidR="00B11CF8" w:rsidRPr="00B768B8" w:rsidRDefault="00B11CF8" w:rsidP="00B11CF8">
            <w:pPr>
              <w:spacing w:after="160" w:line="252" w:lineRule="auto"/>
              <w:contextualSpacing/>
              <w:jc w:val="both"/>
              <w:rPr>
                <w:rFonts w:ascii="Times New Roman" w:hAnsi="Times New Roman" w:cs="Times New Roman"/>
                <w:sz w:val="24"/>
                <w:szCs w:val="24"/>
              </w:rPr>
            </w:pPr>
          </w:p>
          <w:p w:rsidR="00B11CF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 xml:space="preserve">Komisia žiada o dopracovanie Analýzy vplyvov na podnikateľské prostredie v časti 3.4 Iné vplyvy. V návrhu materiálu sa upravuje postup daňovníka v prípade preventívnej reštrukturalizácie. Ide o úpravu zákonného a daňovo uznaného odpisu pohľadávok, podľa ktorej bude postupovať daňovník pri zániku pohľadávky alebo záväzku, vrátane odpustenia dlhu, ako aj pri tvorbe opravných položiek k pohľadávkam. Vplyv súvisiaci s touto zmenou je potrebné uviesť v časti 3.4 Iné vplyvy na podnikateľské prostredie. Do tejto časti je rovnako potrebné uviesť vplyvy súvisiace so skrátením lehoty na vyrubenie úroku z omeškania, zavedením inštitútu „druhej šance“ a zvýšením dolnej hranice pokút. </w:t>
            </w:r>
          </w:p>
          <w:p w:rsidR="00B11CF8" w:rsidRPr="00B768B8" w:rsidRDefault="00B11CF8" w:rsidP="00B11CF8">
            <w:pPr>
              <w:spacing w:after="160" w:line="252" w:lineRule="auto"/>
              <w:contextualSpacing/>
              <w:jc w:val="both"/>
              <w:rPr>
                <w:rFonts w:ascii="Times New Roman" w:hAnsi="Times New Roman" w:cs="Times New Roman"/>
                <w:sz w:val="24"/>
                <w:szCs w:val="24"/>
              </w:rPr>
            </w:pPr>
          </w:p>
          <w:p w:rsidR="00B11CF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Komisia žiada o vyznačenie aj negatívneho vplyvu na podnikateľské prostredie v Doložke vybraných vplyvov v časti 9. „Vybrané vplyvy materiálu“.</w:t>
            </w:r>
            <w:r>
              <w:rPr>
                <w:rFonts w:ascii="Times New Roman" w:hAnsi="Times New Roman" w:cs="Times New Roman"/>
                <w:sz w:val="24"/>
                <w:szCs w:val="24"/>
              </w:rPr>
              <w:t xml:space="preserve"> </w:t>
            </w:r>
            <w:r w:rsidRPr="00B768B8">
              <w:rPr>
                <w:rFonts w:ascii="Times New Roman" w:hAnsi="Times New Roman" w:cs="Times New Roman"/>
                <w:sz w:val="24"/>
                <w:szCs w:val="24"/>
              </w:rPr>
              <w:t>Návrh materiálu zavádza pravidlo o obmedzení úrokových nákladov a zvyšuje dolnú hranicu pokút, ide o negatívne vplyvy na podnikateľské prostredie.</w:t>
            </w:r>
          </w:p>
          <w:p w:rsidR="00B11CF8" w:rsidRPr="00B768B8" w:rsidRDefault="00B11CF8" w:rsidP="00B11CF8">
            <w:pPr>
              <w:spacing w:after="160" w:line="252" w:lineRule="auto"/>
              <w:contextualSpacing/>
              <w:jc w:val="both"/>
              <w:rPr>
                <w:rFonts w:ascii="Times New Roman" w:hAnsi="Times New Roman" w:cs="Times New Roman"/>
                <w:sz w:val="24"/>
                <w:szCs w:val="24"/>
              </w:rPr>
            </w:pPr>
          </w:p>
          <w:p w:rsidR="00B11CF8" w:rsidRDefault="00B11CF8" w:rsidP="00B11CF8">
            <w:pPr>
              <w:spacing w:after="160" w:line="252" w:lineRule="auto"/>
              <w:contextualSpacing/>
              <w:jc w:val="both"/>
              <w:rPr>
                <w:rFonts w:ascii="Times New Roman" w:hAnsi="Times New Roman" w:cs="Times New Roman"/>
                <w:sz w:val="24"/>
                <w:szCs w:val="24"/>
              </w:rPr>
            </w:pPr>
            <w:r w:rsidRPr="00B768B8">
              <w:rPr>
                <w:rFonts w:ascii="Times New Roman" w:hAnsi="Times New Roman" w:cs="Times New Roman"/>
                <w:sz w:val="24"/>
                <w:szCs w:val="24"/>
              </w:rPr>
              <w:t>Komisia žiada doplniť negatívne vplyvy na podnikateľské prostredie do Kalkulačky nákladov  a následne ich premietnuť do Analýzy vplyvov na podnikateľské prostredie.</w:t>
            </w:r>
            <w:r w:rsidRPr="00B768B8">
              <w:rPr>
                <w:rFonts w:ascii="Times New Roman" w:hAnsi="Times New Roman" w:cs="Times New Roman"/>
                <w:sz w:val="24"/>
                <w:szCs w:val="24"/>
                <w:u w:val="single"/>
              </w:rPr>
              <w:t xml:space="preserve"> </w:t>
            </w:r>
            <w:r w:rsidRPr="00B768B8">
              <w:rPr>
                <w:rFonts w:ascii="Times New Roman" w:hAnsi="Times New Roman" w:cs="Times New Roman"/>
                <w:sz w:val="24"/>
                <w:szCs w:val="24"/>
              </w:rPr>
              <w:t>V návrhu materiálu sa zavádza pravidlo o obmedzení úrokových nákladov u právnických osôb. Tento vplyv je potrebné kvantifikovať v Kalkulačke nákladov v stĺpci „A Dane, odvody, clá a poplatky“. Komisia odporúča predkladateľovi využiť pri kvantifikácii údaje z Analýzy vplyvov na rozpočet verejnej správy. Zároveň je potrebné kvantifikovať administratívnu povinnosť týkajúcu sa novej dokumentačnej povinnosti vyplývajúcej z § 17 ods. Vlastného materiálu.</w:t>
            </w:r>
          </w:p>
          <w:p w:rsidR="00B11CF8" w:rsidRPr="00B768B8" w:rsidRDefault="00B11CF8" w:rsidP="00B11CF8">
            <w:pPr>
              <w:spacing w:after="160" w:line="252" w:lineRule="auto"/>
              <w:contextualSpacing/>
              <w:jc w:val="both"/>
              <w:rPr>
                <w:rFonts w:ascii="Times New Roman" w:hAnsi="Times New Roman" w:cs="Times New Roman"/>
                <w:sz w:val="24"/>
                <w:szCs w:val="24"/>
              </w:rPr>
            </w:pPr>
          </w:p>
          <w:p w:rsidR="00B11CF8" w:rsidRPr="00B768B8" w:rsidRDefault="00B11CF8" w:rsidP="00B11CF8">
            <w:pPr>
              <w:spacing w:after="160" w:line="252" w:lineRule="auto"/>
              <w:contextualSpacing/>
              <w:jc w:val="both"/>
              <w:rPr>
                <w:rFonts w:ascii="Times New Roman" w:hAnsi="Times New Roman" w:cs="Times New Roman"/>
                <w:color w:val="1F497D"/>
                <w:sz w:val="24"/>
                <w:szCs w:val="24"/>
              </w:rPr>
            </w:pPr>
            <w:r w:rsidRPr="00B768B8">
              <w:rPr>
                <w:rFonts w:ascii="Times New Roman" w:hAnsi="Times New Roman" w:cs="Times New Roman"/>
                <w:sz w:val="24"/>
                <w:szCs w:val="24"/>
              </w:rPr>
              <w:t>Komisia žiada predkladateľa o dopracovanie Analýzy vplyvov na podnikateľské prostredie spolu s Kalkulačkou nákladov. Novelou zákona sa zavádza zjednodušenie spôsobu registrácie podnikateľských subjektov úpravou § 49a ods. 2. Tento pozitívny vplyv je potrebné kvantifikovať v Kalkulačke nákladov a následne premietnuť do Analýzy vplyvov. Zároveň sa § 49a dopĺňa odsekmi 12 a 13, ktoré predstavujú negatívny vplyv v podobe oznamovacej povinnosti, ktorú je potrebné rovnako kvantifikovať.</w:t>
            </w:r>
            <w:r>
              <w:rPr>
                <w:rFonts w:ascii="Times New Roman" w:hAnsi="Times New Roman" w:cs="Times New Roman"/>
                <w:sz w:val="24"/>
                <w:szCs w:val="24"/>
              </w:rPr>
              <w:t xml:space="preserve"> </w:t>
            </w:r>
          </w:p>
          <w:p w:rsidR="00B11CF8" w:rsidRPr="00B768B8" w:rsidRDefault="00B11CF8" w:rsidP="00B11CF8">
            <w:pPr>
              <w:jc w:val="both"/>
              <w:rPr>
                <w:rFonts w:ascii="Times New Roman" w:hAnsi="Times New Roman" w:cs="Times New Roman"/>
                <w:b/>
                <w:sz w:val="24"/>
                <w:szCs w:val="24"/>
              </w:rPr>
            </w:pPr>
          </w:p>
          <w:p w:rsidR="00B11CF8" w:rsidRPr="00B768B8" w:rsidRDefault="00B11CF8" w:rsidP="00B11CF8">
            <w:pPr>
              <w:jc w:val="both"/>
              <w:rPr>
                <w:rFonts w:ascii="Times New Roman" w:hAnsi="Times New Roman" w:cs="Times New Roman"/>
                <w:b/>
                <w:bCs/>
                <w:sz w:val="24"/>
                <w:szCs w:val="24"/>
              </w:rPr>
            </w:pPr>
            <w:r w:rsidRPr="00B768B8">
              <w:rPr>
                <w:rFonts w:ascii="Times New Roman" w:hAnsi="Times New Roman" w:cs="Times New Roman"/>
                <w:b/>
                <w:bCs/>
                <w:sz w:val="24"/>
                <w:szCs w:val="24"/>
              </w:rPr>
              <w:t>K vplyvom na rozpočet verejnej správy</w:t>
            </w:r>
          </w:p>
          <w:p w:rsidR="00B11CF8" w:rsidRPr="00B768B8" w:rsidRDefault="00B11CF8" w:rsidP="00B11CF8">
            <w:pPr>
              <w:jc w:val="both"/>
              <w:rPr>
                <w:rFonts w:ascii="Times New Roman" w:hAnsi="Times New Roman" w:cs="Times New Roman"/>
                <w:sz w:val="24"/>
                <w:szCs w:val="24"/>
                <w:lang w:eastAsia="ar-SA"/>
              </w:rPr>
            </w:pPr>
            <w:r w:rsidRPr="00B768B8">
              <w:rPr>
                <w:rFonts w:ascii="Times New Roman" w:hAnsi="Times New Roman" w:cs="Times New Roman"/>
                <w:sz w:val="24"/>
                <w:szCs w:val="24"/>
              </w:rPr>
              <w:t>Podľa doložky vybraných vplyvov má predložený návrh negatívne, rozpočtovo zabezpečené vplyvy. V analýze vplyvov na rozpočet verejnej správy sú, okrem negatívnych vplyvov v roku 2022 v sume 126 084 eur, kvantifikované aj pozitívne vplyvy v roku 2024 v sume 4 057 000 eur a v roku 2025 v sume 6 088 000 eur.  Uvedené je potrebné zohľadniť v doložke vybraných vplyvov, t. j. v bode 9. označiť aj pozitívne vplyvy na rozpočet verejnej správy.</w:t>
            </w:r>
          </w:p>
          <w:p w:rsidR="00B11CF8" w:rsidRPr="00B768B8" w:rsidRDefault="00B11CF8" w:rsidP="00B11CF8">
            <w:pPr>
              <w:jc w:val="both"/>
              <w:rPr>
                <w:rFonts w:ascii="Times New Roman" w:hAnsi="Times New Roman" w:cs="Times New Roman"/>
                <w:b/>
                <w:bCs/>
                <w:sz w:val="24"/>
                <w:szCs w:val="24"/>
              </w:rPr>
            </w:pPr>
          </w:p>
          <w:p w:rsidR="00B11CF8" w:rsidRPr="00B768B8" w:rsidRDefault="00B11CF8" w:rsidP="00B11CF8">
            <w:pPr>
              <w:jc w:val="both"/>
              <w:rPr>
                <w:rFonts w:ascii="Times New Roman" w:hAnsi="Times New Roman" w:cs="Times New Roman"/>
                <w:b/>
                <w:bCs/>
                <w:sz w:val="24"/>
                <w:szCs w:val="24"/>
              </w:rPr>
            </w:pPr>
            <w:r w:rsidRPr="00B768B8">
              <w:rPr>
                <w:rFonts w:ascii="Times New Roman" w:hAnsi="Times New Roman" w:cs="Times New Roman"/>
                <w:b/>
                <w:bCs/>
                <w:sz w:val="24"/>
                <w:szCs w:val="24"/>
              </w:rPr>
              <w:t>K vplyvom na informatizáciu spoločnosti</w:t>
            </w:r>
          </w:p>
          <w:p w:rsidR="00B11CF8" w:rsidRPr="00B768B8" w:rsidRDefault="00B11CF8" w:rsidP="00B11CF8">
            <w:pPr>
              <w:jc w:val="both"/>
              <w:rPr>
                <w:rFonts w:ascii="Times New Roman" w:hAnsi="Times New Roman" w:cs="Times New Roman"/>
                <w:sz w:val="24"/>
                <w:szCs w:val="24"/>
                <w:lang w:eastAsia="sk-SK"/>
              </w:rPr>
            </w:pPr>
            <w:r w:rsidRPr="00B768B8">
              <w:rPr>
                <w:rFonts w:ascii="Times New Roman" w:hAnsi="Times New Roman" w:cs="Times New Roman"/>
                <w:sz w:val="24"/>
                <w:szCs w:val="24"/>
              </w:rPr>
              <w:t>Predkladateľ  musí dopracovať analýzu vplyvov v časti 6.1., kde je nutné uviesť aj názov a kód upravovanej služby a zosúladiť body 6.4.1. až 6.4.3.. Pokiaľ sa konanie nevedie bod 6.4.1. ako sa môže konanie viesť elektronicky? Vyznačenie si navzájom odporuje.</w:t>
            </w:r>
          </w:p>
          <w:p w:rsidR="00B11CF8" w:rsidRPr="00B768B8" w:rsidRDefault="00B11CF8" w:rsidP="00B11CF8">
            <w:pPr>
              <w:jc w:val="both"/>
              <w:rPr>
                <w:rFonts w:ascii="Times New Roman" w:eastAsia="Times New Roman" w:hAnsi="Times New Roman" w:cs="Times New Roman"/>
                <w:b/>
                <w:sz w:val="24"/>
                <w:szCs w:val="24"/>
                <w:lang w:eastAsia="sk-SK"/>
              </w:rPr>
            </w:pPr>
          </w:p>
          <w:p w:rsidR="00B11CF8" w:rsidRPr="00697D8D" w:rsidRDefault="00B11CF8" w:rsidP="00B11CF8">
            <w:pPr>
              <w:suppressAutoHyphens/>
              <w:spacing w:line="100" w:lineRule="atLeast"/>
              <w:jc w:val="both"/>
              <w:rPr>
                <w:rFonts w:ascii="Times New Roman" w:hAnsi="Times New Roman" w:cs="Times New Roman"/>
                <w:b/>
                <w:bCs/>
                <w:sz w:val="24"/>
                <w:lang w:eastAsia="ar-SA"/>
              </w:rPr>
            </w:pPr>
            <w:r w:rsidRPr="00697D8D">
              <w:rPr>
                <w:rFonts w:ascii="Times New Roman" w:hAnsi="Times New Roman" w:cs="Times New Roman"/>
                <w:b/>
                <w:bCs/>
                <w:sz w:val="24"/>
                <w:lang w:eastAsia="ar-SA"/>
              </w:rPr>
              <w:t xml:space="preserve">Vyhodnotenie pripomienok MF SR: </w:t>
            </w:r>
          </w:p>
          <w:p w:rsidR="00B11CF8" w:rsidRPr="00B768B8" w:rsidRDefault="00B11CF8" w:rsidP="00B11CF8">
            <w:pPr>
              <w:rPr>
                <w:rFonts w:ascii="Times New Roman" w:eastAsia="Times New Roman" w:hAnsi="Times New Roman" w:cs="Times New Roman"/>
                <w:b/>
                <w:sz w:val="24"/>
                <w:szCs w:val="24"/>
                <w:lang w:eastAsia="sk-SK"/>
              </w:rPr>
            </w:pPr>
          </w:p>
          <w:p w:rsidR="00B11CF8" w:rsidRPr="00B768B8" w:rsidRDefault="00B11CF8" w:rsidP="00B11CF8">
            <w:pPr>
              <w:jc w:val="both"/>
              <w:rPr>
                <w:rFonts w:ascii="Times New Roman" w:hAnsi="Times New Roman" w:cs="Times New Roman"/>
                <w:b/>
                <w:bCs/>
                <w:sz w:val="24"/>
                <w:szCs w:val="24"/>
              </w:rPr>
            </w:pPr>
            <w:r w:rsidRPr="00B768B8">
              <w:rPr>
                <w:rFonts w:ascii="Times New Roman" w:hAnsi="Times New Roman" w:cs="Times New Roman"/>
                <w:b/>
                <w:bCs/>
                <w:sz w:val="24"/>
                <w:szCs w:val="24"/>
              </w:rPr>
              <w:t>K doložke vybraných vplyvov</w:t>
            </w:r>
          </w:p>
          <w:p w:rsidR="00B11CF8" w:rsidRPr="00B11CF8" w:rsidRDefault="00B11CF8" w:rsidP="00B11CF8">
            <w:pPr>
              <w:jc w:val="both"/>
              <w:rPr>
                <w:rFonts w:ascii="Times New Roman" w:hAnsi="Times New Roman" w:cs="Times New Roman"/>
                <w:sz w:val="24"/>
                <w:szCs w:val="24"/>
              </w:rPr>
            </w:pPr>
            <w:r w:rsidRPr="00B11CF8">
              <w:rPr>
                <w:rFonts w:ascii="Times New Roman" w:hAnsi="Times New Roman" w:cs="Times New Roman"/>
                <w:sz w:val="24"/>
                <w:szCs w:val="24"/>
              </w:rPr>
              <w:t>Doložka vybraných vplyvov bola v zmysle pripomienky upravená</w:t>
            </w:r>
            <w:r>
              <w:rPr>
                <w:rFonts w:ascii="Times New Roman" w:hAnsi="Times New Roman" w:cs="Times New Roman"/>
                <w:sz w:val="24"/>
                <w:szCs w:val="24"/>
              </w:rPr>
              <w:t>.</w:t>
            </w:r>
            <w:r w:rsidRPr="00B11CF8">
              <w:rPr>
                <w:rFonts w:ascii="Times New Roman" w:hAnsi="Times New Roman" w:cs="Times New Roman"/>
                <w:sz w:val="24"/>
                <w:szCs w:val="24"/>
              </w:rPr>
              <w:t xml:space="preserve"> </w:t>
            </w:r>
          </w:p>
          <w:p w:rsidR="00B11CF8" w:rsidRDefault="00B11CF8" w:rsidP="00B11CF8">
            <w:pPr>
              <w:rPr>
                <w:rFonts w:ascii="Times New Roman" w:eastAsia="Times New Roman" w:hAnsi="Times New Roman" w:cs="Times New Roman"/>
                <w:b/>
                <w:sz w:val="24"/>
                <w:szCs w:val="24"/>
                <w:lang w:eastAsia="sk-SK"/>
              </w:rPr>
            </w:pPr>
          </w:p>
          <w:p w:rsidR="00B11CF8" w:rsidRDefault="00B11CF8" w:rsidP="00B11CF8">
            <w:pPr>
              <w:jc w:val="both"/>
              <w:rPr>
                <w:rFonts w:ascii="Times New Roman" w:hAnsi="Times New Roman" w:cs="Times New Roman"/>
                <w:b/>
                <w:sz w:val="24"/>
                <w:szCs w:val="24"/>
              </w:rPr>
            </w:pPr>
            <w:r w:rsidRPr="00B768B8">
              <w:rPr>
                <w:rFonts w:ascii="Times New Roman" w:hAnsi="Times New Roman" w:cs="Times New Roman"/>
                <w:b/>
                <w:sz w:val="24"/>
                <w:szCs w:val="24"/>
              </w:rPr>
              <w:t>K vplyvom na podnikateľské prostredie</w:t>
            </w:r>
          </w:p>
          <w:p w:rsidR="00D5226B" w:rsidRPr="00B11CF8" w:rsidRDefault="00D5226B" w:rsidP="00D5226B">
            <w:pPr>
              <w:jc w:val="both"/>
              <w:rPr>
                <w:rFonts w:ascii="Times New Roman" w:hAnsi="Times New Roman" w:cs="Times New Roman"/>
                <w:sz w:val="24"/>
                <w:szCs w:val="24"/>
              </w:rPr>
            </w:pPr>
            <w:r w:rsidRPr="00B11CF8">
              <w:rPr>
                <w:rFonts w:ascii="Times New Roman" w:hAnsi="Times New Roman" w:cs="Times New Roman"/>
                <w:sz w:val="24"/>
                <w:szCs w:val="24"/>
              </w:rPr>
              <w:t xml:space="preserve">Doložka vybraných vplyvov bola v zmysle </w:t>
            </w:r>
            <w:r w:rsidR="00BE239D">
              <w:rPr>
                <w:rFonts w:ascii="Times New Roman" w:hAnsi="Times New Roman" w:cs="Times New Roman"/>
                <w:sz w:val="24"/>
                <w:szCs w:val="24"/>
              </w:rPr>
              <w:t xml:space="preserve">jednotlivých </w:t>
            </w:r>
            <w:r w:rsidRPr="00B11CF8">
              <w:rPr>
                <w:rFonts w:ascii="Times New Roman" w:hAnsi="Times New Roman" w:cs="Times New Roman"/>
                <w:sz w:val="24"/>
                <w:szCs w:val="24"/>
              </w:rPr>
              <w:t>pripomien</w:t>
            </w:r>
            <w:r>
              <w:rPr>
                <w:rFonts w:ascii="Times New Roman" w:hAnsi="Times New Roman" w:cs="Times New Roman"/>
                <w:sz w:val="24"/>
                <w:szCs w:val="24"/>
              </w:rPr>
              <w:t>ok</w:t>
            </w:r>
            <w:r w:rsidRPr="00B11CF8">
              <w:rPr>
                <w:rFonts w:ascii="Times New Roman" w:hAnsi="Times New Roman" w:cs="Times New Roman"/>
                <w:sz w:val="24"/>
                <w:szCs w:val="24"/>
              </w:rPr>
              <w:t xml:space="preserve"> upravená</w:t>
            </w:r>
            <w:r w:rsidR="00BE239D">
              <w:rPr>
                <w:rFonts w:ascii="Times New Roman" w:hAnsi="Times New Roman" w:cs="Times New Roman"/>
                <w:sz w:val="24"/>
                <w:szCs w:val="24"/>
              </w:rPr>
              <w:t xml:space="preserve"> </w:t>
            </w:r>
            <w:r w:rsidR="006F0137">
              <w:rPr>
                <w:rFonts w:ascii="Times New Roman" w:hAnsi="Times New Roman" w:cs="Times New Roman"/>
                <w:sz w:val="24"/>
                <w:szCs w:val="24"/>
              </w:rPr>
              <w:t>(</w:t>
            </w:r>
            <w:r w:rsidR="00BE239D">
              <w:rPr>
                <w:rFonts w:ascii="Times New Roman" w:hAnsi="Times New Roman" w:cs="Times New Roman"/>
                <w:sz w:val="24"/>
                <w:szCs w:val="24"/>
              </w:rPr>
              <w:t xml:space="preserve">s výnimkou </w:t>
            </w:r>
            <w:r w:rsidR="008E266E">
              <w:rPr>
                <w:rFonts w:ascii="Times New Roman" w:hAnsi="Times New Roman" w:cs="Times New Roman"/>
                <w:sz w:val="24"/>
                <w:szCs w:val="24"/>
              </w:rPr>
              <w:t xml:space="preserve">pripomienky </w:t>
            </w:r>
            <w:r w:rsidR="00BE239D">
              <w:rPr>
                <w:rFonts w:ascii="Times New Roman" w:hAnsi="Times New Roman" w:cs="Times New Roman"/>
                <w:sz w:val="24"/>
                <w:szCs w:val="24"/>
              </w:rPr>
              <w:t xml:space="preserve">týkajúcej </w:t>
            </w:r>
            <w:r w:rsidR="006F0137">
              <w:rPr>
                <w:rFonts w:ascii="Times New Roman" w:hAnsi="Times New Roman" w:cs="Times New Roman"/>
                <w:sz w:val="24"/>
                <w:szCs w:val="24"/>
              </w:rPr>
              <w:t xml:space="preserve">sa zavedenia </w:t>
            </w:r>
            <w:r w:rsidR="00BE239D">
              <w:rPr>
                <w:rFonts w:ascii="Times New Roman" w:hAnsi="Times New Roman" w:cs="Times New Roman"/>
                <w:sz w:val="24"/>
                <w:szCs w:val="24"/>
              </w:rPr>
              <w:t>automatickej registrácie</w:t>
            </w:r>
            <w:r w:rsidR="006F0137">
              <w:rPr>
                <w:rFonts w:ascii="Times New Roman" w:hAnsi="Times New Roman" w:cs="Times New Roman"/>
                <w:sz w:val="24"/>
                <w:szCs w:val="24"/>
              </w:rPr>
              <w:t xml:space="preserve">, ktorá </w:t>
            </w:r>
            <w:r w:rsidR="00BE239D">
              <w:rPr>
                <w:rFonts w:ascii="Times New Roman" w:hAnsi="Times New Roman" w:cs="Times New Roman"/>
                <w:sz w:val="24"/>
                <w:szCs w:val="24"/>
              </w:rPr>
              <w:t>nebude mať negatívn</w:t>
            </w:r>
            <w:r w:rsidR="008E266E">
              <w:rPr>
                <w:rFonts w:ascii="Times New Roman" w:hAnsi="Times New Roman" w:cs="Times New Roman"/>
                <w:sz w:val="24"/>
                <w:szCs w:val="24"/>
              </w:rPr>
              <w:t>y</w:t>
            </w:r>
            <w:r w:rsidR="00BE239D">
              <w:rPr>
                <w:rFonts w:ascii="Times New Roman" w:hAnsi="Times New Roman" w:cs="Times New Roman"/>
                <w:sz w:val="24"/>
                <w:szCs w:val="24"/>
              </w:rPr>
              <w:t xml:space="preserve"> vplyv </w:t>
            </w:r>
            <w:r w:rsidR="006F0137">
              <w:rPr>
                <w:rFonts w:ascii="Times New Roman" w:hAnsi="Times New Roman" w:cs="Times New Roman"/>
                <w:sz w:val="24"/>
                <w:szCs w:val="24"/>
              </w:rPr>
              <w:t>na daňovníkov v podobe ďalšej oznamovacej povinnosti</w:t>
            </w:r>
            <w:r w:rsidR="008E266E">
              <w:rPr>
                <w:rFonts w:ascii="Times New Roman" w:hAnsi="Times New Roman" w:cs="Times New Roman"/>
                <w:sz w:val="24"/>
                <w:szCs w:val="24"/>
              </w:rPr>
              <w:t>)</w:t>
            </w:r>
            <w:r w:rsidR="00BE239D">
              <w:rPr>
                <w:rFonts w:ascii="Times New Roman" w:hAnsi="Times New Roman" w:cs="Times New Roman"/>
                <w:sz w:val="24"/>
                <w:szCs w:val="24"/>
              </w:rPr>
              <w:t>.</w:t>
            </w:r>
            <w:r w:rsidRPr="00B11CF8">
              <w:rPr>
                <w:rFonts w:ascii="Times New Roman" w:hAnsi="Times New Roman" w:cs="Times New Roman"/>
                <w:sz w:val="24"/>
                <w:szCs w:val="24"/>
              </w:rPr>
              <w:t xml:space="preserve"> </w:t>
            </w:r>
          </w:p>
          <w:p w:rsidR="00D5226B" w:rsidRDefault="00D5226B" w:rsidP="00125939">
            <w:pPr>
              <w:jc w:val="both"/>
              <w:rPr>
                <w:rFonts w:ascii="Times New Roman" w:hAnsi="Times New Roman" w:cs="Times New Roman"/>
                <w:b/>
                <w:bCs/>
                <w:sz w:val="24"/>
                <w:szCs w:val="24"/>
              </w:rPr>
            </w:pPr>
          </w:p>
          <w:p w:rsidR="00125939" w:rsidRPr="00B768B8" w:rsidRDefault="00125939" w:rsidP="00125939">
            <w:pPr>
              <w:jc w:val="both"/>
              <w:rPr>
                <w:rFonts w:ascii="Times New Roman" w:hAnsi="Times New Roman" w:cs="Times New Roman"/>
                <w:b/>
                <w:bCs/>
                <w:sz w:val="24"/>
                <w:szCs w:val="24"/>
              </w:rPr>
            </w:pPr>
            <w:r w:rsidRPr="00B768B8">
              <w:rPr>
                <w:rFonts w:ascii="Times New Roman" w:hAnsi="Times New Roman" w:cs="Times New Roman"/>
                <w:b/>
                <w:bCs/>
                <w:sz w:val="24"/>
                <w:szCs w:val="24"/>
              </w:rPr>
              <w:t>K vplyvom na rozpočet verejnej správy</w:t>
            </w:r>
          </w:p>
          <w:p w:rsidR="00125939" w:rsidRDefault="00125939" w:rsidP="00B11CF8">
            <w:pPr>
              <w:jc w:val="both"/>
              <w:rPr>
                <w:rFonts w:ascii="Times New Roman" w:hAnsi="Times New Roman" w:cs="Times New Roman"/>
                <w:sz w:val="24"/>
                <w:szCs w:val="24"/>
              </w:rPr>
            </w:pPr>
            <w:r w:rsidRPr="00125939">
              <w:rPr>
                <w:rFonts w:ascii="Times New Roman" w:hAnsi="Times New Roman" w:cs="Times New Roman"/>
                <w:sz w:val="24"/>
                <w:szCs w:val="24"/>
              </w:rPr>
              <w:t>Doložka vybraných vplyvov bola dopracovaná  v zmysle pripomienky.</w:t>
            </w:r>
          </w:p>
          <w:p w:rsidR="00125939" w:rsidRDefault="00125939" w:rsidP="00B11CF8">
            <w:pPr>
              <w:jc w:val="both"/>
              <w:rPr>
                <w:rFonts w:ascii="Times New Roman" w:hAnsi="Times New Roman" w:cs="Times New Roman"/>
                <w:sz w:val="24"/>
                <w:szCs w:val="24"/>
              </w:rPr>
            </w:pPr>
          </w:p>
          <w:p w:rsidR="00125939" w:rsidRDefault="00125939" w:rsidP="00125939">
            <w:pPr>
              <w:jc w:val="both"/>
              <w:rPr>
                <w:rFonts w:ascii="Times New Roman" w:hAnsi="Times New Roman" w:cs="Times New Roman"/>
                <w:b/>
                <w:bCs/>
                <w:sz w:val="24"/>
                <w:szCs w:val="24"/>
              </w:rPr>
            </w:pPr>
            <w:r w:rsidRPr="00B768B8">
              <w:rPr>
                <w:rFonts w:ascii="Times New Roman" w:hAnsi="Times New Roman" w:cs="Times New Roman"/>
                <w:b/>
                <w:bCs/>
                <w:sz w:val="24"/>
                <w:szCs w:val="24"/>
              </w:rPr>
              <w:t>K vplyvom na informatizáciu spoločnosti</w:t>
            </w:r>
          </w:p>
          <w:p w:rsidR="00125939" w:rsidRPr="00FC6B6F" w:rsidRDefault="00FC6B6F" w:rsidP="00125939">
            <w:pPr>
              <w:jc w:val="both"/>
              <w:rPr>
                <w:rFonts w:ascii="Times New Roman" w:hAnsi="Times New Roman" w:cs="Times New Roman"/>
                <w:bCs/>
                <w:sz w:val="24"/>
                <w:szCs w:val="24"/>
              </w:rPr>
            </w:pPr>
            <w:r>
              <w:rPr>
                <w:rFonts w:ascii="Times New Roman" w:hAnsi="Times New Roman" w:cs="Times New Roman"/>
                <w:bCs/>
                <w:sz w:val="24"/>
                <w:szCs w:val="24"/>
              </w:rPr>
              <w:t xml:space="preserve">Po prehodnotení </w:t>
            </w:r>
            <w:r w:rsidR="00566380">
              <w:rPr>
                <w:rFonts w:ascii="Times New Roman" w:hAnsi="Times New Roman" w:cs="Times New Roman"/>
                <w:bCs/>
                <w:sz w:val="24"/>
                <w:szCs w:val="24"/>
              </w:rPr>
              <w:t>zákonmi navrhovaných</w:t>
            </w:r>
            <w:r>
              <w:rPr>
                <w:rFonts w:ascii="Times New Roman" w:hAnsi="Times New Roman" w:cs="Times New Roman"/>
                <w:bCs/>
                <w:sz w:val="24"/>
                <w:szCs w:val="24"/>
              </w:rPr>
              <w:t xml:space="preserve"> opatrení</w:t>
            </w:r>
            <w:r w:rsidR="00566380">
              <w:rPr>
                <w:rFonts w:ascii="Times New Roman" w:hAnsi="Times New Roman" w:cs="Times New Roman"/>
                <w:bCs/>
                <w:sz w:val="24"/>
                <w:szCs w:val="24"/>
              </w:rPr>
              <w:t>, predkladateľ dospel k názoru, že tieto nemajú vplyv na informatizáciu spoločnosti. Z uvedeného dôvodu</w:t>
            </w:r>
            <w:r>
              <w:rPr>
                <w:rFonts w:ascii="Times New Roman" w:hAnsi="Times New Roman" w:cs="Times New Roman"/>
                <w:bCs/>
                <w:sz w:val="24"/>
                <w:szCs w:val="24"/>
              </w:rPr>
              <w:t xml:space="preserve"> </w:t>
            </w:r>
            <w:r w:rsidR="00566380">
              <w:rPr>
                <w:rFonts w:ascii="Times New Roman" w:hAnsi="Times New Roman" w:cs="Times New Roman"/>
                <w:bCs/>
                <w:sz w:val="24"/>
                <w:szCs w:val="24"/>
              </w:rPr>
              <w:t>bola analýza vplyvu na informatizáciu vypustená.</w:t>
            </w:r>
          </w:p>
          <w:p w:rsidR="00125939" w:rsidRPr="00125939" w:rsidRDefault="00125939" w:rsidP="00B11CF8">
            <w:pPr>
              <w:jc w:val="both"/>
              <w:rPr>
                <w:rFonts w:ascii="Times New Roman" w:hAnsi="Times New Roman" w:cs="Times New Roman"/>
                <w:sz w:val="24"/>
                <w:szCs w:val="24"/>
              </w:rPr>
            </w:pPr>
          </w:p>
          <w:p w:rsidR="00B11CF8" w:rsidRPr="00B768B8" w:rsidRDefault="00B11CF8" w:rsidP="00B11CF8">
            <w:pPr>
              <w:rPr>
                <w:rFonts w:ascii="Times New Roman" w:eastAsia="Times New Roman" w:hAnsi="Times New Roman" w:cs="Times New Roman"/>
                <w:b/>
                <w:sz w:val="24"/>
                <w:szCs w:val="24"/>
                <w:lang w:eastAsia="sk-SK"/>
              </w:rPr>
            </w:pPr>
          </w:p>
          <w:p w:rsidR="00B11CF8" w:rsidRPr="00B768B8" w:rsidRDefault="00B11CF8" w:rsidP="00B11CF8">
            <w:pPr>
              <w:rPr>
                <w:rFonts w:ascii="Times New Roman" w:eastAsia="Times New Roman" w:hAnsi="Times New Roman" w:cs="Times New Roman"/>
                <w:b/>
                <w:sz w:val="24"/>
                <w:szCs w:val="24"/>
                <w:lang w:eastAsia="sk-SK"/>
              </w:rPr>
            </w:pPr>
          </w:p>
        </w:tc>
      </w:tr>
      <w:tr w:rsidR="00B11CF8"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B11CF8" w:rsidRPr="00B043B4" w:rsidRDefault="00B11CF8" w:rsidP="00B11CF8">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B11CF8" w:rsidRPr="00B043B4" w:rsidTr="000800FC">
        <w:tblPrEx>
          <w:tblBorders>
            <w:insideH w:val="single" w:sz="4" w:space="0" w:color="FFFFFF"/>
            <w:insideV w:val="single" w:sz="4" w:space="0" w:color="FFFFFF"/>
          </w:tblBorders>
        </w:tblPrEx>
        <w:tc>
          <w:tcPr>
            <w:tcW w:w="9176" w:type="dxa"/>
            <w:shd w:val="clear" w:color="auto" w:fill="FFFFFF"/>
          </w:tcPr>
          <w:p w:rsidR="00B11CF8" w:rsidRPr="00B043B4" w:rsidRDefault="00B11CF8" w:rsidP="00B11CF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1CF8" w:rsidRPr="00B043B4" w:rsidTr="000800FC">
              <w:trPr>
                <w:trHeight w:val="396"/>
              </w:trPr>
              <w:tc>
                <w:tcPr>
                  <w:tcW w:w="2552" w:type="dxa"/>
                </w:tcPr>
                <w:p w:rsidR="00B11CF8" w:rsidRPr="00B043B4" w:rsidRDefault="00764BC6" w:rsidP="00B11CF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B11CF8">
                        <w:rPr>
                          <w:rFonts w:ascii="MS Gothic" w:eastAsia="MS Gothic" w:hAnsi="MS Gothic" w:cs="Times New Roman" w:hint="eastAsia"/>
                          <w:b/>
                          <w:sz w:val="20"/>
                          <w:szCs w:val="20"/>
                          <w:lang w:eastAsia="sk-SK"/>
                        </w:rPr>
                        <w:t>☐</w:t>
                      </w:r>
                    </w:sdtContent>
                  </w:sdt>
                  <w:r w:rsidR="00B11CF8">
                    <w:rPr>
                      <w:rFonts w:ascii="Times New Roman" w:eastAsia="Times New Roman" w:hAnsi="Times New Roman" w:cs="Times New Roman"/>
                      <w:b/>
                      <w:sz w:val="20"/>
                      <w:szCs w:val="20"/>
                      <w:lang w:eastAsia="sk-SK"/>
                    </w:rPr>
                    <w:t xml:space="preserve">   </w:t>
                  </w:r>
                  <w:r w:rsidR="00B11CF8" w:rsidRPr="00B043B4">
                    <w:rPr>
                      <w:rFonts w:ascii="Times New Roman" w:eastAsia="Times New Roman" w:hAnsi="Times New Roman" w:cs="Times New Roman"/>
                      <w:b/>
                      <w:sz w:val="20"/>
                      <w:szCs w:val="20"/>
                      <w:lang w:eastAsia="sk-SK"/>
                    </w:rPr>
                    <w:t xml:space="preserve">Súhlasné </w:t>
                  </w:r>
                </w:p>
              </w:tc>
              <w:tc>
                <w:tcPr>
                  <w:tcW w:w="3827" w:type="dxa"/>
                </w:tcPr>
                <w:p w:rsidR="00B11CF8" w:rsidRPr="00B043B4" w:rsidRDefault="00764BC6" w:rsidP="00B11CF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B11CF8">
                        <w:rPr>
                          <w:rFonts w:ascii="MS Gothic" w:eastAsia="MS Gothic" w:hAnsi="MS Gothic" w:cs="Times New Roman" w:hint="eastAsia"/>
                          <w:b/>
                          <w:sz w:val="20"/>
                          <w:szCs w:val="20"/>
                          <w:lang w:eastAsia="sk-SK"/>
                        </w:rPr>
                        <w:t>☐</w:t>
                      </w:r>
                    </w:sdtContent>
                  </w:sdt>
                  <w:r w:rsidR="00B11CF8">
                    <w:rPr>
                      <w:rFonts w:ascii="Times New Roman" w:eastAsia="Times New Roman" w:hAnsi="Times New Roman" w:cs="Times New Roman"/>
                      <w:b/>
                      <w:sz w:val="20"/>
                      <w:szCs w:val="20"/>
                      <w:lang w:eastAsia="sk-SK"/>
                    </w:rPr>
                    <w:t xml:space="preserve">  </w:t>
                  </w:r>
                  <w:r w:rsidR="00B11CF8" w:rsidRPr="00B043B4">
                    <w:rPr>
                      <w:rFonts w:ascii="Times New Roman" w:eastAsia="Times New Roman" w:hAnsi="Times New Roman" w:cs="Times New Roman"/>
                      <w:b/>
                      <w:sz w:val="20"/>
                      <w:szCs w:val="20"/>
                      <w:lang w:eastAsia="sk-SK"/>
                    </w:rPr>
                    <w:t>Súhlasné s  návrhom na dopracovanie</w:t>
                  </w:r>
                </w:p>
              </w:tc>
              <w:tc>
                <w:tcPr>
                  <w:tcW w:w="2534" w:type="dxa"/>
                </w:tcPr>
                <w:p w:rsidR="00B11CF8" w:rsidRPr="00B043B4" w:rsidRDefault="00764BC6" w:rsidP="00B11CF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B11CF8">
                        <w:rPr>
                          <w:rFonts w:ascii="MS Gothic" w:eastAsia="MS Gothic" w:hAnsi="MS Gothic" w:cs="Times New Roman" w:hint="eastAsia"/>
                          <w:b/>
                          <w:sz w:val="20"/>
                          <w:szCs w:val="20"/>
                          <w:lang w:eastAsia="sk-SK"/>
                        </w:rPr>
                        <w:t>☐</w:t>
                      </w:r>
                    </w:sdtContent>
                  </w:sdt>
                  <w:r w:rsidR="00B11CF8">
                    <w:rPr>
                      <w:rFonts w:ascii="Times New Roman" w:eastAsia="Times New Roman" w:hAnsi="Times New Roman" w:cs="Times New Roman"/>
                      <w:b/>
                      <w:sz w:val="20"/>
                      <w:szCs w:val="20"/>
                      <w:lang w:eastAsia="sk-SK"/>
                    </w:rPr>
                    <w:t xml:space="preserve">  </w:t>
                  </w:r>
                  <w:r w:rsidR="00B11CF8" w:rsidRPr="00B043B4">
                    <w:rPr>
                      <w:rFonts w:ascii="Times New Roman" w:eastAsia="Times New Roman" w:hAnsi="Times New Roman" w:cs="Times New Roman"/>
                      <w:b/>
                      <w:sz w:val="20"/>
                      <w:szCs w:val="20"/>
                      <w:lang w:eastAsia="sk-SK"/>
                    </w:rPr>
                    <w:t>Nesúhlasné</w:t>
                  </w:r>
                </w:p>
              </w:tc>
            </w:tr>
          </w:tbl>
          <w:p w:rsidR="00B11CF8" w:rsidRPr="00B043B4" w:rsidRDefault="00B11CF8" w:rsidP="00B11CF8">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B11CF8" w:rsidRPr="00B043B4" w:rsidRDefault="00B11CF8" w:rsidP="00B11CF8">
            <w:pPr>
              <w:rPr>
                <w:rFonts w:ascii="Times New Roman" w:eastAsia="Times New Roman" w:hAnsi="Times New Roman" w:cs="Times New Roman"/>
                <w:b/>
                <w:sz w:val="20"/>
                <w:szCs w:val="20"/>
                <w:lang w:eastAsia="sk-SK"/>
              </w:rPr>
            </w:pPr>
          </w:p>
          <w:p w:rsidR="00B11CF8" w:rsidRPr="00B043B4" w:rsidRDefault="00B11CF8" w:rsidP="00B11CF8">
            <w:pPr>
              <w:rPr>
                <w:rFonts w:ascii="Times New Roman" w:eastAsia="Times New Roman" w:hAnsi="Times New Roman" w:cs="Times New Roman"/>
                <w:b/>
                <w:sz w:val="20"/>
                <w:szCs w:val="20"/>
                <w:lang w:eastAsia="sk-SK"/>
              </w:rPr>
            </w:pPr>
          </w:p>
        </w:tc>
      </w:tr>
    </w:tbl>
    <w:p w:rsidR="00274130" w:rsidRDefault="00764BC6"/>
    <w:sectPr w:rsidR="00274130" w:rsidSect="001E35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C0" w:rsidRDefault="00ED1AC0" w:rsidP="001B23B7">
      <w:pPr>
        <w:spacing w:after="0" w:line="240" w:lineRule="auto"/>
      </w:pPr>
      <w:r>
        <w:separator/>
      </w:r>
    </w:p>
  </w:endnote>
  <w:endnote w:type="continuationSeparator" w:id="0">
    <w:p w:rsidR="00ED1AC0" w:rsidRDefault="00ED1AC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E6" w:rsidRDefault="000A43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0A43E6">
        <w:pPr>
          <w:pStyle w:val="Pta"/>
          <w:jc w:val="center"/>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50F77">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E6" w:rsidRDefault="000A43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C0" w:rsidRDefault="00ED1AC0" w:rsidP="001B23B7">
      <w:pPr>
        <w:spacing w:after="0" w:line="240" w:lineRule="auto"/>
      </w:pPr>
      <w:r>
        <w:separator/>
      </w:r>
    </w:p>
  </w:footnote>
  <w:footnote w:type="continuationSeparator" w:id="0">
    <w:p w:rsidR="00ED1AC0" w:rsidRDefault="00ED1AC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E6" w:rsidRDefault="000A43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E6" w:rsidRDefault="000A43E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2451"/>
    <w:multiLevelType w:val="hybridMultilevel"/>
    <w:tmpl w:val="4080C8B8"/>
    <w:lvl w:ilvl="0" w:tplc="041B0005">
      <w:start w:val="1"/>
      <w:numFmt w:val="bullet"/>
      <w:lvlText w:val=""/>
      <w:lvlJc w:val="left"/>
      <w:pPr>
        <w:ind w:left="749" w:hanging="360"/>
      </w:pPr>
      <w:rPr>
        <w:rFonts w:ascii="Wingdings" w:hAnsi="Wingdings" w:hint="default"/>
      </w:rPr>
    </w:lvl>
    <w:lvl w:ilvl="1" w:tplc="041B0003" w:tentative="1">
      <w:start w:val="1"/>
      <w:numFmt w:val="bullet"/>
      <w:lvlText w:val="o"/>
      <w:lvlJc w:val="left"/>
      <w:pPr>
        <w:ind w:left="1469" w:hanging="360"/>
      </w:pPr>
      <w:rPr>
        <w:rFonts w:ascii="Courier New" w:hAnsi="Courier New" w:cs="Courier New" w:hint="default"/>
      </w:rPr>
    </w:lvl>
    <w:lvl w:ilvl="2" w:tplc="041B0005" w:tentative="1">
      <w:start w:val="1"/>
      <w:numFmt w:val="bullet"/>
      <w:lvlText w:val=""/>
      <w:lvlJc w:val="left"/>
      <w:pPr>
        <w:ind w:left="2189" w:hanging="360"/>
      </w:pPr>
      <w:rPr>
        <w:rFonts w:ascii="Wingdings" w:hAnsi="Wingdings" w:hint="default"/>
      </w:rPr>
    </w:lvl>
    <w:lvl w:ilvl="3" w:tplc="041B0001" w:tentative="1">
      <w:start w:val="1"/>
      <w:numFmt w:val="bullet"/>
      <w:lvlText w:val=""/>
      <w:lvlJc w:val="left"/>
      <w:pPr>
        <w:ind w:left="2909" w:hanging="360"/>
      </w:pPr>
      <w:rPr>
        <w:rFonts w:ascii="Symbol" w:hAnsi="Symbol" w:hint="default"/>
      </w:rPr>
    </w:lvl>
    <w:lvl w:ilvl="4" w:tplc="041B0003" w:tentative="1">
      <w:start w:val="1"/>
      <w:numFmt w:val="bullet"/>
      <w:lvlText w:val="o"/>
      <w:lvlJc w:val="left"/>
      <w:pPr>
        <w:ind w:left="3629" w:hanging="360"/>
      </w:pPr>
      <w:rPr>
        <w:rFonts w:ascii="Courier New" w:hAnsi="Courier New" w:cs="Courier New" w:hint="default"/>
      </w:rPr>
    </w:lvl>
    <w:lvl w:ilvl="5" w:tplc="041B0005" w:tentative="1">
      <w:start w:val="1"/>
      <w:numFmt w:val="bullet"/>
      <w:lvlText w:val=""/>
      <w:lvlJc w:val="left"/>
      <w:pPr>
        <w:ind w:left="4349" w:hanging="360"/>
      </w:pPr>
      <w:rPr>
        <w:rFonts w:ascii="Wingdings" w:hAnsi="Wingdings" w:hint="default"/>
      </w:rPr>
    </w:lvl>
    <w:lvl w:ilvl="6" w:tplc="041B0001" w:tentative="1">
      <w:start w:val="1"/>
      <w:numFmt w:val="bullet"/>
      <w:lvlText w:val=""/>
      <w:lvlJc w:val="left"/>
      <w:pPr>
        <w:ind w:left="5069" w:hanging="360"/>
      </w:pPr>
      <w:rPr>
        <w:rFonts w:ascii="Symbol" w:hAnsi="Symbol" w:hint="default"/>
      </w:rPr>
    </w:lvl>
    <w:lvl w:ilvl="7" w:tplc="041B0003" w:tentative="1">
      <w:start w:val="1"/>
      <w:numFmt w:val="bullet"/>
      <w:lvlText w:val="o"/>
      <w:lvlJc w:val="left"/>
      <w:pPr>
        <w:ind w:left="5789" w:hanging="360"/>
      </w:pPr>
      <w:rPr>
        <w:rFonts w:ascii="Courier New" w:hAnsi="Courier New" w:cs="Courier New" w:hint="default"/>
      </w:rPr>
    </w:lvl>
    <w:lvl w:ilvl="8" w:tplc="041B0005" w:tentative="1">
      <w:start w:val="1"/>
      <w:numFmt w:val="bullet"/>
      <w:lvlText w:val=""/>
      <w:lvlJc w:val="left"/>
      <w:pPr>
        <w:ind w:left="6509" w:hanging="360"/>
      </w:pPr>
      <w:rPr>
        <w:rFonts w:ascii="Wingdings" w:hAnsi="Wingdings" w:hint="default"/>
      </w:rPr>
    </w:lvl>
  </w:abstractNum>
  <w:abstractNum w:abstractNumId="1" w15:restartNumberingAfterBreak="0">
    <w:nsid w:val="32D553BB"/>
    <w:multiLevelType w:val="hybridMultilevel"/>
    <w:tmpl w:val="4B22EE7E"/>
    <w:lvl w:ilvl="0" w:tplc="FBF6D606">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033A40"/>
    <w:multiLevelType w:val="hybridMultilevel"/>
    <w:tmpl w:val="D8B88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C5C3DA1"/>
    <w:multiLevelType w:val="hybridMultilevel"/>
    <w:tmpl w:val="F45CECE6"/>
    <w:lvl w:ilvl="0" w:tplc="AB66D9F2">
      <w:start w:val="3"/>
      <w:numFmt w:val="bullet"/>
      <w:lvlText w:val="-"/>
      <w:lvlJc w:val="left"/>
      <w:pPr>
        <w:ind w:left="720" w:hanging="360"/>
      </w:pPr>
      <w:rPr>
        <w:rFonts w:ascii="Calibri" w:hAnsi="Calibri" w:cs="Times New Roman" w:hint="default"/>
        <w:b w:val="0"/>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1893EB8"/>
    <w:multiLevelType w:val="hybridMultilevel"/>
    <w:tmpl w:val="BDCA71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A43E6"/>
    <w:rsid w:val="000D348F"/>
    <w:rsid w:val="000F2BE9"/>
    <w:rsid w:val="00125939"/>
    <w:rsid w:val="001B23B7"/>
    <w:rsid w:val="001E010C"/>
    <w:rsid w:val="001E3562"/>
    <w:rsid w:val="00203EE3"/>
    <w:rsid w:val="0023360B"/>
    <w:rsid w:val="00243652"/>
    <w:rsid w:val="003145AE"/>
    <w:rsid w:val="003578F6"/>
    <w:rsid w:val="003A057B"/>
    <w:rsid w:val="003E0ECF"/>
    <w:rsid w:val="003E68E9"/>
    <w:rsid w:val="00400DEB"/>
    <w:rsid w:val="0049476D"/>
    <w:rsid w:val="004A4383"/>
    <w:rsid w:val="004C0B34"/>
    <w:rsid w:val="004C6831"/>
    <w:rsid w:val="00566380"/>
    <w:rsid w:val="00591EC6"/>
    <w:rsid w:val="005A5CEA"/>
    <w:rsid w:val="00652601"/>
    <w:rsid w:val="006D674E"/>
    <w:rsid w:val="006F0137"/>
    <w:rsid w:val="006F678E"/>
    <w:rsid w:val="006F6B62"/>
    <w:rsid w:val="00720322"/>
    <w:rsid w:val="0075197E"/>
    <w:rsid w:val="00761208"/>
    <w:rsid w:val="007B40C1"/>
    <w:rsid w:val="007F58DD"/>
    <w:rsid w:val="00865E81"/>
    <w:rsid w:val="008801B5"/>
    <w:rsid w:val="008B222D"/>
    <w:rsid w:val="008C79B7"/>
    <w:rsid w:val="008E266E"/>
    <w:rsid w:val="00902375"/>
    <w:rsid w:val="009431E3"/>
    <w:rsid w:val="009443B0"/>
    <w:rsid w:val="009475F5"/>
    <w:rsid w:val="009713D4"/>
    <w:rsid w:val="009717F5"/>
    <w:rsid w:val="009A019D"/>
    <w:rsid w:val="009C424C"/>
    <w:rsid w:val="009E09F7"/>
    <w:rsid w:val="009F4832"/>
    <w:rsid w:val="00A22E28"/>
    <w:rsid w:val="00A340BB"/>
    <w:rsid w:val="00A565F5"/>
    <w:rsid w:val="00AC30D6"/>
    <w:rsid w:val="00B11CF8"/>
    <w:rsid w:val="00B16DB4"/>
    <w:rsid w:val="00B547F5"/>
    <w:rsid w:val="00B84F87"/>
    <w:rsid w:val="00BA2BF4"/>
    <w:rsid w:val="00BE239D"/>
    <w:rsid w:val="00CE6AAE"/>
    <w:rsid w:val="00CF1A25"/>
    <w:rsid w:val="00D2313B"/>
    <w:rsid w:val="00D50F1E"/>
    <w:rsid w:val="00D5226B"/>
    <w:rsid w:val="00D816B5"/>
    <w:rsid w:val="00DF357C"/>
    <w:rsid w:val="00E50F77"/>
    <w:rsid w:val="00E82F73"/>
    <w:rsid w:val="00E93373"/>
    <w:rsid w:val="00EA3A14"/>
    <w:rsid w:val="00ED1AC0"/>
    <w:rsid w:val="00F701ED"/>
    <w:rsid w:val="00F87681"/>
    <w:rsid w:val="00FA02DB"/>
    <w:rsid w:val="00FC6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
    <w:name w:val="awspan"/>
    <w:basedOn w:val="Predvolenpsmoodseku"/>
    <w:rsid w:val="00EA3A14"/>
  </w:style>
  <w:style w:type="paragraph" w:styleId="Odsekzoznamu">
    <w:name w:val="List Paragraph"/>
    <w:basedOn w:val="Normlny"/>
    <w:uiPriority w:val="34"/>
    <w:qFormat/>
    <w:rsid w:val="00EA3A14"/>
    <w:pPr>
      <w:ind w:left="720"/>
      <w:contextualSpacing/>
    </w:pPr>
  </w:style>
  <w:style w:type="character" w:styleId="Hypertextovprepojenie">
    <w:name w:val="Hyperlink"/>
    <w:basedOn w:val="Predvolenpsmoodseku"/>
    <w:uiPriority w:val="99"/>
    <w:unhideWhenUsed/>
    <w:rsid w:val="009443B0"/>
    <w:rPr>
      <w:color w:val="0563C1" w:themeColor="hyperlink"/>
      <w:u w:val="single"/>
    </w:rPr>
  </w:style>
  <w:style w:type="paragraph" w:styleId="Podpise-mailu">
    <w:name w:val="E-mail Signature"/>
    <w:basedOn w:val="Normlny"/>
    <w:link w:val="Podpise-mailuChar"/>
    <w:uiPriority w:val="99"/>
    <w:unhideWhenUsed/>
    <w:rsid w:val="009443B0"/>
    <w:pPr>
      <w:spacing w:after="0" w:line="240" w:lineRule="auto"/>
    </w:pPr>
    <w:rPr>
      <w:rFonts w:eastAsiaTheme="minorEastAsia"/>
      <w:lang w:eastAsia="sk-SK"/>
    </w:rPr>
  </w:style>
  <w:style w:type="character" w:customStyle="1" w:styleId="Podpise-mailuChar">
    <w:name w:val="Podpis e-mailu Char"/>
    <w:basedOn w:val="Predvolenpsmoodseku"/>
    <w:link w:val="Podpise-mailu"/>
    <w:uiPriority w:val="99"/>
    <w:rsid w:val="009443B0"/>
    <w:rPr>
      <w:rFonts w:eastAsiaTheme="minorEastAsia"/>
      <w:lang w:eastAsia="sk-SK"/>
    </w:rPr>
  </w:style>
  <w:style w:type="paragraph" w:customStyle="1" w:styleId="Default">
    <w:name w:val="Default"/>
    <w:rsid w:val="004C0B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gisteruz.sk/cruzpublic/domain/accountingentity/simplesearch"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F6CB03-EE23-42FA-8B7F-D64EB2E2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14531</Characters>
  <Application>Microsoft Office Word</Application>
  <DocSecurity>0</DocSecurity>
  <Lines>1321</Lines>
  <Paragraphs>548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Vidova Michaela</cp:lastModifiedBy>
  <cp:revision>2</cp:revision>
  <cp:lastPrinted>2022-07-06T10:34:00Z</cp:lastPrinted>
  <dcterms:created xsi:type="dcterms:W3CDTF">2022-08-10T14:33:00Z</dcterms:created>
  <dcterms:modified xsi:type="dcterms:W3CDTF">2022-08-10T14:33:00Z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