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DFBF3" w14:textId="77777777" w:rsidR="005E2627" w:rsidRPr="00B02943" w:rsidRDefault="005E2627" w:rsidP="005E2627">
      <w:pPr>
        <w:spacing w:after="0" w:line="240" w:lineRule="auto"/>
        <w:jc w:val="both"/>
        <w:rPr>
          <w:rFonts w:ascii="Times New Roman" w:hAnsi="Times New Roman" w:cs="Times New Roman"/>
          <w:b/>
          <w:sz w:val="24"/>
          <w:szCs w:val="24"/>
        </w:rPr>
      </w:pPr>
      <w:r w:rsidRPr="00B02943">
        <w:rPr>
          <w:rFonts w:ascii="Times New Roman" w:hAnsi="Times New Roman" w:cs="Times New Roman"/>
          <w:b/>
          <w:sz w:val="24"/>
          <w:szCs w:val="24"/>
        </w:rPr>
        <w:t>B. Osobitná časť</w:t>
      </w:r>
    </w:p>
    <w:p w14:paraId="53075F8F" w14:textId="77777777" w:rsidR="005E2627" w:rsidRDefault="005E2627" w:rsidP="005E2627"/>
    <w:p w14:paraId="5CE9D953" w14:textId="77777777" w:rsidR="005E2627" w:rsidRPr="008151E0" w:rsidRDefault="005E2627" w:rsidP="005E2627">
      <w:pPr>
        <w:rPr>
          <w:rFonts w:ascii="Times New Roman" w:hAnsi="Times New Roman" w:cs="Times New Roman"/>
          <w:b/>
          <w:sz w:val="24"/>
          <w:szCs w:val="24"/>
        </w:rPr>
      </w:pPr>
      <w:r w:rsidRPr="008151E0">
        <w:rPr>
          <w:rFonts w:ascii="Times New Roman" w:hAnsi="Times New Roman" w:cs="Times New Roman"/>
          <w:b/>
          <w:sz w:val="24"/>
          <w:szCs w:val="24"/>
        </w:rPr>
        <w:t>Čl. I Zákon č. 595/2003 Z. z. o dani z príjmov v znení neskorších predpisov</w:t>
      </w:r>
    </w:p>
    <w:p w14:paraId="697EC8E1" w14:textId="77777777" w:rsidR="00013E6A" w:rsidRPr="00F97E9B" w:rsidRDefault="00013E6A" w:rsidP="00013E6A">
      <w:pPr>
        <w:spacing w:after="0" w:line="240" w:lineRule="auto"/>
        <w:jc w:val="both"/>
        <w:rPr>
          <w:rFonts w:ascii="Times New Roman" w:hAnsi="Times New Roman" w:cs="Times New Roman"/>
          <w:sz w:val="24"/>
          <w:szCs w:val="24"/>
        </w:rPr>
      </w:pPr>
    </w:p>
    <w:p w14:paraId="3FED5933" w14:textId="505209B6" w:rsidR="00013E6A" w:rsidRPr="00F97E9B" w:rsidRDefault="00013E6A" w:rsidP="00013E6A">
      <w:pPr>
        <w:spacing w:after="0" w:line="240" w:lineRule="auto"/>
        <w:jc w:val="both"/>
        <w:rPr>
          <w:rFonts w:ascii="Times New Roman" w:hAnsi="Times New Roman" w:cs="Times New Roman"/>
          <w:b/>
          <w:sz w:val="24"/>
          <w:szCs w:val="24"/>
        </w:rPr>
      </w:pPr>
      <w:r w:rsidRPr="00B2271E">
        <w:rPr>
          <w:rFonts w:ascii="Times New Roman" w:hAnsi="Times New Roman" w:cs="Times New Roman"/>
          <w:b/>
          <w:sz w:val="24"/>
          <w:szCs w:val="24"/>
        </w:rPr>
        <w:t>K</w:t>
      </w:r>
      <w:r w:rsidR="00ED6F7A">
        <w:rPr>
          <w:rFonts w:ascii="Times New Roman" w:hAnsi="Times New Roman" w:cs="Times New Roman"/>
          <w:b/>
          <w:sz w:val="24"/>
          <w:szCs w:val="24"/>
        </w:rPr>
        <w:t> bodu 1</w:t>
      </w:r>
      <w:r>
        <w:rPr>
          <w:rFonts w:ascii="Times New Roman" w:hAnsi="Times New Roman" w:cs="Times New Roman"/>
          <w:b/>
          <w:sz w:val="24"/>
          <w:szCs w:val="24"/>
        </w:rPr>
        <w:t xml:space="preserve"> - </w:t>
      </w:r>
      <w:r w:rsidRPr="00B2271E">
        <w:rPr>
          <w:rFonts w:ascii="Times New Roman" w:hAnsi="Times New Roman" w:cs="Times New Roman"/>
          <w:b/>
          <w:sz w:val="24"/>
          <w:szCs w:val="24"/>
        </w:rPr>
        <w:t>§ 2</w:t>
      </w:r>
      <w:r>
        <w:rPr>
          <w:rFonts w:ascii="Times New Roman" w:hAnsi="Times New Roman" w:cs="Times New Roman"/>
          <w:b/>
          <w:sz w:val="24"/>
          <w:szCs w:val="24"/>
        </w:rPr>
        <w:t xml:space="preserve"> písm. o)</w:t>
      </w:r>
    </w:p>
    <w:p w14:paraId="0F83BDDD" w14:textId="77777777" w:rsidR="00013E6A" w:rsidRPr="00F97E9B" w:rsidRDefault="00013E6A" w:rsidP="00013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Znenie</w:t>
      </w:r>
      <w:r w:rsidRPr="00F97E9B">
        <w:rPr>
          <w:rFonts w:ascii="Times New Roman" w:hAnsi="Times New Roman" w:cs="Times New Roman"/>
          <w:sz w:val="24"/>
          <w:szCs w:val="24"/>
        </w:rPr>
        <w:t xml:space="preserve"> § 2 písm. o) ZDP</w:t>
      </w:r>
      <w:r>
        <w:rPr>
          <w:rFonts w:ascii="Times New Roman" w:hAnsi="Times New Roman" w:cs="Times New Roman"/>
          <w:sz w:val="24"/>
          <w:szCs w:val="24"/>
        </w:rPr>
        <w:t xml:space="preserve"> sa dopĺňa o </w:t>
      </w:r>
      <w:r w:rsidRPr="00F97E9B">
        <w:rPr>
          <w:rFonts w:ascii="Times New Roman" w:hAnsi="Times New Roman" w:cs="Times New Roman"/>
          <w:sz w:val="24"/>
          <w:szCs w:val="24"/>
        </w:rPr>
        <w:t xml:space="preserve">spočítavanie podielov blízkych osôb </w:t>
      </w:r>
      <w:r>
        <w:rPr>
          <w:rFonts w:ascii="Times New Roman" w:hAnsi="Times New Roman" w:cs="Times New Roman"/>
          <w:sz w:val="24"/>
          <w:szCs w:val="24"/>
        </w:rPr>
        <w:t>na</w:t>
      </w:r>
      <w:r w:rsidRPr="00F97E9B">
        <w:rPr>
          <w:rFonts w:ascii="Times New Roman" w:hAnsi="Times New Roman" w:cs="Times New Roman"/>
          <w:sz w:val="24"/>
          <w:szCs w:val="24"/>
        </w:rPr>
        <w:t xml:space="preserve"> účely určenia ekonomického prepojenia.</w:t>
      </w:r>
      <w:r>
        <w:rPr>
          <w:rFonts w:ascii="Times New Roman" w:hAnsi="Times New Roman" w:cs="Times New Roman"/>
          <w:sz w:val="24"/>
          <w:szCs w:val="24"/>
        </w:rPr>
        <w:t xml:space="preserve"> Ide o situácie, ak má napríklad manžel </w:t>
      </w:r>
      <w:r w:rsidRPr="00F97E9B">
        <w:rPr>
          <w:rFonts w:ascii="Times New Roman" w:hAnsi="Times New Roman" w:cs="Times New Roman"/>
          <w:sz w:val="24"/>
          <w:szCs w:val="24"/>
        </w:rPr>
        <w:t xml:space="preserve">podiel 100% v spoločnosti A, 15% v spoločnosti B a manželka má podiel 15% v spoločnosti B. Podľa doterajšieho znenia ustanovenia spoločnosti A </w:t>
      </w:r>
      <w:proofErr w:type="spellStart"/>
      <w:r w:rsidRPr="00F97E9B">
        <w:rPr>
          <w:rFonts w:ascii="Times New Roman" w:hAnsi="Times New Roman" w:cs="Times New Roman"/>
          <w:sz w:val="24"/>
          <w:szCs w:val="24"/>
        </w:rPr>
        <w:t>a</w:t>
      </w:r>
      <w:proofErr w:type="spellEnd"/>
      <w:r w:rsidRPr="00F97E9B">
        <w:rPr>
          <w:rFonts w:ascii="Times New Roman" w:hAnsi="Times New Roman" w:cs="Times New Roman"/>
          <w:sz w:val="24"/>
          <w:szCs w:val="24"/>
        </w:rPr>
        <w:t xml:space="preserve"> B neboli prepojené, </w:t>
      </w:r>
      <w:r>
        <w:rPr>
          <w:rFonts w:ascii="Times New Roman" w:hAnsi="Times New Roman" w:cs="Times New Roman"/>
          <w:sz w:val="24"/>
          <w:szCs w:val="24"/>
        </w:rPr>
        <w:t xml:space="preserve">na základe nového ustanovenia sa už považujú za prepojené spoločnosti. </w:t>
      </w:r>
    </w:p>
    <w:p w14:paraId="4C1793F0" w14:textId="77777777" w:rsidR="00013E6A" w:rsidRPr="00F97E9B" w:rsidRDefault="00013E6A" w:rsidP="00013E6A">
      <w:pPr>
        <w:spacing w:after="0" w:line="240" w:lineRule="auto"/>
        <w:jc w:val="both"/>
        <w:rPr>
          <w:rFonts w:ascii="Times New Roman" w:hAnsi="Times New Roman" w:cs="Times New Roman"/>
          <w:sz w:val="24"/>
          <w:szCs w:val="24"/>
        </w:rPr>
      </w:pPr>
    </w:p>
    <w:p w14:paraId="3F93310F" w14:textId="457B3C07" w:rsidR="00013E6A" w:rsidRPr="00F97E9B" w:rsidRDefault="00ED6F7A" w:rsidP="00013E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w:t>
      </w:r>
      <w:r w:rsidR="00013E6A">
        <w:rPr>
          <w:rFonts w:ascii="Times New Roman" w:hAnsi="Times New Roman" w:cs="Times New Roman"/>
          <w:b/>
          <w:sz w:val="24"/>
          <w:szCs w:val="24"/>
        </w:rPr>
        <w:t xml:space="preserve"> - </w:t>
      </w:r>
      <w:r w:rsidR="00013E6A" w:rsidRPr="00B2271E">
        <w:rPr>
          <w:rFonts w:ascii="Times New Roman" w:hAnsi="Times New Roman" w:cs="Times New Roman"/>
          <w:b/>
          <w:sz w:val="24"/>
          <w:szCs w:val="24"/>
        </w:rPr>
        <w:t>§ 2</w:t>
      </w:r>
      <w:r w:rsidR="00013E6A">
        <w:rPr>
          <w:rFonts w:ascii="Times New Roman" w:hAnsi="Times New Roman" w:cs="Times New Roman"/>
          <w:b/>
          <w:sz w:val="24"/>
          <w:szCs w:val="24"/>
        </w:rPr>
        <w:t xml:space="preserve"> písm. r)</w:t>
      </w:r>
    </w:p>
    <w:p w14:paraId="0CCDE23F" w14:textId="77777777" w:rsidR="00013E6A" w:rsidRDefault="00013E6A" w:rsidP="00013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Znenie </w:t>
      </w:r>
      <w:r w:rsidRPr="00183DDC">
        <w:rPr>
          <w:rFonts w:ascii="Times New Roman" w:hAnsi="Times New Roman" w:cs="Times New Roman"/>
          <w:sz w:val="24"/>
          <w:szCs w:val="24"/>
        </w:rPr>
        <w:t>§ 2 písm. r</w:t>
      </w:r>
      <w:r>
        <w:rPr>
          <w:rFonts w:ascii="Times New Roman" w:hAnsi="Times New Roman" w:cs="Times New Roman"/>
          <w:sz w:val="24"/>
          <w:szCs w:val="24"/>
        </w:rPr>
        <w:t>) sa upravuje vzhľadom na definíciu zahraničnej závislej osoby</w:t>
      </w:r>
      <w:r w:rsidRPr="00F97E9B">
        <w:rPr>
          <w:rFonts w:ascii="Times New Roman" w:hAnsi="Times New Roman" w:cs="Times New Roman"/>
          <w:sz w:val="24"/>
          <w:szCs w:val="24"/>
        </w:rPr>
        <w:t>, pričom pojem zahraničnej závislej osoby nie je ďalej použitý</w:t>
      </w:r>
      <w:r>
        <w:rPr>
          <w:rFonts w:ascii="Times New Roman" w:hAnsi="Times New Roman" w:cs="Times New Roman"/>
          <w:sz w:val="24"/>
          <w:szCs w:val="24"/>
        </w:rPr>
        <w:t xml:space="preserve"> v ZDP. Vzhľadom na uvedené, navrhované znenie definuje</w:t>
      </w:r>
      <w:r w:rsidRPr="00F97E9B">
        <w:rPr>
          <w:rFonts w:ascii="Times New Roman" w:hAnsi="Times New Roman" w:cs="Times New Roman"/>
          <w:sz w:val="24"/>
          <w:szCs w:val="24"/>
        </w:rPr>
        <w:t xml:space="preserve"> ekonomické prepojenie</w:t>
      </w:r>
      <w:r>
        <w:rPr>
          <w:rFonts w:ascii="Times New Roman" w:hAnsi="Times New Roman" w:cs="Times New Roman"/>
          <w:sz w:val="24"/>
          <w:szCs w:val="24"/>
        </w:rPr>
        <w:t xml:space="preserve"> v prípade stálych prevádzkarní, ktoré absentuje v aktuálnom znení ZDP.  </w:t>
      </w:r>
    </w:p>
    <w:p w14:paraId="516D3D8A" w14:textId="77777777" w:rsidR="00013E6A" w:rsidRDefault="00013E6A" w:rsidP="00013E6A">
      <w:pPr>
        <w:spacing w:after="0" w:line="240" w:lineRule="auto"/>
        <w:jc w:val="both"/>
        <w:rPr>
          <w:rFonts w:ascii="Times New Roman" w:hAnsi="Times New Roman" w:cs="Times New Roman"/>
          <w:sz w:val="24"/>
          <w:szCs w:val="24"/>
        </w:rPr>
      </w:pPr>
    </w:p>
    <w:p w14:paraId="66DEA8E1" w14:textId="4EF50D45" w:rsidR="00013E6A" w:rsidRPr="00F97E9B" w:rsidRDefault="00013E6A" w:rsidP="00013E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w:t>
      </w:r>
      <w:r w:rsidRPr="00F97E9B">
        <w:rPr>
          <w:rFonts w:ascii="Times New Roman" w:hAnsi="Times New Roman" w:cs="Times New Roman"/>
          <w:b/>
          <w:sz w:val="24"/>
          <w:szCs w:val="24"/>
        </w:rPr>
        <w:t>od</w:t>
      </w:r>
      <w:r>
        <w:rPr>
          <w:rFonts w:ascii="Times New Roman" w:hAnsi="Times New Roman" w:cs="Times New Roman"/>
          <w:b/>
          <w:sz w:val="24"/>
          <w:szCs w:val="24"/>
        </w:rPr>
        <w:t>u</w:t>
      </w:r>
      <w:r w:rsidRPr="00F97E9B">
        <w:rPr>
          <w:rFonts w:ascii="Times New Roman" w:hAnsi="Times New Roman" w:cs="Times New Roman"/>
          <w:b/>
          <w:sz w:val="24"/>
          <w:szCs w:val="24"/>
        </w:rPr>
        <w:t xml:space="preserve"> </w:t>
      </w:r>
      <w:r w:rsidR="00ED6F7A">
        <w:rPr>
          <w:rFonts w:ascii="Times New Roman" w:hAnsi="Times New Roman" w:cs="Times New Roman"/>
          <w:b/>
          <w:sz w:val="24"/>
          <w:szCs w:val="24"/>
        </w:rPr>
        <w:t>3</w:t>
      </w:r>
      <w:r>
        <w:rPr>
          <w:rFonts w:ascii="Times New Roman" w:hAnsi="Times New Roman" w:cs="Times New Roman"/>
          <w:b/>
          <w:sz w:val="24"/>
          <w:szCs w:val="24"/>
        </w:rPr>
        <w:t xml:space="preserve"> - § 2  písm. </w:t>
      </w:r>
      <w:proofErr w:type="spellStart"/>
      <w:r>
        <w:rPr>
          <w:rFonts w:ascii="Times New Roman" w:hAnsi="Times New Roman" w:cs="Times New Roman"/>
          <w:b/>
          <w:sz w:val="24"/>
          <w:szCs w:val="24"/>
        </w:rPr>
        <w:t>ab</w:t>
      </w:r>
      <w:proofErr w:type="spellEnd"/>
      <w:r>
        <w:rPr>
          <w:rFonts w:ascii="Times New Roman" w:hAnsi="Times New Roman" w:cs="Times New Roman"/>
          <w:b/>
          <w:sz w:val="24"/>
          <w:szCs w:val="24"/>
        </w:rPr>
        <w:t>)</w:t>
      </w:r>
    </w:p>
    <w:p w14:paraId="0701A01A" w14:textId="44074937" w:rsidR="00013E6A" w:rsidRDefault="00013E6A" w:rsidP="00013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ustanovenia sa dopĺňa negatívne vymedzenie kontrolovanej transakcie. Z</w:t>
      </w:r>
      <w:r w:rsidRPr="00F97E9B">
        <w:rPr>
          <w:rFonts w:ascii="Times New Roman" w:hAnsi="Times New Roman" w:cs="Times New Roman"/>
          <w:sz w:val="24"/>
          <w:szCs w:val="24"/>
        </w:rPr>
        <w:t xml:space="preserve">a kontrolovanú transakciu </w:t>
      </w:r>
      <w:r>
        <w:rPr>
          <w:rFonts w:ascii="Times New Roman" w:hAnsi="Times New Roman" w:cs="Times New Roman"/>
          <w:sz w:val="24"/>
          <w:szCs w:val="24"/>
        </w:rPr>
        <w:t xml:space="preserve">sa </w:t>
      </w:r>
      <w:r w:rsidRPr="00F97E9B">
        <w:rPr>
          <w:rFonts w:ascii="Times New Roman" w:hAnsi="Times New Roman" w:cs="Times New Roman"/>
          <w:sz w:val="24"/>
          <w:szCs w:val="24"/>
        </w:rPr>
        <w:t xml:space="preserve">všeobecne nepovažuje závislá činnosť, z ktorej príjmy spadajú pod § 5 </w:t>
      </w:r>
      <w:r>
        <w:rPr>
          <w:rFonts w:ascii="Times New Roman" w:hAnsi="Times New Roman" w:cs="Times New Roman"/>
          <w:sz w:val="24"/>
          <w:szCs w:val="24"/>
        </w:rPr>
        <w:t>ZDP</w:t>
      </w:r>
      <w:r w:rsidRPr="00F97E9B">
        <w:rPr>
          <w:rFonts w:ascii="Times New Roman" w:hAnsi="Times New Roman" w:cs="Times New Roman"/>
          <w:sz w:val="24"/>
          <w:szCs w:val="24"/>
        </w:rPr>
        <w:t>, a to bez ohľadu na to, či je vykonávaná zamestnancom závislej osoby, spoločníkom alebo konateľom</w:t>
      </w:r>
      <w:r>
        <w:rPr>
          <w:rFonts w:ascii="Times New Roman" w:hAnsi="Times New Roman" w:cs="Times New Roman"/>
          <w:sz w:val="24"/>
          <w:szCs w:val="24"/>
        </w:rPr>
        <w:t xml:space="preserve">. </w:t>
      </w:r>
      <w:r w:rsidR="0092503C" w:rsidRPr="0092503C">
        <w:rPr>
          <w:rFonts w:ascii="Times New Roman" w:hAnsi="Times New Roman" w:cs="Times New Roman"/>
          <w:sz w:val="24"/>
          <w:szCs w:val="24"/>
        </w:rPr>
        <w:t xml:space="preserve">Zároveň sa ustanovenie technicky upravuje v nadväznosti na zmenu § 2 písm. r), pričom za kontrolovanú transakciu sa naďalej považuje aj vzťah </w:t>
      </w:r>
      <w:r w:rsidR="0092503C" w:rsidRPr="0092503C">
        <w:rPr>
          <w:rFonts w:ascii="Times New Roman" w:hAnsi="Times New Roman"/>
          <w:sz w:val="24"/>
          <w:szCs w:val="24"/>
        </w:rPr>
        <w:t>medzi daňovníkom s neobmedzenou daňovou povinnosťou a jeho stálymi prevádzkarňami v zahraničí, ako aj vzťah medzi daňovníkom s obmedzenou daňovou povinnosťou a jeho stálymi prevádzkarňami na území Slovenskej republiky a vzťah medzi stálymi prevádzkarňami daňovníkov, ktorí sú vzájomne prepojení podľa písmena n) a vzájomný vzťah medzi týmito stálymi prevádzkarňami a týmito daňovníkmi.</w:t>
      </w:r>
      <w:r w:rsidR="0092503C" w:rsidRPr="0092503C">
        <w:rPr>
          <w:rFonts w:ascii="Times New Roman" w:hAnsi="Times New Roman" w:cs="Times New Roman"/>
          <w:sz w:val="24"/>
          <w:szCs w:val="24"/>
        </w:rPr>
        <w:t xml:space="preserve">  </w:t>
      </w:r>
    </w:p>
    <w:p w14:paraId="6467A92F" w14:textId="77777777" w:rsidR="00013E6A" w:rsidRDefault="00013E6A" w:rsidP="00013E6A">
      <w:pPr>
        <w:spacing w:after="0" w:line="240" w:lineRule="auto"/>
        <w:jc w:val="both"/>
        <w:rPr>
          <w:rFonts w:ascii="Times New Roman" w:hAnsi="Times New Roman" w:cs="Times New Roman"/>
          <w:sz w:val="24"/>
          <w:szCs w:val="24"/>
        </w:rPr>
      </w:pPr>
    </w:p>
    <w:p w14:paraId="77D26290" w14:textId="497BB407" w:rsidR="00013E6A" w:rsidRPr="00FB7321" w:rsidRDefault="00013E6A" w:rsidP="00013E6A">
      <w:pPr>
        <w:spacing w:after="0" w:line="240" w:lineRule="auto"/>
        <w:jc w:val="both"/>
        <w:rPr>
          <w:rFonts w:ascii="Times New Roman" w:hAnsi="Times New Roman" w:cs="Times New Roman"/>
          <w:b/>
          <w:sz w:val="24"/>
          <w:szCs w:val="24"/>
        </w:rPr>
      </w:pPr>
      <w:r w:rsidRPr="00FB7321">
        <w:rPr>
          <w:rFonts w:ascii="Times New Roman" w:hAnsi="Times New Roman" w:cs="Times New Roman"/>
          <w:b/>
          <w:sz w:val="24"/>
          <w:szCs w:val="24"/>
        </w:rPr>
        <w:t>K bod</w:t>
      </w:r>
      <w:r w:rsidR="0085550D">
        <w:rPr>
          <w:rFonts w:ascii="Times New Roman" w:hAnsi="Times New Roman" w:cs="Times New Roman"/>
          <w:b/>
          <w:sz w:val="24"/>
          <w:szCs w:val="24"/>
        </w:rPr>
        <w:t>om</w:t>
      </w:r>
      <w:r w:rsidRPr="00FB7321">
        <w:rPr>
          <w:rFonts w:ascii="Times New Roman" w:hAnsi="Times New Roman" w:cs="Times New Roman"/>
          <w:b/>
          <w:sz w:val="24"/>
          <w:szCs w:val="24"/>
        </w:rPr>
        <w:t xml:space="preserve"> </w:t>
      </w:r>
      <w:r w:rsidR="00ED6F7A">
        <w:rPr>
          <w:rFonts w:ascii="Times New Roman" w:hAnsi="Times New Roman" w:cs="Times New Roman"/>
          <w:b/>
          <w:sz w:val="24"/>
          <w:szCs w:val="24"/>
        </w:rPr>
        <w:t>4</w:t>
      </w:r>
      <w:r w:rsidRPr="00FB7321">
        <w:rPr>
          <w:rFonts w:ascii="Times New Roman" w:hAnsi="Times New Roman" w:cs="Times New Roman"/>
          <w:b/>
          <w:sz w:val="24"/>
          <w:szCs w:val="24"/>
        </w:rPr>
        <w:t xml:space="preserve"> a </w:t>
      </w:r>
      <w:r w:rsidR="00ED6F7A">
        <w:rPr>
          <w:rFonts w:ascii="Times New Roman" w:hAnsi="Times New Roman" w:cs="Times New Roman"/>
          <w:b/>
          <w:sz w:val="24"/>
          <w:szCs w:val="24"/>
        </w:rPr>
        <w:t>5</w:t>
      </w:r>
      <w:r w:rsidRPr="00FB732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B7321">
        <w:rPr>
          <w:rFonts w:ascii="Times New Roman" w:hAnsi="Times New Roman" w:cs="Times New Roman"/>
          <w:b/>
          <w:sz w:val="24"/>
          <w:szCs w:val="24"/>
        </w:rPr>
        <w:t>§ 17 ods. 1 písmeno d) a e)</w:t>
      </w:r>
    </w:p>
    <w:p w14:paraId="5D1C1D21" w14:textId="77777777" w:rsidR="00013E6A" w:rsidRPr="00FB7321" w:rsidRDefault="00013E6A" w:rsidP="00013E6A">
      <w:pPr>
        <w:spacing w:after="0" w:line="240" w:lineRule="auto"/>
        <w:jc w:val="both"/>
        <w:rPr>
          <w:rFonts w:ascii="Times New Roman" w:hAnsi="Times New Roman" w:cs="Times New Roman"/>
          <w:sz w:val="24"/>
          <w:szCs w:val="24"/>
        </w:rPr>
      </w:pPr>
      <w:r w:rsidRPr="00FB7321">
        <w:rPr>
          <w:rFonts w:ascii="Times New Roman" w:hAnsi="Times New Roman" w:cs="Times New Roman"/>
          <w:sz w:val="24"/>
          <w:szCs w:val="24"/>
        </w:rPr>
        <w:t>Zmena ustanovenia § 17 ods. 1 písm. d) a e) umožňuje zahraničným daňovníkom, ktorí podnikajú na území SR prostredníctvom stálej prevádzkarne, aby pri určení základu dane tejto stálej prevádzkarne vychádzali z rozdielu medzi výnosmi a nákladmi priraditeľnými stálej prevádzkarni. Príslušné výnosy a náklady by boli zistené z účtovnej alebo inej obdobnej evidencie zahraničného daňovníka.</w:t>
      </w:r>
    </w:p>
    <w:p w14:paraId="1A966DB5" w14:textId="77777777" w:rsidR="00013E6A" w:rsidRPr="00FB7321" w:rsidRDefault="00013E6A" w:rsidP="00013E6A">
      <w:pPr>
        <w:spacing w:after="0" w:line="240" w:lineRule="auto"/>
        <w:jc w:val="both"/>
        <w:rPr>
          <w:rFonts w:ascii="Times New Roman" w:hAnsi="Times New Roman" w:cs="Times New Roman"/>
          <w:sz w:val="24"/>
          <w:szCs w:val="24"/>
        </w:rPr>
      </w:pPr>
      <w:r w:rsidRPr="00FB7321">
        <w:rPr>
          <w:rFonts w:ascii="Times New Roman" w:hAnsi="Times New Roman" w:cs="Times New Roman"/>
          <w:sz w:val="24"/>
          <w:szCs w:val="24"/>
        </w:rPr>
        <w:t xml:space="preserve">Uvedená zmena </w:t>
      </w:r>
      <w:r>
        <w:rPr>
          <w:rFonts w:ascii="Times New Roman" w:hAnsi="Times New Roman" w:cs="Times New Roman"/>
          <w:sz w:val="24"/>
          <w:szCs w:val="24"/>
        </w:rPr>
        <w:t>prispeje</w:t>
      </w:r>
      <w:r w:rsidRPr="00FB7321">
        <w:rPr>
          <w:rFonts w:ascii="Times New Roman" w:hAnsi="Times New Roman" w:cs="Times New Roman"/>
          <w:sz w:val="24"/>
          <w:szCs w:val="24"/>
        </w:rPr>
        <w:t xml:space="preserve"> k zlepšeniu postavenia daňovníkov, ktorí majú na území SR stálu prevádzkareň, avšak nie sú povinní viesť účtovníctvo podľa slovenských účtovných predpisov. Ide o daňovníkov, ktorí nemajú povinnosť zaregistrovať organizačnú zložku v obchodnom registri, pretože napr</w:t>
      </w:r>
      <w:r w:rsidR="0085550D">
        <w:rPr>
          <w:rFonts w:ascii="Times New Roman" w:hAnsi="Times New Roman" w:cs="Times New Roman"/>
          <w:sz w:val="24"/>
          <w:szCs w:val="24"/>
        </w:rPr>
        <w:t>íklad</w:t>
      </w:r>
      <w:r w:rsidRPr="00FB7321">
        <w:rPr>
          <w:rFonts w:ascii="Times New Roman" w:hAnsi="Times New Roman" w:cs="Times New Roman"/>
          <w:sz w:val="24"/>
          <w:szCs w:val="24"/>
        </w:rPr>
        <w:t xml:space="preserve"> podnikajú na území SR dočasne v súvislosti so stavebnými alebo montážnymi projektmi, alebo inými projektmi dočasného charakteru. Pre týchto daňovníkov existujú dve možnosti:</w:t>
      </w:r>
    </w:p>
    <w:p w14:paraId="17FB6FC1" w14:textId="77777777" w:rsidR="00013E6A" w:rsidRPr="00FB7321" w:rsidRDefault="00013E6A" w:rsidP="00013E6A">
      <w:pPr>
        <w:pStyle w:val="Odsekzoznamu"/>
        <w:numPr>
          <w:ilvl w:val="0"/>
          <w:numId w:val="1"/>
        </w:numPr>
        <w:spacing w:after="0" w:line="240" w:lineRule="auto"/>
        <w:jc w:val="both"/>
        <w:rPr>
          <w:rFonts w:ascii="Times New Roman" w:hAnsi="Times New Roman" w:cs="Times New Roman"/>
          <w:sz w:val="24"/>
          <w:szCs w:val="24"/>
        </w:rPr>
      </w:pPr>
      <w:r w:rsidRPr="00FB7321">
        <w:rPr>
          <w:rFonts w:ascii="Times New Roman" w:hAnsi="Times New Roman" w:cs="Times New Roman"/>
          <w:sz w:val="24"/>
          <w:szCs w:val="24"/>
        </w:rPr>
        <w:t xml:space="preserve">viesť účtovníctvo podľa slovenských predpisov dobrovoľne, </w:t>
      </w:r>
    </w:p>
    <w:p w14:paraId="23FAFF07" w14:textId="77777777" w:rsidR="00013E6A" w:rsidRPr="00FB7321" w:rsidRDefault="00013E6A" w:rsidP="00013E6A">
      <w:pPr>
        <w:pStyle w:val="Odsekzoznamu"/>
        <w:numPr>
          <w:ilvl w:val="0"/>
          <w:numId w:val="1"/>
        </w:numPr>
        <w:spacing w:after="0" w:line="240" w:lineRule="auto"/>
        <w:jc w:val="both"/>
        <w:rPr>
          <w:rFonts w:ascii="Times New Roman" w:hAnsi="Times New Roman" w:cs="Times New Roman"/>
          <w:sz w:val="24"/>
          <w:szCs w:val="24"/>
        </w:rPr>
      </w:pPr>
      <w:r w:rsidRPr="00FB7321">
        <w:rPr>
          <w:rFonts w:ascii="Times New Roman" w:hAnsi="Times New Roman" w:cs="Times New Roman"/>
          <w:sz w:val="24"/>
          <w:szCs w:val="24"/>
        </w:rPr>
        <w:t xml:space="preserve">vykazovať základ dane na základe rozdielu medzi príjmami a výdavkami, pričom však účtovníctvo zahraničného daňovníka (u právnickej osoby) je spravidla nastavené na vykazovanie </w:t>
      </w:r>
      <w:r w:rsidRPr="00FB7321">
        <w:rPr>
          <w:rFonts w:ascii="Times New Roman" w:hAnsi="Times New Roman" w:cs="Times New Roman"/>
          <w:sz w:val="24"/>
          <w:szCs w:val="24"/>
          <w:u w:val="single"/>
        </w:rPr>
        <w:t>výnosov a nákladov.</w:t>
      </w:r>
      <w:r w:rsidRPr="00FB7321">
        <w:rPr>
          <w:rFonts w:ascii="Times New Roman" w:hAnsi="Times New Roman" w:cs="Times New Roman"/>
          <w:sz w:val="24"/>
          <w:szCs w:val="24"/>
        </w:rPr>
        <w:t xml:space="preserve"> Obe možnosti predstavujú pre takýchto daňovníkov dodatočnú administratívnu záťaž.</w:t>
      </w:r>
    </w:p>
    <w:p w14:paraId="6F16870F" w14:textId="61EC1476" w:rsidR="00013E6A" w:rsidRDefault="00013E6A" w:rsidP="00013E6A">
      <w:pPr>
        <w:spacing w:after="0" w:line="240" w:lineRule="auto"/>
        <w:jc w:val="both"/>
        <w:rPr>
          <w:rFonts w:ascii="Times New Roman" w:hAnsi="Times New Roman" w:cs="Times New Roman"/>
          <w:sz w:val="24"/>
          <w:szCs w:val="24"/>
        </w:rPr>
      </w:pPr>
      <w:r w:rsidRPr="00E9131E">
        <w:rPr>
          <w:rFonts w:ascii="Times New Roman" w:hAnsi="Times New Roman" w:cs="Times New Roman"/>
          <w:sz w:val="24"/>
          <w:szCs w:val="24"/>
        </w:rPr>
        <w:t xml:space="preserve">Celkovo tak súčasná úprava </w:t>
      </w:r>
      <w:r>
        <w:rPr>
          <w:rFonts w:ascii="Times New Roman" w:hAnsi="Times New Roman" w:cs="Times New Roman"/>
          <w:sz w:val="24"/>
          <w:szCs w:val="24"/>
        </w:rPr>
        <w:t>komplikuje</w:t>
      </w:r>
      <w:r w:rsidRPr="00E9131E">
        <w:rPr>
          <w:rFonts w:ascii="Times New Roman" w:hAnsi="Times New Roman" w:cs="Times New Roman"/>
          <w:sz w:val="24"/>
          <w:szCs w:val="24"/>
        </w:rPr>
        <w:t xml:space="preserve"> podnikanie na území v SR prostredníctvom stálej prevádzkarne a vytvára neopodstatnený rozdiel medzi tuzemskými daňovníkmi (napr</w:t>
      </w:r>
      <w:r w:rsidR="00AC01AC">
        <w:rPr>
          <w:rFonts w:ascii="Times New Roman" w:hAnsi="Times New Roman" w:cs="Times New Roman"/>
          <w:sz w:val="24"/>
          <w:szCs w:val="24"/>
        </w:rPr>
        <w:t>íklad</w:t>
      </w:r>
      <w:r w:rsidRPr="00E9131E">
        <w:rPr>
          <w:rFonts w:ascii="Times New Roman" w:hAnsi="Times New Roman" w:cs="Times New Roman"/>
          <w:sz w:val="24"/>
          <w:szCs w:val="24"/>
        </w:rPr>
        <w:t xml:space="preserve"> </w:t>
      </w:r>
      <w:r w:rsidRPr="00E9131E">
        <w:rPr>
          <w:rFonts w:ascii="Times New Roman" w:hAnsi="Times New Roman" w:cs="Times New Roman"/>
          <w:sz w:val="24"/>
          <w:szCs w:val="24"/>
        </w:rPr>
        <w:lastRenderedPageBreak/>
        <w:t xml:space="preserve">dcérskymi spoločnosťami zahraničných spoločností) a stálymi prevádzkarňami zahraničných daňovníkov. </w:t>
      </w:r>
    </w:p>
    <w:p w14:paraId="4CB58CE3" w14:textId="77777777" w:rsidR="0050727D" w:rsidRPr="00CE6B04" w:rsidRDefault="0050727D" w:rsidP="0050727D">
      <w:pPr>
        <w:spacing w:after="0" w:line="240" w:lineRule="auto"/>
        <w:jc w:val="both"/>
        <w:rPr>
          <w:rFonts w:ascii="Times New Roman" w:hAnsi="Times New Roman"/>
          <w:sz w:val="24"/>
          <w:szCs w:val="24"/>
        </w:rPr>
      </w:pPr>
      <w:r w:rsidRPr="00CE6B04">
        <w:rPr>
          <w:rFonts w:ascii="Times New Roman" w:hAnsi="Times New Roman"/>
          <w:sz w:val="24"/>
          <w:szCs w:val="24"/>
        </w:rPr>
        <w:t>Pri zisťovaní základu dane u daňovníka s obmedzenou daňovou povinnosťou, ktorý nemá povinnosť viesť účtovníctvo podľa osobitného predpisu sa má postupovať podľa zahraničnej evidencie daňovníka. Vo väčšine prípadov sa predpokladá akruálny princíp, t. j. rozdiel medzi výnosmi a nákladmi. Na hotovostnom princípe budú základ dane vykazovať fyzické osoby a právnické osoby, ktoré nevedú účtovníctvo na akruálnom princípe.</w:t>
      </w:r>
    </w:p>
    <w:p w14:paraId="4E482A48" w14:textId="77777777" w:rsidR="00013E6A" w:rsidRPr="00F97E9B" w:rsidRDefault="00013E6A" w:rsidP="00013E6A">
      <w:pPr>
        <w:spacing w:after="0" w:line="240" w:lineRule="auto"/>
        <w:jc w:val="both"/>
        <w:rPr>
          <w:rFonts w:ascii="Times New Roman" w:hAnsi="Times New Roman" w:cs="Times New Roman"/>
          <w:sz w:val="24"/>
          <w:szCs w:val="24"/>
        </w:rPr>
      </w:pPr>
    </w:p>
    <w:p w14:paraId="418AF249" w14:textId="50A8F2D3" w:rsidR="00013E6A" w:rsidRPr="00F97E9B" w:rsidRDefault="00ED6F7A" w:rsidP="00013E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6</w:t>
      </w:r>
      <w:r w:rsidR="00013E6A">
        <w:rPr>
          <w:rFonts w:ascii="Times New Roman" w:hAnsi="Times New Roman" w:cs="Times New Roman"/>
          <w:b/>
          <w:sz w:val="24"/>
          <w:szCs w:val="24"/>
        </w:rPr>
        <w:t xml:space="preserve"> - § 17 ods. 5</w:t>
      </w:r>
    </w:p>
    <w:p w14:paraId="207F319E" w14:textId="77777777" w:rsidR="0050727D" w:rsidRDefault="0050727D" w:rsidP="00507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Uvedenou úpravou </w:t>
      </w:r>
      <w:r w:rsidRPr="00561F5B">
        <w:rPr>
          <w:rFonts w:ascii="Times New Roman" w:hAnsi="Times New Roman" w:cs="Times New Roman"/>
          <w:sz w:val="24"/>
          <w:szCs w:val="24"/>
        </w:rPr>
        <w:t>§ 17 ods. 5</w:t>
      </w:r>
      <w:r>
        <w:rPr>
          <w:rFonts w:ascii="Times New Roman" w:hAnsi="Times New Roman" w:cs="Times New Roman"/>
          <w:sz w:val="24"/>
          <w:szCs w:val="24"/>
        </w:rPr>
        <w:t xml:space="preserve"> sa spresňujú pravidlá pri úprave </w:t>
      </w:r>
      <w:r w:rsidRPr="00F97E9B">
        <w:rPr>
          <w:rFonts w:ascii="Times New Roman" w:hAnsi="Times New Roman" w:cs="Times New Roman"/>
          <w:sz w:val="24"/>
          <w:szCs w:val="24"/>
        </w:rPr>
        <w:t>základu dane v prípade nedodržania princípu nezávislého vzťahu</w:t>
      </w:r>
      <w:r>
        <w:rPr>
          <w:rFonts w:ascii="Times New Roman" w:hAnsi="Times New Roman" w:cs="Times New Roman"/>
          <w:sz w:val="24"/>
          <w:szCs w:val="24"/>
        </w:rPr>
        <w:t xml:space="preserve"> a pravidlá pri úprave zahrnovania</w:t>
      </w:r>
      <w:r w:rsidRPr="00F97E9B">
        <w:rPr>
          <w:rFonts w:ascii="Times New Roman" w:hAnsi="Times New Roman" w:cs="Times New Roman"/>
          <w:sz w:val="24"/>
          <w:szCs w:val="24"/>
        </w:rPr>
        <w:t xml:space="preserve"> nákladov vynaložených inou závislou osobou do základu dane daňovníka.</w:t>
      </w:r>
      <w:r>
        <w:rPr>
          <w:rFonts w:ascii="Times New Roman" w:hAnsi="Times New Roman" w:cs="Times New Roman"/>
          <w:sz w:val="24"/>
          <w:szCs w:val="24"/>
        </w:rPr>
        <w:t xml:space="preserve"> Rozdelením ustanovenia do dvoch samostatných bodov sa odstránia problémy pri </w:t>
      </w:r>
      <w:r w:rsidRPr="00F97E9B">
        <w:rPr>
          <w:rFonts w:ascii="Times New Roman" w:hAnsi="Times New Roman" w:cs="Times New Roman"/>
          <w:sz w:val="24"/>
          <w:szCs w:val="24"/>
        </w:rPr>
        <w:t>daňových kontrolách, napr</w:t>
      </w:r>
      <w:r>
        <w:rPr>
          <w:rFonts w:ascii="Times New Roman" w:hAnsi="Times New Roman" w:cs="Times New Roman"/>
          <w:sz w:val="24"/>
          <w:szCs w:val="24"/>
        </w:rPr>
        <w:t>íklad</w:t>
      </w:r>
      <w:r w:rsidRPr="00F97E9B">
        <w:rPr>
          <w:rFonts w:ascii="Times New Roman" w:hAnsi="Times New Roman" w:cs="Times New Roman"/>
          <w:sz w:val="24"/>
          <w:szCs w:val="24"/>
        </w:rPr>
        <w:t xml:space="preserve"> zámena významu týchto dvoch pravidiel, nejednoznačné označenie titulu dorubenia dodatočnej dane pri službách prijatých od závislých osôb a pod.</w:t>
      </w:r>
      <w:r>
        <w:rPr>
          <w:rFonts w:ascii="Times New Roman" w:hAnsi="Times New Roman" w:cs="Times New Roman"/>
          <w:sz w:val="24"/>
          <w:szCs w:val="24"/>
        </w:rPr>
        <w:t xml:space="preserve"> </w:t>
      </w:r>
    </w:p>
    <w:p w14:paraId="4A9F49E6" w14:textId="77777777" w:rsidR="0050727D" w:rsidRPr="00CE6B04" w:rsidRDefault="0050727D" w:rsidP="0050727D">
      <w:pPr>
        <w:spacing w:after="0" w:line="240" w:lineRule="auto"/>
        <w:jc w:val="both"/>
        <w:rPr>
          <w:rFonts w:ascii="Times New Roman" w:hAnsi="Times New Roman" w:cs="Times New Roman"/>
          <w:sz w:val="24"/>
          <w:szCs w:val="24"/>
        </w:rPr>
      </w:pPr>
      <w:r w:rsidRPr="00CE6B04">
        <w:rPr>
          <w:rFonts w:ascii="Times New Roman" w:hAnsi="Times New Roman" w:cs="Times New Roman"/>
          <w:sz w:val="24"/>
          <w:szCs w:val="24"/>
        </w:rPr>
        <w:t>Uvedenou úpravou § 17 ods. 5 sa ďalej dopĺňa definícia významnej kontrolovanej transakcie (alebo skupiny kontrolovaných transakcií), za ktorú sa nepovažuje právny vzťah alebo iný obdobný vzťah, na základe ktorého ani jedna závislá osoba nedosiahne zdaniteľný príjem (výnos), ani daňový výdavok v príslušnom zdaňovacom období v hodnote prevyšujúcej 10 000 eur (</w:t>
      </w:r>
      <w:r w:rsidRPr="00CE6B04">
        <w:rPr>
          <w:rFonts w:ascii="Times New Roman" w:hAnsi="Times New Roman"/>
          <w:sz w:val="24"/>
          <w:szCs w:val="24"/>
        </w:rPr>
        <w:t>to neplatí, ak ide o úver alebo pôžičku s istinou nad 50 000 eur).</w:t>
      </w:r>
      <w:r w:rsidRPr="00CE6B04">
        <w:rPr>
          <w:rFonts w:ascii="Times New Roman" w:hAnsi="Times New Roman" w:cs="Times New Roman"/>
          <w:sz w:val="24"/>
          <w:szCs w:val="24"/>
        </w:rPr>
        <w:t xml:space="preserve"> Pod skupinou  kontrolovaných transakcií sa rozumie viacero kontrolovaných transakcií, ktoré sú rovnakého druhu a sú uzatvorené za porovnateľných podmienok, sú vzájomne úzko prepojené a vzájomne podmienené, alebo porovnateľné z hľadiska využívaného majetku, funkcií a rizík. </w:t>
      </w:r>
    </w:p>
    <w:p w14:paraId="5BE2CBAD" w14:textId="77777777" w:rsidR="0050727D" w:rsidRPr="00AB3F4F" w:rsidRDefault="0050727D" w:rsidP="0050727D">
      <w:pPr>
        <w:spacing w:after="0" w:line="240" w:lineRule="auto"/>
        <w:jc w:val="both"/>
        <w:rPr>
          <w:rFonts w:ascii="Times New Roman" w:hAnsi="Times New Roman" w:cs="Times New Roman"/>
          <w:sz w:val="24"/>
          <w:szCs w:val="24"/>
        </w:rPr>
      </w:pPr>
      <w:r w:rsidRPr="00CE6B04">
        <w:rPr>
          <w:rFonts w:ascii="Times New Roman" w:hAnsi="Times New Roman" w:cs="Times New Roman"/>
          <w:sz w:val="24"/>
          <w:szCs w:val="24"/>
        </w:rPr>
        <w:t xml:space="preserve">Účelom tejto úpravy je zníženie administratívnej záťaže malých podnikateľov pri transakciách </w:t>
      </w:r>
      <w:r w:rsidRPr="00ED6F7A">
        <w:rPr>
          <w:rFonts w:ascii="Times New Roman" w:hAnsi="Times New Roman" w:cs="Times New Roman"/>
          <w:sz w:val="24"/>
          <w:szCs w:val="24"/>
        </w:rPr>
        <w:t>s nízkou hodnotou.</w:t>
      </w:r>
      <w:r>
        <w:rPr>
          <w:rFonts w:ascii="Times New Roman" w:hAnsi="Times New Roman" w:cs="Times New Roman"/>
          <w:sz w:val="24"/>
          <w:szCs w:val="24"/>
        </w:rPr>
        <w:t xml:space="preserve"> </w:t>
      </w:r>
    </w:p>
    <w:p w14:paraId="26ACA4DC" w14:textId="77777777" w:rsidR="0050727D" w:rsidRDefault="0050727D" w:rsidP="00507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prípadoch </w:t>
      </w:r>
      <w:r w:rsidRPr="00F97E9B">
        <w:rPr>
          <w:rFonts w:ascii="Times New Roman" w:hAnsi="Times New Roman" w:cs="Times New Roman"/>
          <w:sz w:val="24"/>
          <w:szCs w:val="24"/>
        </w:rPr>
        <w:t>zahrnovania nákladov vynaložených inou osobou v pro</w:t>
      </w:r>
      <w:r>
        <w:rPr>
          <w:rFonts w:ascii="Times New Roman" w:hAnsi="Times New Roman" w:cs="Times New Roman"/>
          <w:sz w:val="24"/>
          <w:szCs w:val="24"/>
        </w:rPr>
        <w:t xml:space="preserve">spech daňovníka do základu dane je potrebné znenie ustanovenia zosúladiť s </w:t>
      </w:r>
      <w:r w:rsidRPr="00F97E9B">
        <w:rPr>
          <w:rFonts w:ascii="Times New Roman" w:hAnsi="Times New Roman" w:cs="Times New Roman"/>
          <w:sz w:val="24"/>
          <w:szCs w:val="24"/>
        </w:rPr>
        <w:t>metodikou uvedenou v kapitole VII Smernice OECD o transferovom oceňovaní pre nadnárodné spoločnosti a správu daní (ďalej len „Smernica OECD“), ktorá bola aktualizovaná v roku 2017.</w:t>
      </w:r>
    </w:p>
    <w:p w14:paraId="483D4CCF" w14:textId="77777777" w:rsidR="0050727D" w:rsidRDefault="0050727D" w:rsidP="0050727D">
      <w:pPr>
        <w:spacing w:after="0" w:line="240" w:lineRule="auto"/>
        <w:jc w:val="both"/>
        <w:rPr>
          <w:rFonts w:ascii="Times New Roman" w:hAnsi="Times New Roman" w:cs="Times New Roman"/>
          <w:sz w:val="24"/>
          <w:szCs w:val="24"/>
        </w:rPr>
      </w:pPr>
    </w:p>
    <w:p w14:paraId="736B440D" w14:textId="77777777" w:rsidR="0092503C" w:rsidRPr="0092503C" w:rsidRDefault="0092503C" w:rsidP="0092503C">
      <w:pPr>
        <w:spacing w:after="0" w:line="240" w:lineRule="auto"/>
        <w:jc w:val="both"/>
        <w:rPr>
          <w:rFonts w:ascii="Times New Roman" w:hAnsi="Times New Roman" w:cs="Times New Roman"/>
          <w:sz w:val="24"/>
          <w:szCs w:val="24"/>
        </w:rPr>
      </w:pPr>
      <w:r w:rsidRPr="0092503C">
        <w:rPr>
          <w:rFonts w:ascii="Times New Roman" w:hAnsi="Times New Roman" w:cs="Times New Roman"/>
          <w:sz w:val="24"/>
          <w:szCs w:val="24"/>
        </w:rPr>
        <w:t>Pre lepšie objasnenie uvedeného ustanovenia uvádzame nasledovné príklady:</w:t>
      </w:r>
    </w:p>
    <w:p w14:paraId="751E9564" w14:textId="77777777" w:rsidR="0092503C" w:rsidRPr="0092503C" w:rsidRDefault="0092503C" w:rsidP="0092503C">
      <w:pPr>
        <w:spacing w:after="0" w:line="240" w:lineRule="auto"/>
        <w:jc w:val="both"/>
        <w:rPr>
          <w:rFonts w:ascii="Times New Roman" w:hAnsi="Times New Roman" w:cs="Times New Roman"/>
          <w:i/>
          <w:sz w:val="24"/>
          <w:szCs w:val="24"/>
        </w:rPr>
      </w:pPr>
      <w:r w:rsidRPr="0092503C">
        <w:rPr>
          <w:rFonts w:ascii="Times New Roman" w:hAnsi="Times New Roman" w:cs="Times New Roman"/>
          <w:i/>
          <w:sz w:val="24"/>
          <w:szCs w:val="24"/>
        </w:rPr>
        <w:t>Príklad 1:</w:t>
      </w:r>
    </w:p>
    <w:p w14:paraId="3156021C" w14:textId="77777777" w:rsidR="0092503C" w:rsidRPr="0092503C" w:rsidRDefault="0092503C" w:rsidP="0092503C">
      <w:pPr>
        <w:spacing w:after="0" w:line="240" w:lineRule="auto"/>
        <w:jc w:val="both"/>
        <w:rPr>
          <w:rFonts w:ascii="Times New Roman" w:hAnsi="Times New Roman" w:cs="Times New Roman"/>
          <w:sz w:val="24"/>
          <w:szCs w:val="24"/>
        </w:rPr>
      </w:pPr>
      <w:r w:rsidRPr="0092503C">
        <w:rPr>
          <w:rFonts w:ascii="Times New Roman" w:hAnsi="Times New Roman" w:cs="Times New Roman"/>
          <w:sz w:val="24"/>
          <w:szCs w:val="24"/>
        </w:rPr>
        <w:t>Daňovník  má so závislou osobou uzatvorenú dohodu o poskytnutí poradenských služieb, v rámci ktorej mu závislá osoba poskytuje poradenské služby. V príslušnom zdaňovacom období daňovník zaúčtoval v nákladoch sumu 20 000 eur, avšak reálne uhradil len 5 000 eur. V zmysle § 19 ods. 19 zákona výdavky na poradenské služby sú súčasťou základu dane až po zaplatení.</w:t>
      </w:r>
    </w:p>
    <w:p w14:paraId="4B9BAB7C" w14:textId="77777777" w:rsidR="0092503C" w:rsidRPr="0092503C" w:rsidRDefault="0092503C" w:rsidP="0092503C">
      <w:pPr>
        <w:spacing w:after="120" w:line="240" w:lineRule="auto"/>
        <w:jc w:val="both"/>
        <w:rPr>
          <w:rFonts w:ascii="Times New Roman" w:hAnsi="Times New Roman" w:cs="Times New Roman"/>
          <w:sz w:val="24"/>
          <w:szCs w:val="24"/>
        </w:rPr>
      </w:pPr>
      <w:r w:rsidRPr="0092503C">
        <w:rPr>
          <w:rFonts w:ascii="Times New Roman" w:hAnsi="Times New Roman" w:cs="Times New Roman"/>
          <w:sz w:val="24"/>
          <w:szCs w:val="24"/>
        </w:rPr>
        <w:t>Za významnú kontrolovanú transakciu sa nepovažuje právny vzťah alebo iný obdobný vzťah, na základe ktorého v príslušnom zdaňovacom období ani jedna zo závislých osôb nedosiahne zdaniteľný príjem (výnos), alebo daňový výdavok (náklad) v hodnote prevyšujúcej 10 000 eur.  Táto dohoda o poskytnutí poradenských služieb bude významnou kontrolovanou transakciou, pretože poskytovateľ poradenských služieb dosiahne v zdaňovacom období zdaniteľný výnos v hodnote 20 000 eur.</w:t>
      </w:r>
    </w:p>
    <w:p w14:paraId="2E0EA08B" w14:textId="77777777" w:rsidR="0092503C" w:rsidRPr="0092503C" w:rsidRDefault="0092503C" w:rsidP="0092503C">
      <w:pPr>
        <w:spacing w:after="0" w:line="240" w:lineRule="auto"/>
        <w:jc w:val="both"/>
        <w:rPr>
          <w:rFonts w:ascii="Times New Roman" w:hAnsi="Times New Roman" w:cs="Times New Roman"/>
          <w:sz w:val="24"/>
          <w:szCs w:val="24"/>
        </w:rPr>
      </w:pPr>
    </w:p>
    <w:p w14:paraId="0231CEF0" w14:textId="77777777" w:rsidR="0092503C" w:rsidRPr="0092503C" w:rsidRDefault="0092503C" w:rsidP="0092503C">
      <w:pPr>
        <w:spacing w:after="0" w:line="240" w:lineRule="auto"/>
        <w:jc w:val="both"/>
        <w:rPr>
          <w:rFonts w:ascii="Times New Roman" w:hAnsi="Times New Roman" w:cs="Times New Roman"/>
          <w:i/>
          <w:sz w:val="24"/>
          <w:szCs w:val="24"/>
        </w:rPr>
      </w:pPr>
      <w:r w:rsidRPr="0092503C">
        <w:rPr>
          <w:rFonts w:ascii="Times New Roman" w:hAnsi="Times New Roman" w:cs="Times New Roman"/>
          <w:i/>
          <w:sz w:val="24"/>
          <w:szCs w:val="24"/>
        </w:rPr>
        <w:t>Príklad 2:</w:t>
      </w:r>
    </w:p>
    <w:p w14:paraId="4BDC89E1" w14:textId="77777777" w:rsidR="0092503C" w:rsidRPr="0092503C" w:rsidRDefault="0092503C" w:rsidP="0092503C">
      <w:pPr>
        <w:spacing w:after="0" w:line="240" w:lineRule="auto"/>
        <w:jc w:val="both"/>
        <w:rPr>
          <w:rFonts w:ascii="Times New Roman" w:hAnsi="Times New Roman" w:cs="Times New Roman"/>
          <w:sz w:val="24"/>
          <w:szCs w:val="24"/>
        </w:rPr>
      </w:pPr>
      <w:r w:rsidRPr="0092503C">
        <w:rPr>
          <w:rFonts w:ascii="Times New Roman" w:hAnsi="Times New Roman" w:cs="Times New Roman"/>
          <w:sz w:val="24"/>
          <w:szCs w:val="24"/>
        </w:rPr>
        <w:t xml:space="preserve">Daňovník od závislej osoby kúpi montovanú budovu za 108 000 eur. Táto budova sa daňovo odpisuje v 4. odpisovej skupine počas 12 rokov. Ročný daňový odpis na strane daňovníka je 9 000 eur. Táto transakcia bude významnou kontrolovanou transakciou v roku nákupu/predaja budovy, pretože predávajúci dosiahne v zdaňovacom období zdaniteľný výnos z tejto transakcie v hodnote 108 000 eur. V nasledujúcich zdaňovacích obdobiach, keď daňovník uplatní ročný </w:t>
      </w:r>
      <w:r w:rsidRPr="0092503C">
        <w:rPr>
          <w:rFonts w:ascii="Times New Roman" w:hAnsi="Times New Roman" w:cs="Times New Roman"/>
          <w:sz w:val="24"/>
          <w:szCs w:val="24"/>
        </w:rPr>
        <w:lastRenderedPageBreak/>
        <w:t>daňový odpis v hodnote 9 000 eur, sa táto transakcia nebude považovať za významnú kontrolovanú transakciu.</w:t>
      </w:r>
    </w:p>
    <w:p w14:paraId="7D8EB730" w14:textId="77777777" w:rsidR="0092503C" w:rsidRPr="0092503C" w:rsidRDefault="0092503C" w:rsidP="00013E6A">
      <w:pPr>
        <w:spacing w:after="0" w:line="240" w:lineRule="auto"/>
        <w:jc w:val="both"/>
        <w:rPr>
          <w:rFonts w:ascii="Times New Roman" w:hAnsi="Times New Roman" w:cs="Times New Roman"/>
          <w:sz w:val="24"/>
          <w:szCs w:val="24"/>
        </w:rPr>
      </w:pPr>
    </w:p>
    <w:p w14:paraId="7FAF02BB" w14:textId="75E64C07" w:rsidR="00013E6A" w:rsidRPr="00F97E9B" w:rsidRDefault="00B4239E" w:rsidP="00013E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7</w:t>
      </w:r>
      <w:r w:rsidR="00013E6A">
        <w:rPr>
          <w:rFonts w:ascii="Times New Roman" w:hAnsi="Times New Roman" w:cs="Times New Roman"/>
          <w:b/>
          <w:sz w:val="24"/>
          <w:szCs w:val="24"/>
        </w:rPr>
        <w:t xml:space="preserve"> - § 17 ods. 6</w:t>
      </w:r>
    </w:p>
    <w:p w14:paraId="7808C7A0" w14:textId="77777777" w:rsidR="00013E6A" w:rsidRDefault="00013E6A" w:rsidP="00013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odseku 6 sa dopĺňa nárok na korešpondujúcu úpravu základu dane v prípadoch, keď </w:t>
      </w:r>
      <w:r w:rsidRPr="00F97E9B">
        <w:rPr>
          <w:rFonts w:ascii="Times New Roman" w:hAnsi="Times New Roman" w:cs="Times New Roman"/>
          <w:sz w:val="24"/>
          <w:szCs w:val="24"/>
        </w:rPr>
        <w:t xml:space="preserve">primárna úprava je </w:t>
      </w:r>
      <w:r>
        <w:rPr>
          <w:rFonts w:ascii="Times New Roman" w:hAnsi="Times New Roman" w:cs="Times New Roman"/>
          <w:sz w:val="24"/>
          <w:szCs w:val="24"/>
        </w:rPr>
        <w:t xml:space="preserve">vykonaná </w:t>
      </w:r>
      <w:r w:rsidRPr="00F97E9B">
        <w:rPr>
          <w:rFonts w:ascii="Times New Roman" w:hAnsi="Times New Roman" w:cs="Times New Roman"/>
          <w:sz w:val="24"/>
          <w:szCs w:val="24"/>
        </w:rPr>
        <w:t>v slovenskej právnickej osobe a protistranou transakcie je slovenská stála prevádzkareň nerezidenta.</w:t>
      </w:r>
      <w:r>
        <w:rPr>
          <w:rFonts w:ascii="Times New Roman" w:hAnsi="Times New Roman" w:cs="Times New Roman"/>
          <w:sz w:val="24"/>
          <w:szCs w:val="24"/>
        </w:rPr>
        <w:t xml:space="preserve"> </w:t>
      </w:r>
    </w:p>
    <w:p w14:paraId="03DF4388" w14:textId="77777777" w:rsidR="00013E6A" w:rsidRPr="00F97E9B" w:rsidRDefault="00013E6A" w:rsidP="00013E6A">
      <w:pPr>
        <w:spacing w:after="0" w:line="240" w:lineRule="auto"/>
        <w:jc w:val="both"/>
        <w:rPr>
          <w:rFonts w:ascii="Times New Roman" w:hAnsi="Times New Roman" w:cs="Times New Roman"/>
          <w:sz w:val="24"/>
          <w:szCs w:val="24"/>
        </w:rPr>
      </w:pPr>
    </w:p>
    <w:p w14:paraId="272E7C5E" w14:textId="4D112623" w:rsidR="00013E6A" w:rsidRPr="00705F09" w:rsidRDefault="00013E6A" w:rsidP="00013E6A">
      <w:pPr>
        <w:spacing w:after="0" w:line="240" w:lineRule="auto"/>
        <w:jc w:val="both"/>
        <w:rPr>
          <w:rFonts w:ascii="Times New Roman" w:hAnsi="Times New Roman" w:cs="Times New Roman"/>
          <w:b/>
          <w:sz w:val="24"/>
          <w:szCs w:val="24"/>
        </w:rPr>
      </w:pPr>
      <w:r w:rsidRPr="00705F09">
        <w:rPr>
          <w:rFonts w:ascii="Times New Roman" w:hAnsi="Times New Roman" w:cs="Times New Roman"/>
          <w:b/>
          <w:sz w:val="24"/>
          <w:szCs w:val="24"/>
        </w:rPr>
        <w:t xml:space="preserve">K bodu </w:t>
      </w:r>
      <w:r w:rsidR="00B4239E" w:rsidRPr="00705F09">
        <w:rPr>
          <w:rFonts w:ascii="Times New Roman" w:hAnsi="Times New Roman" w:cs="Times New Roman"/>
          <w:b/>
          <w:sz w:val="24"/>
          <w:szCs w:val="24"/>
        </w:rPr>
        <w:t>8</w:t>
      </w:r>
      <w:r w:rsidRPr="00705F09">
        <w:rPr>
          <w:rFonts w:ascii="Times New Roman" w:hAnsi="Times New Roman" w:cs="Times New Roman"/>
          <w:b/>
          <w:sz w:val="24"/>
          <w:szCs w:val="24"/>
        </w:rPr>
        <w:t xml:space="preserve"> - § 17 ods. 7</w:t>
      </w:r>
    </w:p>
    <w:p w14:paraId="0D70E6DB" w14:textId="188E6812" w:rsidR="0050727D" w:rsidRPr="00CE6B04" w:rsidRDefault="0050727D" w:rsidP="0050727D">
      <w:pPr>
        <w:keepNext/>
        <w:spacing w:after="0" w:line="240" w:lineRule="auto"/>
        <w:jc w:val="both"/>
        <w:rPr>
          <w:rFonts w:ascii="Times New Roman" w:hAnsi="Times New Roman" w:cs="Times New Roman"/>
          <w:sz w:val="24"/>
          <w:szCs w:val="24"/>
        </w:rPr>
      </w:pPr>
      <w:r w:rsidRPr="00705F09">
        <w:rPr>
          <w:rFonts w:ascii="Times New Roman" w:hAnsi="Times New Roman" w:cs="Times New Roman"/>
          <w:sz w:val="24"/>
          <w:szCs w:val="24"/>
        </w:rPr>
        <w:t>Ustanovenie § 17 ods. 7 ZDP sa upravuje vzhľadom na potrebu zosúladenia znenia s aktuálnou</w:t>
      </w:r>
      <w:r>
        <w:rPr>
          <w:rFonts w:ascii="Times New Roman" w:hAnsi="Times New Roman" w:cs="Times New Roman"/>
          <w:sz w:val="24"/>
          <w:szCs w:val="24"/>
        </w:rPr>
        <w:t xml:space="preserve"> metodikou Smernice OECD pri stanovení základu dane stálej prevádzkarne. Doterajšie znenie </w:t>
      </w:r>
      <w:r w:rsidRPr="00BF6663">
        <w:rPr>
          <w:rFonts w:ascii="Times New Roman" w:hAnsi="Times New Roman" w:cs="Times New Roman"/>
          <w:sz w:val="24"/>
          <w:szCs w:val="24"/>
        </w:rPr>
        <w:t>neprešlo zásadnými zmenami</w:t>
      </w:r>
      <w:r>
        <w:rPr>
          <w:rFonts w:ascii="Times New Roman" w:hAnsi="Times New Roman" w:cs="Times New Roman"/>
          <w:sz w:val="24"/>
          <w:szCs w:val="24"/>
        </w:rPr>
        <w:t xml:space="preserve"> od </w:t>
      </w:r>
      <w:r w:rsidRPr="00BF6663">
        <w:rPr>
          <w:rFonts w:ascii="Times New Roman" w:hAnsi="Times New Roman" w:cs="Times New Roman"/>
          <w:sz w:val="24"/>
          <w:szCs w:val="24"/>
        </w:rPr>
        <w:t>pôvodnej verzi</w:t>
      </w:r>
      <w:r>
        <w:rPr>
          <w:rFonts w:ascii="Times New Roman" w:hAnsi="Times New Roman" w:cs="Times New Roman"/>
          <w:sz w:val="24"/>
          <w:szCs w:val="24"/>
        </w:rPr>
        <w:t>e</w:t>
      </w:r>
      <w:r w:rsidRPr="00BF6663">
        <w:rPr>
          <w:rFonts w:ascii="Times New Roman" w:hAnsi="Times New Roman" w:cs="Times New Roman"/>
          <w:sz w:val="24"/>
          <w:szCs w:val="24"/>
        </w:rPr>
        <w:t xml:space="preserve"> ZDP </w:t>
      </w:r>
      <w:r>
        <w:rPr>
          <w:rFonts w:ascii="Times New Roman" w:hAnsi="Times New Roman" w:cs="Times New Roman"/>
          <w:sz w:val="24"/>
          <w:szCs w:val="24"/>
        </w:rPr>
        <w:t xml:space="preserve">z roku </w:t>
      </w:r>
      <w:r w:rsidRPr="00BF6663">
        <w:rPr>
          <w:rFonts w:ascii="Times New Roman" w:hAnsi="Times New Roman" w:cs="Times New Roman"/>
          <w:sz w:val="24"/>
          <w:szCs w:val="24"/>
        </w:rPr>
        <w:t>2004</w:t>
      </w:r>
      <w:r>
        <w:rPr>
          <w:rFonts w:ascii="Times New Roman" w:hAnsi="Times New Roman" w:cs="Times New Roman"/>
          <w:sz w:val="24"/>
          <w:szCs w:val="24"/>
        </w:rPr>
        <w:t xml:space="preserve">. </w:t>
      </w:r>
      <w:r w:rsidRPr="00BF6663">
        <w:rPr>
          <w:rFonts w:ascii="Times New Roman" w:hAnsi="Times New Roman" w:cs="Times New Roman"/>
          <w:sz w:val="24"/>
          <w:szCs w:val="24"/>
        </w:rPr>
        <w:t xml:space="preserve">Naopak, v rámci OECD bola v roku 2010 vydaná správa o zdaňovaní stálych prevádzkarní. Súčasná metodika OECD je striktne založená na princípe nezávislého vzťahu. Tento princíp je síce </w:t>
      </w:r>
      <w:r w:rsidRPr="00705F09">
        <w:rPr>
          <w:rFonts w:ascii="Times New Roman" w:hAnsi="Times New Roman" w:cs="Times New Roman"/>
          <w:sz w:val="24"/>
          <w:szCs w:val="24"/>
        </w:rPr>
        <w:t xml:space="preserve">zakotvený v prvej vete § 17 ods. 7 ZDP, avšak ďalšie ustanovenia v tomto odseku uvádzajú postupnosť metód, ktoré nie sú vo všetkých prípadoch v súlade s princípom nezávislého vzťahu. Účelom navrhovaných zmien je spresnenie znenia zákona, zosúladenie zákona s metodikou OECD, a to vrátane posudzovania </w:t>
      </w:r>
      <w:r w:rsidRPr="00705F09">
        <w:rPr>
          <w:rFonts w:ascii="Times New Roman" w:hAnsi="Times New Roman"/>
          <w:sz w:val="24"/>
          <w:szCs w:val="24"/>
        </w:rPr>
        <w:t>výdavkov (nákladov) preukázateľne vynaložených zriaďovateľom stálej prevádzkarne na účely tejto stálej prevádzkarne vrátane výdavkov (nákladov) na vedenie a všeobecných správnych výdavkov (nákladov). Okrem toho</w:t>
      </w:r>
      <w:r w:rsidRPr="00705F09">
        <w:rPr>
          <w:rFonts w:ascii="Times New Roman" w:hAnsi="Times New Roman" w:cs="Times New Roman"/>
          <w:sz w:val="24"/>
          <w:szCs w:val="24"/>
        </w:rPr>
        <w:t xml:space="preserve"> návrh zabezpečuje používanie rovnakých pojmov a </w:t>
      </w:r>
      <w:r w:rsidRPr="00CE6B04">
        <w:rPr>
          <w:rFonts w:ascii="Times New Roman" w:hAnsi="Times New Roman" w:cs="Times New Roman"/>
          <w:sz w:val="24"/>
          <w:szCs w:val="24"/>
        </w:rPr>
        <w:t xml:space="preserve">spresňuje dokumentačnú povinnosť týkajúcu sa určenia základu dane stálej prevádzkarne. Návrh zákona upravuje postup zahrnutia príjmov (výnosov) a výdavkov (nákladov), ktoré sú vykázané po zániku stálej prevádzkarne, do základu dane. </w:t>
      </w:r>
    </w:p>
    <w:p w14:paraId="557EEC2D" w14:textId="77777777" w:rsidR="00705F09" w:rsidRDefault="00705F09" w:rsidP="00013E6A">
      <w:pPr>
        <w:spacing w:after="0" w:line="240" w:lineRule="auto"/>
        <w:jc w:val="both"/>
        <w:rPr>
          <w:rFonts w:ascii="Times New Roman" w:hAnsi="Times New Roman" w:cs="Times New Roman"/>
          <w:sz w:val="24"/>
          <w:szCs w:val="24"/>
        </w:rPr>
      </w:pPr>
    </w:p>
    <w:p w14:paraId="0B0E1B45" w14:textId="11EED1F4" w:rsidR="00013E6A" w:rsidRDefault="00013E6A" w:rsidP="00013E6A">
      <w:pPr>
        <w:spacing w:after="0" w:line="240" w:lineRule="auto"/>
        <w:jc w:val="both"/>
        <w:rPr>
          <w:rFonts w:ascii="Times New Roman" w:hAnsi="Times New Roman" w:cs="Times New Roman"/>
          <w:sz w:val="24"/>
          <w:szCs w:val="24"/>
        </w:rPr>
      </w:pPr>
      <w:r w:rsidRPr="00422B88">
        <w:rPr>
          <w:rFonts w:ascii="Times New Roman" w:hAnsi="Times New Roman" w:cs="Times New Roman"/>
          <w:sz w:val="24"/>
          <w:szCs w:val="24"/>
        </w:rPr>
        <w:t xml:space="preserve">Akákoľvek odchýlka od zaužívaného spôsobu vykazovania základu dane stálej prevádzkarne v iných štátoch </w:t>
      </w:r>
      <w:r w:rsidRPr="00B4239E">
        <w:rPr>
          <w:rFonts w:ascii="Times New Roman" w:hAnsi="Times New Roman" w:cs="Times New Roman"/>
          <w:sz w:val="24"/>
          <w:szCs w:val="24"/>
        </w:rPr>
        <w:t>vytvára priestor pre dvojité zdanenie a následné daňové spory so štátmi, v ktorých sú príslušní daňovníci rezidenti. Uvedená úprava prispieva aj k zlepšeniu efektivity riešenia cezhraničných daňových sporov.</w:t>
      </w:r>
      <w:r w:rsidR="00705F09">
        <w:rPr>
          <w:rFonts w:ascii="Times New Roman" w:hAnsi="Times New Roman" w:cs="Times New Roman"/>
          <w:sz w:val="24"/>
          <w:szCs w:val="24"/>
        </w:rPr>
        <w:t xml:space="preserve"> </w:t>
      </w:r>
    </w:p>
    <w:p w14:paraId="11F938CD" w14:textId="77777777" w:rsidR="00705F09" w:rsidRPr="00B4239E" w:rsidRDefault="00705F09" w:rsidP="00705F09">
      <w:pPr>
        <w:keepNext/>
        <w:spacing w:after="0" w:line="240" w:lineRule="auto"/>
        <w:jc w:val="both"/>
        <w:rPr>
          <w:rFonts w:ascii="Times New Roman" w:hAnsi="Times New Roman" w:cs="Times New Roman"/>
          <w:sz w:val="24"/>
          <w:szCs w:val="24"/>
        </w:rPr>
      </w:pPr>
      <w:r w:rsidRPr="00B4239E">
        <w:rPr>
          <w:rFonts w:ascii="Times New Roman" w:hAnsi="Times New Roman" w:cs="Times New Roman"/>
          <w:sz w:val="24"/>
          <w:szCs w:val="24"/>
        </w:rPr>
        <w:t>Úpravy v bodoch 7 a 8 nemajú vplyv na doterajší prístup SR k článku 7 (Zisky podnikov) Modelovej zmluvy OECD a príslušnú výhradu SR.</w:t>
      </w:r>
    </w:p>
    <w:p w14:paraId="0B352C3D" w14:textId="77777777" w:rsidR="00705F09" w:rsidRDefault="00705F09" w:rsidP="00013E6A">
      <w:pPr>
        <w:spacing w:after="0" w:line="240" w:lineRule="auto"/>
        <w:jc w:val="both"/>
        <w:rPr>
          <w:rFonts w:ascii="Times New Roman" w:hAnsi="Times New Roman" w:cs="Times New Roman"/>
          <w:sz w:val="24"/>
          <w:szCs w:val="24"/>
        </w:rPr>
      </w:pPr>
    </w:p>
    <w:p w14:paraId="7102A35E" w14:textId="4E7FC860" w:rsidR="00705F09" w:rsidRDefault="00705F09" w:rsidP="00013E6A">
      <w:pPr>
        <w:spacing w:after="0" w:line="240" w:lineRule="auto"/>
        <w:jc w:val="both"/>
        <w:rPr>
          <w:rFonts w:ascii="Times New Roman" w:hAnsi="Times New Roman"/>
          <w:sz w:val="24"/>
          <w:szCs w:val="24"/>
        </w:rPr>
      </w:pPr>
      <w:r>
        <w:rPr>
          <w:rFonts w:ascii="Times New Roman" w:hAnsi="Times New Roman" w:cs="Times New Roman"/>
          <w:sz w:val="24"/>
          <w:szCs w:val="24"/>
        </w:rPr>
        <w:t xml:space="preserve">Naďalej pre účely stanovenia základu dane stálej prevádzkarne v SR nie je možné zahrnúť ziskovú prirážku k vlastným nákladom </w:t>
      </w:r>
      <w:r w:rsidRPr="00EF02AB">
        <w:rPr>
          <w:rFonts w:ascii="Times New Roman" w:hAnsi="Times New Roman"/>
          <w:sz w:val="24"/>
          <w:szCs w:val="24"/>
        </w:rPr>
        <w:t>na vedenie a všeobecný</w:t>
      </w:r>
      <w:r>
        <w:rPr>
          <w:rFonts w:ascii="Times New Roman" w:hAnsi="Times New Roman"/>
          <w:sz w:val="24"/>
          <w:szCs w:val="24"/>
        </w:rPr>
        <w:t>m</w:t>
      </w:r>
      <w:r w:rsidRPr="00EF02AB">
        <w:rPr>
          <w:rFonts w:ascii="Times New Roman" w:hAnsi="Times New Roman"/>
          <w:sz w:val="24"/>
          <w:szCs w:val="24"/>
        </w:rPr>
        <w:t xml:space="preserve"> správny</w:t>
      </w:r>
      <w:r>
        <w:rPr>
          <w:rFonts w:ascii="Times New Roman" w:hAnsi="Times New Roman"/>
          <w:sz w:val="24"/>
          <w:szCs w:val="24"/>
        </w:rPr>
        <w:t>m</w:t>
      </w:r>
      <w:r w:rsidRPr="00EF02AB">
        <w:rPr>
          <w:rFonts w:ascii="Times New Roman" w:hAnsi="Times New Roman"/>
          <w:sz w:val="24"/>
          <w:szCs w:val="24"/>
        </w:rPr>
        <w:t xml:space="preserve"> výdavko</w:t>
      </w:r>
      <w:r>
        <w:rPr>
          <w:rFonts w:ascii="Times New Roman" w:hAnsi="Times New Roman"/>
          <w:sz w:val="24"/>
          <w:szCs w:val="24"/>
        </w:rPr>
        <w:t>m</w:t>
      </w:r>
      <w:r w:rsidRPr="00EF02AB">
        <w:rPr>
          <w:rFonts w:ascii="Times New Roman" w:hAnsi="Times New Roman"/>
          <w:sz w:val="24"/>
          <w:szCs w:val="24"/>
        </w:rPr>
        <w:t xml:space="preserve"> (náklado</w:t>
      </w:r>
      <w:r>
        <w:rPr>
          <w:rFonts w:ascii="Times New Roman" w:hAnsi="Times New Roman"/>
          <w:sz w:val="24"/>
          <w:szCs w:val="24"/>
        </w:rPr>
        <w:t>m</w:t>
      </w:r>
      <w:r w:rsidRPr="00EF02AB">
        <w:rPr>
          <w:rFonts w:ascii="Times New Roman" w:hAnsi="Times New Roman"/>
          <w:sz w:val="24"/>
          <w:szCs w:val="24"/>
        </w:rPr>
        <w:t>)</w:t>
      </w:r>
      <w:r>
        <w:rPr>
          <w:rFonts w:ascii="Times New Roman" w:hAnsi="Times New Roman"/>
          <w:sz w:val="24"/>
          <w:szCs w:val="24"/>
        </w:rPr>
        <w:t>, ani úroky alebo licenčné poplatky účtované zriaďovateľom voči stálej prevádzkarni s výnimkou priradenia príslušnej časti úrokov alebo licenčných poplatkov, ktoré zriaďovateľ uhrádza inej osobe.</w:t>
      </w:r>
    </w:p>
    <w:p w14:paraId="1736ED1C" w14:textId="1AE42BEE" w:rsidR="0092503C" w:rsidRDefault="0092503C" w:rsidP="00013E6A">
      <w:pPr>
        <w:spacing w:after="0" w:line="240" w:lineRule="auto"/>
        <w:jc w:val="both"/>
        <w:rPr>
          <w:rFonts w:ascii="Times New Roman" w:hAnsi="Times New Roman"/>
          <w:sz w:val="24"/>
          <w:szCs w:val="24"/>
        </w:rPr>
      </w:pPr>
    </w:p>
    <w:p w14:paraId="2722A739" w14:textId="77777777" w:rsidR="0092503C" w:rsidRPr="0092503C" w:rsidRDefault="0092503C" w:rsidP="0092503C">
      <w:pPr>
        <w:spacing w:after="0" w:line="240" w:lineRule="auto"/>
        <w:jc w:val="both"/>
        <w:rPr>
          <w:rFonts w:ascii="Times New Roman" w:hAnsi="Times New Roman" w:cs="Times New Roman"/>
          <w:sz w:val="24"/>
          <w:szCs w:val="24"/>
        </w:rPr>
      </w:pPr>
      <w:r w:rsidRPr="0092503C">
        <w:rPr>
          <w:rFonts w:ascii="Times New Roman" w:hAnsi="Times New Roman"/>
          <w:sz w:val="24"/>
          <w:szCs w:val="24"/>
        </w:rPr>
        <w:t>O použitej metóde úpravy základu dane stálej prevádzkarne vo vzťahu k zriaďovateľovi a iným závislým osobám je daňovník s obmedzenou daňovou povinnosťou povinný viesť dokumentáciu. Nejde o novú dokumentačnú povinnosť, iba o špecifikáciu pre stálu prevádzkareň ako podmnožinu závislých osôb vzhľadom na osobitosti úpravy základu dane stálej prevádzkarne (napr. alokácia voľného kapitálu, vzťahy so zriaďovateľom atď.).</w:t>
      </w:r>
    </w:p>
    <w:p w14:paraId="3E75F9CA" w14:textId="77777777" w:rsidR="0092503C" w:rsidRPr="00B4239E" w:rsidRDefault="0092503C" w:rsidP="00013E6A">
      <w:pPr>
        <w:spacing w:after="0" w:line="240" w:lineRule="auto"/>
        <w:jc w:val="both"/>
        <w:rPr>
          <w:rFonts w:ascii="Times New Roman" w:hAnsi="Times New Roman" w:cs="Times New Roman"/>
          <w:sz w:val="24"/>
          <w:szCs w:val="24"/>
        </w:rPr>
      </w:pPr>
    </w:p>
    <w:p w14:paraId="5D100371" w14:textId="1A567D15" w:rsidR="00C578F1" w:rsidRDefault="00C578F1" w:rsidP="00013E6A">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 bodu 9 - § 17 ods. 8 písm. a) a § 17 ods. 12 písm. b) a c)</w:t>
      </w:r>
    </w:p>
    <w:p w14:paraId="03094A93" w14:textId="14F4F59D" w:rsidR="00C578F1" w:rsidRDefault="00C578F1" w:rsidP="00013E6A">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Ide o legislatívno-technickú úpravu v nadväznosti na zmeny vykonané v § 19 ods. 2 písm. h) zákona.</w:t>
      </w:r>
    </w:p>
    <w:p w14:paraId="147F4F12" w14:textId="77777777" w:rsidR="00C578F1" w:rsidRPr="00C578F1" w:rsidRDefault="00C578F1" w:rsidP="00013E6A">
      <w:pPr>
        <w:keepNext/>
        <w:spacing w:after="0" w:line="240" w:lineRule="auto"/>
        <w:jc w:val="both"/>
        <w:rPr>
          <w:rFonts w:ascii="Times New Roman" w:hAnsi="Times New Roman" w:cs="Times New Roman"/>
          <w:sz w:val="24"/>
          <w:szCs w:val="24"/>
        </w:rPr>
      </w:pPr>
    </w:p>
    <w:p w14:paraId="280D4CA6" w14:textId="01CA547E" w:rsidR="0085550D" w:rsidRDefault="0085550D" w:rsidP="00013E6A">
      <w:pPr>
        <w:keepNext/>
        <w:spacing w:after="0" w:line="240" w:lineRule="auto"/>
        <w:jc w:val="both"/>
        <w:rPr>
          <w:rFonts w:ascii="Times New Roman" w:hAnsi="Times New Roman" w:cs="Times New Roman"/>
          <w:b/>
          <w:sz w:val="24"/>
          <w:szCs w:val="24"/>
        </w:rPr>
      </w:pPr>
      <w:r w:rsidRPr="0085550D">
        <w:rPr>
          <w:rFonts w:ascii="Times New Roman" w:hAnsi="Times New Roman" w:cs="Times New Roman"/>
          <w:b/>
          <w:sz w:val="24"/>
          <w:szCs w:val="24"/>
        </w:rPr>
        <w:t>K </w:t>
      </w:r>
      <w:r>
        <w:rPr>
          <w:rFonts w:ascii="Times New Roman" w:hAnsi="Times New Roman" w:cs="Times New Roman"/>
          <w:b/>
          <w:sz w:val="24"/>
          <w:szCs w:val="24"/>
        </w:rPr>
        <w:t>bodu</w:t>
      </w:r>
      <w:r w:rsidR="00B4239E">
        <w:rPr>
          <w:rFonts w:ascii="Times New Roman" w:hAnsi="Times New Roman" w:cs="Times New Roman"/>
          <w:b/>
          <w:sz w:val="24"/>
          <w:szCs w:val="24"/>
        </w:rPr>
        <w:t xml:space="preserve"> </w:t>
      </w:r>
      <w:r w:rsidR="00C578F1">
        <w:rPr>
          <w:rFonts w:ascii="Times New Roman" w:hAnsi="Times New Roman" w:cs="Times New Roman"/>
          <w:b/>
          <w:sz w:val="24"/>
          <w:szCs w:val="24"/>
        </w:rPr>
        <w:t>10</w:t>
      </w:r>
      <w:r w:rsidR="00B4239E">
        <w:rPr>
          <w:rFonts w:ascii="Times New Roman" w:hAnsi="Times New Roman" w:cs="Times New Roman"/>
          <w:b/>
          <w:sz w:val="24"/>
          <w:szCs w:val="24"/>
        </w:rPr>
        <w:t xml:space="preserve"> </w:t>
      </w:r>
      <w:r w:rsidRPr="0085550D">
        <w:rPr>
          <w:rFonts w:ascii="Times New Roman" w:hAnsi="Times New Roman" w:cs="Times New Roman"/>
          <w:b/>
          <w:sz w:val="24"/>
          <w:szCs w:val="24"/>
        </w:rPr>
        <w:t>- § 17 ods. 38</w:t>
      </w:r>
    </w:p>
    <w:p w14:paraId="2142534C" w14:textId="77777777" w:rsidR="0085550D" w:rsidRDefault="0085550D" w:rsidP="00013E6A">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Ide o legislatívno-technickú úpravu, ktorá</w:t>
      </w:r>
      <w:r w:rsidRPr="0085550D">
        <w:rPr>
          <w:rFonts w:ascii="Times New Roman" w:hAnsi="Times New Roman" w:cs="Times New Roman"/>
          <w:sz w:val="24"/>
          <w:szCs w:val="24"/>
        </w:rPr>
        <w:t xml:space="preserve"> nadväzuje na </w:t>
      </w:r>
      <w:r>
        <w:rPr>
          <w:rFonts w:ascii="Times New Roman" w:hAnsi="Times New Roman" w:cs="Times New Roman"/>
          <w:sz w:val="24"/>
          <w:szCs w:val="24"/>
        </w:rPr>
        <w:t xml:space="preserve">zavedenie pravidiel obmedzenia čistých úrokových nákladov v § 17k. </w:t>
      </w:r>
    </w:p>
    <w:p w14:paraId="08826008" w14:textId="77777777" w:rsidR="0085550D" w:rsidRPr="0085550D" w:rsidRDefault="0085550D" w:rsidP="00013E6A">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1B93216" w14:textId="7219750F" w:rsidR="00B4239E" w:rsidRPr="00705F09" w:rsidRDefault="0085550D" w:rsidP="00013E6A">
      <w:pPr>
        <w:keepNext/>
        <w:spacing w:after="0" w:line="240" w:lineRule="auto"/>
        <w:jc w:val="both"/>
        <w:rPr>
          <w:rFonts w:ascii="Times New Roman" w:hAnsi="Times New Roman" w:cs="Times New Roman"/>
          <w:b/>
          <w:sz w:val="24"/>
          <w:szCs w:val="24"/>
        </w:rPr>
      </w:pPr>
      <w:r w:rsidRPr="00705F09">
        <w:rPr>
          <w:rFonts w:ascii="Times New Roman" w:hAnsi="Times New Roman" w:cs="Times New Roman"/>
          <w:b/>
          <w:sz w:val="24"/>
          <w:szCs w:val="24"/>
        </w:rPr>
        <w:t xml:space="preserve">K bodu </w:t>
      </w:r>
      <w:r w:rsidR="00B4239E" w:rsidRPr="00705F09">
        <w:rPr>
          <w:rFonts w:ascii="Times New Roman" w:hAnsi="Times New Roman" w:cs="Times New Roman"/>
          <w:b/>
          <w:sz w:val="24"/>
          <w:szCs w:val="24"/>
        </w:rPr>
        <w:t>1</w:t>
      </w:r>
      <w:r w:rsidR="00C578F1">
        <w:rPr>
          <w:rFonts w:ascii="Times New Roman" w:hAnsi="Times New Roman" w:cs="Times New Roman"/>
          <w:b/>
          <w:sz w:val="24"/>
          <w:szCs w:val="24"/>
        </w:rPr>
        <w:t>1</w:t>
      </w:r>
      <w:r w:rsidRPr="00705F09">
        <w:rPr>
          <w:rFonts w:ascii="Times New Roman" w:hAnsi="Times New Roman" w:cs="Times New Roman"/>
          <w:b/>
          <w:sz w:val="24"/>
          <w:szCs w:val="24"/>
        </w:rPr>
        <w:t xml:space="preserve"> </w:t>
      </w:r>
      <w:r w:rsidR="00B4239E" w:rsidRPr="00705F09">
        <w:rPr>
          <w:rFonts w:ascii="Times New Roman" w:hAnsi="Times New Roman" w:cs="Times New Roman"/>
          <w:b/>
          <w:sz w:val="24"/>
          <w:szCs w:val="24"/>
        </w:rPr>
        <w:t>–</w:t>
      </w:r>
      <w:r w:rsidRPr="00705F09">
        <w:rPr>
          <w:rFonts w:ascii="Times New Roman" w:hAnsi="Times New Roman" w:cs="Times New Roman"/>
          <w:b/>
          <w:sz w:val="24"/>
          <w:szCs w:val="24"/>
        </w:rPr>
        <w:t xml:space="preserve"> </w:t>
      </w:r>
      <w:r w:rsidR="00B4239E" w:rsidRPr="00705F09">
        <w:rPr>
          <w:rFonts w:ascii="Times New Roman" w:hAnsi="Times New Roman" w:cs="Times New Roman"/>
          <w:b/>
          <w:sz w:val="24"/>
          <w:szCs w:val="24"/>
        </w:rPr>
        <w:t>§ 17h ods. 4, § 18 ods. 1 a 11, § 18a ods. 1 a 3</w:t>
      </w:r>
    </w:p>
    <w:p w14:paraId="087A7C67" w14:textId="00B4D3D7" w:rsidR="00B4239E" w:rsidRDefault="00B4239E" w:rsidP="00013E6A">
      <w:pPr>
        <w:keepNext/>
        <w:spacing w:after="0" w:line="240" w:lineRule="auto"/>
        <w:jc w:val="both"/>
        <w:rPr>
          <w:rFonts w:ascii="Times New Roman" w:hAnsi="Times New Roman" w:cs="Times New Roman"/>
          <w:b/>
          <w:sz w:val="24"/>
          <w:szCs w:val="24"/>
        </w:rPr>
      </w:pPr>
      <w:r w:rsidRPr="00705F09">
        <w:rPr>
          <w:rFonts w:ascii="Times New Roman" w:hAnsi="Times New Roman" w:cs="Times New Roman"/>
          <w:sz w:val="24"/>
          <w:szCs w:val="24"/>
        </w:rPr>
        <w:t>Ide o</w:t>
      </w:r>
      <w:r w:rsidRPr="00705F09">
        <w:rPr>
          <w:rFonts w:ascii="Times New Roman" w:hAnsi="Times New Roman" w:cs="Times New Roman"/>
          <w:b/>
          <w:sz w:val="24"/>
          <w:szCs w:val="24"/>
        </w:rPr>
        <w:t xml:space="preserve"> </w:t>
      </w:r>
      <w:r w:rsidRPr="00705F09">
        <w:rPr>
          <w:rFonts w:ascii="Times New Roman" w:hAnsi="Times New Roman" w:cs="Times New Roman"/>
          <w:sz w:val="24"/>
          <w:szCs w:val="24"/>
        </w:rPr>
        <w:t>legislatívno-technickú úpravu, ktorá nadväzuje na úpravu v § 17 ods. 5.</w:t>
      </w:r>
    </w:p>
    <w:p w14:paraId="5E03418D" w14:textId="77777777" w:rsidR="00B4239E" w:rsidRDefault="00B4239E" w:rsidP="00013E6A">
      <w:pPr>
        <w:keepNext/>
        <w:spacing w:after="0" w:line="240" w:lineRule="auto"/>
        <w:jc w:val="both"/>
        <w:rPr>
          <w:rFonts w:ascii="Times New Roman" w:hAnsi="Times New Roman" w:cs="Times New Roman"/>
          <w:b/>
          <w:sz w:val="24"/>
          <w:szCs w:val="24"/>
        </w:rPr>
      </w:pPr>
    </w:p>
    <w:p w14:paraId="0CAAC915" w14:textId="6420EA25" w:rsidR="0085550D" w:rsidRDefault="00B4239E" w:rsidP="00013E6A">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w:t>
      </w:r>
      <w:r w:rsidR="00C578F1">
        <w:rPr>
          <w:rFonts w:ascii="Times New Roman" w:hAnsi="Times New Roman" w:cs="Times New Roman"/>
          <w:b/>
          <w:sz w:val="24"/>
          <w:szCs w:val="24"/>
        </w:rPr>
        <w:t>2</w:t>
      </w:r>
      <w:r>
        <w:rPr>
          <w:rFonts w:ascii="Times New Roman" w:hAnsi="Times New Roman" w:cs="Times New Roman"/>
          <w:b/>
          <w:sz w:val="24"/>
          <w:szCs w:val="24"/>
        </w:rPr>
        <w:t xml:space="preserve"> - </w:t>
      </w:r>
      <w:r w:rsidR="0085550D" w:rsidRPr="0085550D">
        <w:rPr>
          <w:rFonts w:ascii="Times New Roman" w:hAnsi="Times New Roman" w:cs="Times New Roman"/>
          <w:b/>
          <w:sz w:val="24"/>
          <w:szCs w:val="24"/>
        </w:rPr>
        <w:t>§ 17k</w:t>
      </w:r>
    </w:p>
    <w:p w14:paraId="0EF0EA9F" w14:textId="120A13D2" w:rsidR="0085550D" w:rsidRDefault="0085550D" w:rsidP="0085550D">
      <w:pPr>
        <w:spacing w:after="0" w:line="240" w:lineRule="auto"/>
        <w:jc w:val="both"/>
        <w:rPr>
          <w:rFonts w:ascii="Times New Roman" w:hAnsi="Times New Roman"/>
          <w:sz w:val="24"/>
          <w:szCs w:val="24"/>
        </w:rPr>
      </w:pPr>
      <w:r w:rsidRPr="000B6F2D">
        <w:rPr>
          <w:rFonts w:ascii="Times New Roman" w:hAnsi="Times New Roman"/>
          <w:sz w:val="24"/>
          <w:szCs w:val="24"/>
        </w:rPr>
        <w:t xml:space="preserve">V § 17k </w:t>
      </w:r>
      <w:r>
        <w:rPr>
          <w:rFonts w:ascii="Times New Roman" w:hAnsi="Times New Roman"/>
          <w:sz w:val="24"/>
          <w:szCs w:val="24"/>
        </w:rPr>
        <w:t>sa do ZDP</w:t>
      </w:r>
      <w:r w:rsidRPr="000B6F2D">
        <w:rPr>
          <w:rFonts w:ascii="Times New Roman" w:hAnsi="Times New Roman"/>
          <w:sz w:val="24"/>
          <w:szCs w:val="24"/>
        </w:rPr>
        <w:t xml:space="preserve"> transponuje článok</w:t>
      </w:r>
      <w:r>
        <w:rPr>
          <w:rFonts w:ascii="Times New Roman" w:hAnsi="Times New Roman"/>
          <w:sz w:val="24"/>
          <w:szCs w:val="24"/>
        </w:rPr>
        <w:t xml:space="preserve"> 4 </w:t>
      </w:r>
      <w:r w:rsidR="00C65C3E" w:rsidRPr="00CE6B04">
        <w:rPr>
          <w:rFonts w:ascii="Times New Roman" w:hAnsi="Times New Roman"/>
          <w:sz w:val="24"/>
          <w:szCs w:val="24"/>
        </w:rPr>
        <w:t>s</w:t>
      </w:r>
      <w:r w:rsidRPr="00CE6B04">
        <w:rPr>
          <w:rFonts w:ascii="Times New Roman" w:hAnsi="Times New Roman"/>
          <w:sz w:val="24"/>
          <w:szCs w:val="24"/>
        </w:rPr>
        <w:t>mernice</w:t>
      </w:r>
      <w:r>
        <w:rPr>
          <w:rFonts w:ascii="Times New Roman" w:hAnsi="Times New Roman"/>
          <w:sz w:val="24"/>
          <w:szCs w:val="24"/>
        </w:rPr>
        <w:t xml:space="preserve"> Rady (EÚ) 2016/1164 z 12. júla 2016, ktorou sa stanovujú pravidlá proti praktikám vyhýbania sa daňovým povinnostiam, ktoré majú priamy vplyv na fungovanie vnútorného trhu</w:t>
      </w:r>
      <w:r w:rsidRPr="000B6F2D">
        <w:rPr>
          <w:rFonts w:ascii="Times New Roman" w:hAnsi="Times New Roman"/>
          <w:sz w:val="24"/>
          <w:szCs w:val="24"/>
        </w:rPr>
        <w:t xml:space="preserve"> </w:t>
      </w:r>
      <w:r>
        <w:rPr>
          <w:rFonts w:ascii="Times New Roman" w:hAnsi="Times New Roman"/>
          <w:sz w:val="24"/>
          <w:szCs w:val="24"/>
        </w:rPr>
        <w:t>(ďalej len „smernica ATAD“) a</w:t>
      </w:r>
      <w:r w:rsidRPr="000B6F2D">
        <w:rPr>
          <w:rFonts w:ascii="Times New Roman" w:hAnsi="Times New Roman"/>
          <w:sz w:val="24"/>
          <w:szCs w:val="24"/>
        </w:rPr>
        <w:t xml:space="preserve"> ktorého účelom je  obmedzenie čistých úrokových nákladov u právnických osôb s cieľom zabrániť umelému znižovaniu základu dane z príjmov právnických osôb prostredníctvom dlhového financovania. Do konca roku 2023 </w:t>
      </w:r>
      <w:r>
        <w:rPr>
          <w:rFonts w:ascii="Times New Roman" w:hAnsi="Times New Roman"/>
          <w:sz w:val="24"/>
          <w:szCs w:val="24"/>
        </w:rPr>
        <w:t>sa v SR uplatňuje</w:t>
      </w:r>
      <w:r w:rsidRPr="000B6F2D">
        <w:rPr>
          <w:rFonts w:ascii="Times New Roman" w:hAnsi="Times New Roman"/>
          <w:sz w:val="24"/>
          <w:szCs w:val="24"/>
        </w:rPr>
        <w:t xml:space="preserve"> výnimka podľa čl. 11 ods. 6 smernice ATAD, na základe ktorej sa limitácia úrokových nákladov podľa § 21a </w:t>
      </w:r>
      <w:r>
        <w:rPr>
          <w:rFonts w:ascii="Times New Roman" w:hAnsi="Times New Roman"/>
          <w:sz w:val="24"/>
          <w:szCs w:val="24"/>
        </w:rPr>
        <w:t>týka</w:t>
      </w:r>
      <w:r w:rsidRPr="000B6F2D">
        <w:rPr>
          <w:rFonts w:ascii="Times New Roman" w:hAnsi="Times New Roman"/>
          <w:sz w:val="24"/>
          <w:szCs w:val="24"/>
        </w:rPr>
        <w:t xml:space="preserve"> výlučne závislých osôb. </w:t>
      </w:r>
      <w:r>
        <w:rPr>
          <w:rFonts w:ascii="Times New Roman" w:hAnsi="Times New Roman"/>
          <w:sz w:val="24"/>
          <w:szCs w:val="24"/>
        </w:rPr>
        <w:t xml:space="preserve">S </w:t>
      </w:r>
      <w:r w:rsidRPr="000B6F2D">
        <w:rPr>
          <w:rFonts w:ascii="Times New Roman" w:hAnsi="Times New Roman"/>
          <w:sz w:val="24"/>
          <w:szCs w:val="24"/>
        </w:rPr>
        <w:t xml:space="preserve">účinnosťou od 1.1.2024 </w:t>
      </w:r>
      <w:r>
        <w:rPr>
          <w:rFonts w:ascii="Times New Roman" w:hAnsi="Times New Roman"/>
          <w:sz w:val="24"/>
          <w:szCs w:val="24"/>
        </w:rPr>
        <w:t xml:space="preserve">sa </w:t>
      </w:r>
      <w:r w:rsidRPr="000B6F2D">
        <w:rPr>
          <w:rFonts w:ascii="Times New Roman" w:hAnsi="Times New Roman"/>
          <w:sz w:val="24"/>
          <w:szCs w:val="24"/>
        </w:rPr>
        <w:t>zavádza nové pravidlo o limitácii čistých úrokových nákladov, ktoré sa bude uplatňovať prednostne pred pravidlami podľa § 21a.</w:t>
      </w:r>
    </w:p>
    <w:p w14:paraId="4B658DE2" w14:textId="77777777" w:rsidR="0085550D" w:rsidRDefault="0085550D" w:rsidP="0085550D">
      <w:pPr>
        <w:spacing w:after="0" w:line="240" w:lineRule="auto"/>
        <w:jc w:val="both"/>
        <w:rPr>
          <w:rFonts w:ascii="Times New Roman" w:hAnsi="Times New Roman"/>
          <w:sz w:val="24"/>
          <w:szCs w:val="24"/>
        </w:rPr>
      </w:pPr>
      <w:r>
        <w:rPr>
          <w:rFonts w:ascii="Times New Roman" w:hAnsi="Times New Roman"/>
          <w:sz w:val="24"/>
          <w:szCs w:val="24"/>
        </w:rPr>
        <w:t>Podľa ods. 1 sa p</w:t>
      </w:r>
      <w:r w:rsidRPr="0056266A">
        <w:rPr>
          <w:rFonts w:ascii="Times New Roman" w:hAnsi="Times New Roman"/>
          <w:sz w:val="24"/>
          <w:szCs w:val="24"/>
        </w:rPr>
        <w:t xml:space="preserve">ravidlo o obmedzení </w:t>
      </w:r>
      <w:r>
        <w:rPr>
          <w:rFonts w:ascii="Times New Roman" w:hAnsi="Times New Roman"/>
          <w:sz w:val="24"/>
          <w:szCs w:val="24"/>
        </w:rPr>
        <w:t xml:space="preserve">zahrnovania </w:t>
      </w:r>
      <w:r w:rsidRPr="0056266A">
        <w:rPr>
          <w:rFonts w:ascii="Times New Roman" w:hAnsi="Times New Roman"/>
          <w:sz w:val="24"/>
          <w:szCs w:val="24"/>
        </w:rPr>
        <w:t xml:space="preserve">čistých úrokových nákladov do základu dane v § 17k uplatňuje u právnických osôb so sídlom alebo miestom skutočného vedenia na území SR (daňovník s neobmedzenou daňovou povinnosťou) alebo právnických osôb, ktorými sú daňovníci s obmedzenou daňovou povinnosťou, ktorí majú na území SR zriadenú stálu prevádzkareň (§ 16 ods. 2 ZDP). Daňovníci, na ktorých sa nové pravidlo nevzťahuje, sú vymedzení v odseku 8. Limitácia čistých úrokových nákladov sa neuplatní u daňovníkov, u ktorých suma čistých úrokových nákladov nepresiahne čiastku </w:t>
      </w:r>
      <w:r w:rsidR="00844E94">
        <w:rPr>
          <w:rFonts w:ascii="Times New Roman" w:hAnsi="Times New Roman"/>
          <w:sz w:val="24"/>
          <w:szCs w:val="24"/>
        </w:rPr>
        <w:t>3</w:t>
      </w:r>
      <w:r w:rsidRPr="0056266A">
        <w:rPr>
          <w:rFonts w:ascii="Times New Roman" w:hAnsi="Times New Roman"/>
          <w:sz w:val="24"/>
          <w:szCs w:val="24"/>
        </w:rPr>
        <w:t xml:space="preserve"> 000 000 eur vrátane (tzv. bezpečný prístav). Ak sú čisté úrokové náklady záporné, t. j. zdaniteľné úrokové výnosy sú vyššie ako daňovo uznateľné úrokové náklady, potom daňovník nepostupuje podľa § 17k a všetky úrokov</w:t>
      </w:r>
      <w:r>
        <w:rPr>
          <w:rFonts w:ascii="Times New Roman" w:hAnsi="Times New Roman"/>
          <w:sz w:val="24"/>
          <w:szCs w:val="24"/>
        </w:rPr>
        <w:t xml:space="preserve">é náklady sú daňovými výdavkami, ak nepríde k ich obmedzeniu podľa § 21a. </w:t>
      </w:r>
    </w:p>
    <w:p w14:paraId="1200F2D1" w14:textId="77777777" w:rsidR="0085550D" w:rsidRPr="007D63BB" w:rsidRDefault="0085550D" w:rsidP="0085550D">
      <w:pPr>
        <w:spacing w:after="0" w:line="240" w:lineRule="auto"/>
        <w:jc w:val="both"/>
        <w:rPr>
          <w:rFonts w:ascii="Times New Roman" w:hAnsi="Times New Roman"/>
          <w:sz w:val="24"/>
          <w:szCs w:val="24"/>
        </w:rPr>
      </w:pPr>
      <w:r>
        <w:rPr>
          <w:rFonts w:ascii="Times New Roman" w:hAnsi="Times New Roman"/>
          <w:sz w:val="24"/>
          <w:szCs w:val="24"/>
        </w:rPr>
        <w:t>S</w:t>
      </w:r>
      <w:r w:rsidRPr="007D63BB">
        <w:rPr>
          <w:rFonts w:ascii="Times New Roman" w:hAnsi="Times New Roman"/>
          <w:sz w:val="24"/>
          <w:szCs w:val="24"/>
        </w:rPr>
        <w:t>pôsob výpočtu sumy úrokových nákladov podliehajúcich limitácii</w:t>
      </w:r>
      <w:r>
        <w:rPr>
          <w:rFonts w:ascii="Times New Roman" w:hAnsi="Times New Roman"/>
          <w:sz w:val="24"/>
          <w:szCs w:val="24"/>
        </w:rPr>
        <w:t xml:space="preserve"> je vymedzený v ods. 2. </w:t>
      </w:r>
      <w:r w:rsidRPr="007D63BB">
        <w:rPr>
          <w:rFonts w:ascii="Times New Roman" w:hAnsi="Times New Roman"/>
          <w:sz w:val="24"/>
          <w:szCs w:val="24"/>
        </w:rPr>
        <w:t xml:space="preserve"> Daňovník, na ktorého sa nevzťahuje výnimka z dôvodu bezpečného prístavu, je povinný zvýšiť základ dane o úroky, ktoré presiahnu </w:t>
      </w:r>
      <w:r w:rsidR="00844E94">
        <w:rPr>
          <w:rFonts w:ascii="Times New Roman" w:hAnsi="Times New Roman"/>
          <w:sz w:val="24"/>
          <w:szCs w:val="24"/>
        </w:rPr>
        <w:t>30</w:t>
      </w:r>
      <w:r w:rsidR="009D0639">
        <w:rPr>
          <w:rFonts w:ascii="Times New Roman" w:hAnsi="Times New Roman"/>
          <w:sz w:val="24"/>
          <w:szCs w:val="24"/>
        </w:rPr>
        <w:t xml:space="preserve"> </w:t>
      </w:r>
      <w:r w:rsidRPr="007D63BB">
        <w:rPr>
          <w:rFonts w:ascii="Times New Roman" w:hAnsi="Times New Roman"/>
          <w:sz w:val="24"/>
          <w:szCs w:val="24"/>
        </w:rPr>
        <w:t xml:space="preserve">% hodnoty ukazovateľa </w:t>
      </w:r>
      <w:r>
        <w:rPr>
          <w:rFonts w:ascii="Times New Roman" w:hAnsi="Times New Roman"/>
          <w:sz w:val="24"/>
          <w:szCs w:val="24"/>
        </w:rPr>
        <w:t xml:space="preserve">tzv. daňová </w:t>
      </w:r>
      <w:r w:rsidRPr="007D63BB">
        <w:rPr>
          <w:rFonts w:ascii="Times New Roman" w:hAnsi="Times New Roman"/>
          <w:sz w:val="24"/>
          <w:szCs w:val="24"/>
        </w:rPr>
        <w:t>EBITDA (EBITDA = zisk pred zdanením, úrokmi a odpismi), ktorý vychádza z daňových položiek.</w:t>
      </w:r>
      <w:r>
        <w:rPr>
          <w:rFonts w:ascii="Times New Roman" w:hAnsi="Times New Roman"/>
          <w:sz w:val="24"/>
          <w:szCs w:val="24"/>
        </w:rPr>
        <w:t xml:space="preserve"> </w:t>
      </w:r>
      <w:r w:rsidRPr="007D63BB">
        <w:rPr>
          <w:rFonts w:ascii="Times New Roman" w:hAnsi="Times New Roman"/>
          <w:sz w:val="24"/>
          <w:szCs w:val="24"/>
        </w:rPr>
        <w:t xml:space="preserve">Všeobecne používaný ukazovateľ EBITDA vychádza z účtovných položiek na rozdiel od EBITDA podľa článku 4 smernice ATAD, ktorý sa použije pre účely limitácie úrokových nákladov a ktorý vychádza z daňových položiek.     </w:t>
      </w:r>
    </w:p>
    <w:p w14:paraId="496FFBFD" w14:textId="77777777" w:rsidR="0085550D" w:rsidRPr="007D63BB" w:rsidRDefault="0085550D" w:rsidP="0085550D">
      <w:pPr>
        <w:spacing w:after="0" w:line="240" w:lineRule="auto"/>
        <w:jc w:val="both"/>
        <w:rPr>
          <w:rFonts w:ascii="Times New Roman" w:hAnsi="Times New Roman"/>
          <w:sz w:val="24"/>
          <w:szCs w:val="24"/>
        </w:rPr>
      </w:pPr>
      <w:r w:rsidRPr="007D63BB">
        <w:rPr>
          <w:rFonts w:ascii="Times New Roman" w:hAnsi="Times New Roman"/>
          <w:sz w:val="24"/>
          <w:szCs w:val="24"/>
        </w:rPr>
        <w:t>Pre účely limitácie nákladových úrokov sa ukazovateľ daňový EBITDA za príslušné zdaňovacie obdobie vypočíta ako súčet:</w:t>
      </w:r>
    </w:p>
    <w:p w14:paraId="6822FE5C" w14:textId="77777777" w:rsidR="0085550D" w:rsidRPr="007D63BB" w:rsidRDefault="0085550D" w:rsidP="0085550D">
      <w:pPr>
        <w:pStyle w:val="Odsekzoznamu"/>
        <w:numPr>
          <w:ilvl w:val="1"/>
          <w:numId w:val="2"/>
        </w:numPr>
        <w:spacing w:after="0" w:line="240" w:lineRule="auto"/>
        <w:ind w:left="284" w:hanging="284"/>
        <w:jc w:val="both"/>
        <w:rPr>
          <w:rFonts w:ascii="Times New Roman" w:hAnsi="Times New Roman"/>
          <w:sz w:val="24"/>
          <w:szCs w:val="24"/>
        </w:rPr>
      </w:pPr>
      <w:r w:rsidRPr="007D63BB">
        <w:rPr>
          <w:rFonts w:ascii="Times New Roman" w:hAnsi="Times New Roman"/>
          <w:sz w:val="24"/>
          <w:szCs w:val="24"/>
        </w:rPr>
        <w:t xml:space="preserve">jednotlivých druhov základov dane uvedených v odseku 6 (pred vykonaním úpravy podľa pravidla o obmedzení úrokových nákladov), </w:t>
      </w:r>
    </w:p>
    <w:p w14:paraId="21850D61" w14:textId="77777777" w:rsidR="0085550D" w:rsidRPr="007D63BB" w:rsidRDefault="0085550D" w:rsidP="0085550D">
      <w:pPr>
        <w:pStyle w:val="Odsekzoznamu"/>
        <w:numPr>
          <w:ilvl w:val="1"/>
          <w:numId w:val="2"/>
        </w:numPr>
        <w:spacing w:after="0" w:line="240" w:lineRule="auto"/>
        <w:ind w:left="284" w:hanging="284"/>
        <w:jc w:val="both"/>
        <w:rPr>
          <w:rFonts w:ascii="Times New Roman" w:hAnsi="Times New Roman"/>
          <w:sz w:val="24"/>
          <w:szCs w:val="24"/>
        </w:rPr>
      </w:pPr>
      <w:r w:rsidRPr="007D63BB">
        <w:rPr>
          <w:rFonts w:ascii="Times New Roman" w:hAnsi="Times New Roman"/>
          <w:sz w:val="24"/>
          <w:szCs w:val="24"/>
        </w:rPr>
        <w:t>čistých úrokových nákladov</w:t>
      </w:r>
      <w:r>
        <w:rPr>
          <w:rFonts w:ascii="Times New Roman" w:hAnsi="Times New Roman"/>
          <w:sz w:val="24"/>
          <w:szCs w:val="24"/>
        </w:rPr>
        <w:t xml:space="preserve"> a</w:t>
      </w:r>
    </w:p>
    <w:p w14:paraId="085F02AE" w14:textId="77777777" w:rsidR="0085550D" w:rsidRPr="007D63BB" w:rsidRDefault="0085550D" w:rsidP="0085550D">
      <w:pPr>
        <w:pStyle w:val="Odsekzoznamu"/>
        <w:numPr>
          <w:ilvl w:val="1"/>
          <w:numId w:val="2"/>
        </w:numPr>
        <w:spacing w:after="0" w:line="240" w:lineRule="auto"/>
        <w:ind w:left="284" w:hanging="284"/>
        <w:jc w:val="both"/>
        <w:rPr>
          <w:rFonts w:ascii="Times New Roman" w:hAnsi="Times New Roman"/>
          <w:sz w:val="24"/>
          <w:szCs w:val="24"/>
        </w:rPr>
      </w:pPr>
      <w:r w:rsidRPr="007D63BB">
        <w:rPr>
          <w:rFonts w:ascii="Times New Roman" w:hAnsi="Times New Roman"/>
          <w:sz w:val="24"/>
          <w:szCs w:val="24"/>
        </w:rPr>
        <w:t>daňových odpisov majetku</w:t>
      </w:r>
      <w:r>
        <w:rPr>
          <w:rFonts w:ascii="Times New Roman" w:hAnsi="Times New Roman"/>
          <w:sz w:val="24"/>
          <w:szCs w:val="24"/>
        </w:rPr>
        <w:t>.</w:t>
      </w:r>
      <w:r w:rsidRPr="007D63BB">
        <w:rPr>
          <w:rFonts w:ascii="Times New Roman" w:hAnsi="Times New Roman"/>
          <w:sz w:val="24"/>
          <w:szCs w:val="24"/>
        </w:rPr>
        <w:t xml:space="preserve"> </w:t>
      </w:r>
    </w:p>
    <w:p w14:paraId="3FF688C7" w14:textId="62425559" w:rsidR="0085550D" w:rsidRDefault="0085550D" w:rsidP="0085550D">
      <w:pPr>
        <w:spacing w:after="0" w:line="240" w:lineRule="auto"/>
        <w:jc w:val="both"/>
        <w:rPr>
          <w:rFonts w:ascii="Times New Roman" w:hAnsi="Times New Roman"/>
          <w:sz w:val="24"/>
          <w:szCs w:val="24"/>
        </w:rPr>
      </w:pPr>
      <w:r w:rsidRPr="00B018A4">
        <w:rPr>
          <w:rFonts w:ascii="Times New Roman" w:hAnsi="Times New Roman"/>
          <w:sz w:val="24"/>
          <w:szCs w:val="24"/>
        </w:rPr>
        <w:t>V odseku 3 je uvedený spôsob výpočtu čistých úrokových nákladov, ktoré sa vypočítajú ako kladný rozdiel medzi úrokovými nákladmi (napr</w:t>
      </w:r>
      <w:r w:rsidR="00AC01AC">
        <w:rPr>
          <w:rFonts w:ascii="Times New Roman" w:hAnsi="Times New Roman"/>
          <w:sz w:val="24"/>
          <w:szCs w:val="24"/>
        </w:rPr>
        <w:t>íklad</w:t>
      </w:r>
      <w:r w:rsidRPr="00B018A4">
        <w:rPr>
          <w:rFonts w:ascii="Times New Roman" w:hAnsi="Times New Roman"/>
          <w:sz w:val="24"/>
          <w:szCs w:val="24"/>
        </w:rPr>
        <w:t xml:space="preserve"> účet 562, 563, 566, 568), ktoré sú v príslušnom zdaňovacom období daňovými výdavkami a zdaniteľnými výnosmi (napr</w:t>
      </w:r>
      <w:r w:rsidR="00AC01AC">
        <w:rPr>
          <w:rFonts w:ascii="Times New Roman" w:hAnsi="Times New Roman"/>
          <w:sz w:val="24"/>
          <w:szCs w:val="24"/>
        </w:rPr>
        <w:t>íklad</w:t>
      </w:r>
      <w:r w:rsidRPr="00B018A4">
        <w:rPr>
          <w:rFonts w:ascii="Times New Roman" w:hAnsi="Times New Roman"/>
          <w:sz w:val="24"/>
          <w:szCs w:val="24"/>
        </w:rPr>
        <w:t xml:space="preserve"> účet 662, 663, 666, 668), ktoré má dlžník zaúčtované v účtovníctve alebo ich vykazuje podľa IFRS. Do výpočtu čistých úrokových nákladov sú zahrnuté len zdaniteľné úrokové </w:t>
      </w:r>
      <w:r w:rsidR="00CC2F67" w:rsidRPr="00CE6B04">
        <w:rPr>
          <w:rFonts w:ascii="Times New Roman" w:hAnsi="Times New Roman"/>
          <w:sz w:val="24"/>
          <w:szCs w:val="24"/>
        </w:rPr>
        <w:t>príjmy</w:t>
      </w:r>
      <w:r w:rsidRPr="00CE6B04">
        <w:rPr>
          <w:rFonts w:ascii="Times New Roman" w:hAnsi="Times New Roman"/>
          <w:sz w:val="24"/>
          <w:szCs w:val="24"/>
        </w:rPr>
        <w:t>,</w:t>
      </w:r>
      <w:r w:rsidRPr="00B018A4">
        <w:rPr>
          <w:rFonts w:ascii="Times New Roman" w:hAnsi="Times New Roman"/>
          <w:sz w:val="24"/>
          <w:szCs w:val="24"/>
        </w:rPr>
        <w:t xml:space="preserve"> tzn. </w:t>
      </w:r>
      <w:r w:rsidR="009F6213" w:rsidRPr="00B018A4">
        <w:rPr>
          <w:rFonts w:ascii="Times New Roman" w:hAnsi="Times New Roman"/>
          <w:sz w:val="24"/>
          <w:szCs w:val="24"/>
        </w:rPr>
        <w:lastRenderedPageBreak/>
        <w:t xml:space="preserve">do výpočtu čistých úrokových nákladov nevstupujú </w:t>
      </w:r>
      <w:r w:rsidRPr="00B018A4">
        <w:rPr>
          <w:rFonts w:ascii="Times New Roman" w:hAnsi="Times New Roman"/>
          <w:sz w:val="24"/>
          <w:szCs w:val="24"/>
        </w:rPr>
        <w:t>príjmy, ktoré sú od dane oslobodené alebo nie sú predmetom dane.</w:t>
      </w:r>
    </w:p>
    <w:p w14:paraId="6FEA23A4" w14:textId="77777777" w:rsidR="0085550D" w:rsidRPr="00CD6BAB" w:rsidRDefault="0085550D" w:rsidP="0085550D">
      <w:pPr>
        <w:spacing w:after="0" w:line="240" w:lineRule="auto"/>
        <w:jc w:val="both"/>
        <w:rPr>
          <w:rFonts w:ascii="Times New Roman" w:hAnsi="Times New Roman"/>
          <w:sz w:val="24"/>
          <w:szCs w:val="24"/>
        </w:rPr>
      </w:pPr>
      <w:r>
        <w:rPr>
          <w:rFonts w:ascii="Times New Roman" w:hAnsi="Times New Roman"/>
          <w:sz w:val="24"/>
          <w:szCs w:val="24"/>
        </w:rPr>
        <w:t>J</w:t>
      </w:r>
      <w:r w:rsidRPr="00CD6BAB">
        <w:rPr>
          <w:rFonts w:ascii="Times New Roman" w:hAnsi="Times New Roman"/>
          <w:sz w:val="24"/>
          <w:szCs w:val="24"/>
        </w:rPr>
        <w:t>ednotlivé druhy výdavkov (nákladov) za prijaté úvery a pôžičky u dlžníka</w:t>
      </w:r>
      <w:r>
        <w:rPr>
          <w:rFonts w:ascii="Times New Roman" w:hAnsi="Times New Roman"/>
          <w:sz w:val="24"/>
          <w:szCs w:val="24"/>
        </w:rPr>
        <w:t xml:space="preserve"> vymedzuje ods. 4</w:t>
      </w:r>
      <w:r w:rsidRPr="00CD6BAB">
        <w:rPr>
          <w:rFonts w:ascii="Times New Roman" w:hAnsi="Times New Roman"/>
          <w:sz w:val="24"/>
          <w:szCs w:val="24"/>
        </w:rPr>
        <w:t xml:space="preserve">. Na rozdiel od § 21a sa do čistých úrokových nákladov započítavajú aj úroky, ktoré sú súčasťou obstarávacej ceny </w:t>
      </w:r>
      <w:r>
        <w:rPr>
          <w:rFonts w:ascii="Times New Roman" w:hAnsi="Times New Roman"/>
          <w:sz w:val="24"/>
          <w:szCs w:val="24"/>
        </w:rPr>
        <w:t>alebo vlastných nákladov</w:t>
      </w:r>
      <w:r w:rsidRPr="00CD6BAB">
        <w:rPr>
          <w:rFonts w:ascii="Times New Roman" w:hAnsi="Times New Roman"/>
          <w:sz w:val="24"/>
          <w:szCs w:val="24"/>
        </w:rPr>
        <w:t xml:space="preserve"> majetku (</w:t>
      </w:r>
      <w:r>
        <w:rPr>
          <w:rFonts w:ascii="Times New Roman" w:hAnsi="Times New Roman"/>
          <w:sz w:val="24"/>
          <w:szCs w:val="24"/>
        </w:rPr>
        <w:t xml:space="preserve">tzv. </w:t>
      </w:r>
      <w:r w:rsidRPr="00CD6BAB">
        <w:rPr>
          <w:rFonts w:ascii="Times New Roman" w:hAnsi="Times New Roman"/>
          <w:sz w:val="24"/>
          <w:szCs w:val="24"/>
        </w:rPr>
        <w:t xml:space="preserve">kapitalizované úroky). Daňovník pri vyčíslení úrokových nákladov postupuje v súlade s princípom vecnej a časovej súvislosti, tzn. do výpočtu úrokových nákladov sa </w:t>
      </w:r>
      <w:r>
        <w:rPr>
          <w:rFonts w:ascii="Times New Roman" w:hAnsi="Times New Roman"/>
          <w:sz w:val="24"/>
          <w:szCs w:val="24"/>
        </w:rPr>
        <w:t>zahrnujú</w:t>
      </w:r>
      <w:r w:rsidRPr="00CD6BAB">
        <w:rPr>
          <w:rFonts w:ascii="Times New Roman" w:hAnsi="Times New Roman"/>
          <w:sz w:val="24"/>
          <w:szCs w:val="24"/>
        </w:rPr>
        <w:t xml:space="preserve"> všetky finančné náklady a príjmy, ktoré v príslušnom zdaňovacom období ovplyvňujú základ dane.  </w:t>
      </w:r>
    </w:p>
    <w:p w14:paraId="04663342" w14:textId="77777777" w:rsidR="0085550D" w:rsidRPr="00F06F67" w:rsidRDefault="0085550D" w:rsidP="0085550D">
      <w:pPr>
        <w:spacing w:after="0" w:line="240" w:lineRule="auto"/>
        <w:jc w:val="both"/>
        <w:rPr>
          <w:rFonts w:ascii="Times New Roman" w:hAnsi="Times New Roman"/>
          <w:sz w:val="24"/>
          <w:szCs w:val="24"/>
        </w:rPr>
      </w:pPr>
      <w:r w:rsidRPr="00F06F67">
        <w:rPr>
          <w:rFonts w:ascii="Times New Roman" w:hAnsi="Times New Roman"/>
          <w:sz w:val="24"/>
          <w:szCs w:val="24"/>
        </w:rPr>
        <w:t xml:space="preserve">Pre výpočet čistých úrokových nákladov sú v odseku 5 zadefinované úrokové výnosy a iné príjmy obdobného ekonomického charakteru, ktoré vznikajú u daňovníka, ktorý je veriteľom. Úrokový náklad u dlžníka na jednej strane predstavuje u veriteľa na druhej strane úrokový výnos. Do výpočtu čistých úrokových nákladov vstupujú  všetky zdaniteľné príjmy z úrokových výnosov, ktoré ovplyvňujú základ dane v príslušnom zdaňovacom období, tzn. nevstupujú tam príjmy, ktoré sú od dane oslobodené alebo príjmy, ktoré nie sú predmetom dane.  </w:t>
      </w:r>
    </w:p>
    <w:p w14:paraId="5FC91502" w14:textId="77777777" w:rsidR="0085550D" w:rsidRDefault="0085550D" w:rsidP="0085550D">
      <w:pPr>
        <w:spacing w:after="0" w:line="240" w:lineRule="auto"/>
        <w:jc w:val="both"/>
        <w:rPr>
          <w:rFonts w:ascii="Times New Roman" w:hAnsi="Times New Roman"/>
          <w:sz w:val="24"/>
          <w:szCs w:val="24"/>
        </w:rPr>
      </w:pPr>
      <w:r w:rsidRPr="00F06F67">
        <w:rPr>
          <w:rFonts w:ascii="Times New Roman" w:hAnsi="Times New Roman"/>
          <w:sz w:val="24"/>
          <w:szCs w:val="24"/>
        </w:rPr>
        <w:t>Pod príjmami rovnocennými úrokovým výnosom sa rozumejú príjmy (výnosy), ktorých podstata spĺňa charakteristiky úrokového príjmu. Medzi takéto príjmy možno zaradiť pomyselné úroky z alternatívnych spôsobov dlhového financovania alebo príjmy z rôznych úverových finančných nástrojov (napr</w:t>
      </w:r>
      <w:r w:rsidR="00AC01AC">
        <w:rPr>
          <w:rFonts w:ascii="Times New Roman" w:hAnsi="Times New Roman"/>
          <w:sz w:val="24"/>
          <w:szCs w:val="24"/>
        </w:rPr>
        <w:t>íklad</w:t>
      </w:r>
      <w:r w:rsidRPr="00F06F67">
        <w:rPr>
          <w:rFonts w:ascii="Times New Roman" w:hAnsi="Times New Roman"/>
          <w:sz w:val="24"/>
          <w:szCs w:val="24"/>
        </w:rPr>
        <w:t xml:space="preserve"> islamské financovanie, ktoré zakazuje úrok a nahrádza ho inou formou platby), atď. </w:t>
      </w:r>
    </w:p>
    <w:p w14:paraId="4037EA1C" w14:textId="77777777" w:rsidR="0085550D" w:rsidRPr="009974BE" w:rsidRDefault="0085550D" w:rsidP="0085550D">
      <w:pPr>
        <w:spacing w:after="0" w:line="240" w:lineRule="auto"/>
        <w:jc w:val="both"/>
        <w:rPr>
          <w:rFonts w:ascii="Times New Roman" w:hAnsi="Times New Roman"/>
          <w:sz w:val="24"/>
          <w:szCs w:val="24"/>
        </w:rPr>
      </w:pPr>
      <w:r w:rsidRPr="009974BE">
        <w:rPr>
          <w:rFonts w:ascii="Times New Roman" w:hAnsi="Times New Roman"/>
          <w:sz w:val="24"/>
          <w:szCs w:val="24"/>
        </w:rPr>
        <w:t>V odseku 6 sú uvedené jednotlivé druhy základov dane, ktoré vstupujú do súhrnu základov dane pre výpočet daňového EBITDA na účely limitácie úrokových nákladov:</w:t>
      </w:r>
    </w:p>
    <w:p w14:paraId="3C1CFBBB" w14:textId="5238428D" w:rsidR="0085550D" w:rsidRPr="009974BE" w:rsidRDefault="0085550D" w:rsidP="0085550D">
      <w:pPr>
        <w:pStyle w:val="Odsekzoznamu"/>
        <w:numPr>
          <w:ilvl w:val="1"/>
          <w:numId w:val="2"/>
        </w:numPr>
        <w:spacing w:after="0" w:line="240" w:lineRule="auto"/>
        <w:ind w:left="284" w:hanging="284"/>
        <w:jc w:val="both"/>
        <w:rPr>
          <w:rFonts w:ascii="Times New Roman" w:hAnsi="Times New Roman"/>
          <w:sz w:val="24"/>
          <w:szCs w:val="24"/>
        </w:rPr>
      </w:pPr>
      <w:r w:rsidRPr="009974BE">
        <w:rPr>
          <w:rFonts w:ascii="Times New Roman" w:hAnsi="Times New Roman"/>
          <w:sz w:val="24"/>
          <w:szCs w:val="24"/>
        </w:rPr>
        <w:t>základ dane zistený podľa § 17 až 29 znížený o úhrn vyňatých príjmov (základov dane) podliehajúcich zdaneniu v zahranič</w:t>
      </w:r>
      <w:r w:rsidR="002001DC">
        <w:rPr>
          <w:rFonts w:ascii="Times New Roman" w:hAnsi="Times New Roman"/>
          <w:sz w:val="24"/>
          <w:szCs w:val="24"/>
        </w:rPr>
        <w:t>í</w:t>
      </w:r>
      <w:r w:rsidRPr="009974BE">
        <w:rPr>
          <w:rFonts w:ascii="Times New Roman" w:hAnsi="Times New Roman"/>
          <w:sz w:val="24"/>
          <w:szCs w:val="24"/>
        </w:rPr>
        <w:t xml:space="preserve"> (riadok 400 daňového priznania k dani z príjmov právnickej osoby),</w:t>
      </w:r>
    </w:p>
    <w:p w14:paraId="3EF1FA51" w14:textId="77777777" w:rsidR="0085550D" w:rsidRPr="009974BE" w:rsidRDefault="0085550D" w:rsidP="0085550D">
      <w:pPr>
        <w:pStyle w:val="Odsekzoznamu"/>
        <w:numPr>
          <w:ilvl w:val="1"/>
          <w:numId w:val="2"/>
        </w:numPr>
        <w:spacing w:after="0" w:line="240" w:lineRule="auto"/>
        <w:ind w:left="284" w:hanging="284"/>
        <w:jc w:val="both"/>
        <w:rPr>
          <w:rFonts w:ascii="Times New Roman" w:hAnsi="Times New Roman"/>
          <w:sz w:val="24"/>
          <w:szCs w:val="24"/>
        </w:rPr>
      </w:pPr>
      <w:r w:rsidRPr="009974BE">
        <w:rPr>
          <w:rFonts w:ascii="Times New Roman" w:hAnsi="Times New Roman"/>
          <w:sz w:val="24"/>
          <w:szCs w:val="24"/>
        </w:rPr>
        <w:t>základ dane pre účely zdanenia pri odchode (</w:t>
      </w:r>
      <w:proofErr w:type="spellStart"/>
      <w:r w:rsidRPr="009974BE">
        <w:rPr>
          <w:rFonts w:ascii="Times New Roman" w:hAnsi="Times New Roman"/>
          <w:sz w:val="24"/>
          <w:szCs w:val="24"/>
        </w:rPr>
        <w:t>exit</w:t>
      </w:r>
      <w:proofErr w:type="spellEnd"/>
      <w:r w:rsidRPr="009974BE">
        <w:rPr>
          <w:rFonts w:ascii="Times New Roman" w:hAnsi="Times New Roman"/>
          <w:sz w:val="24"/>
          <w:szCs w:val="24"/>
        </w:rPr>
        <w:t xml:space="preserve"> </w:t>
      </w:r>
      <w:proofErr w:type="spellStart"/>
      <w:r w:rsidRPr="009974BE">
        <w:rPr>
          <w:rFonts w:ascii="Times New Roman" w:hAnsi="Times New Roman"/>
          <w:sz w:val="24"/>
          <w:szCs w:val="24"/>
        </w:rPr>
        <w:t>tax</w:t>
      </w:r>
      <w:proofErr w:type="spellEnd"/>
      <w:r w:rsidRPr="009974BE">
        <w:rPr>
          <w:rFonts w:ascii="Times New Roman" w:hAnsi="Times New Roman"/>
          <w:sz w:val="24"/>
          <w:szCs w:val="24"/>
        </w:rPr>
        <w:t>) - § 17f</w:t>
      </w:r>
    </w:p>
    <w:p w14:paraId="641CD6E8" w14:textId="77777777" w:rsidR="0085550D" w:rsidRPr="009974BE" w:rsidRDefault="0085550D" w:rsidP="0085550D">
      <w:pPr>
        <w:pStyle w:val="Odsekzoznamu"/>
        <w:numPr>
          <w:ilvl w:val="1"/>
          <w:numId w:val="2"/>
        </w:numPr>
        <w:spacing w:after="0" w:line="240" w:lineRule="auto"/>
        <w:ind w:left="284" w:hanging="284"/>
        <w:jc w:val="both"/>
        <w:rPr>
          <w:rFonts w:ascii="Times New Roman" w:hAnsi="Times New Roman"/>
          <w:sz w:val="24"/>
          <w:szCs w:val="24"/>
        </w:rPr>
      </w:pPr>
      <w:r w:rsidRPr="009974BE">
        <w:rPr>
          <w:rFonts w:ascii="Times New Roman" w:hAnsi="Times New Roman"/>
          <w:sz w:val="24"/>
          <w:szCs w:val="24"/>
        </w:rPr>
        <w:t>osobitný základ dane z podielu na zisku (dividendy) - § 51e</w:t>
      </w:r>
    </w:p>
    <w:p w14:paraId="416D682F" w14:textId="77777777" w:rsidR="0085550D" w:rsidRPr="009974BE" w:rsidRDefault="0085550D" w:rsidP="0085550D">
      <w:pPr>
        <w:pStyle w:val="Odsekzoznamu"/>
        <w:numPr>
          <w:ilvl w:val="1"/>
          <w:numId w:val="2"/>
        </w:numPr>
        <w:spacing w:after="0" w:line="240" w:lineRule="auto"/>
        <w:ind w:left="284" w:hanging="284"/>
        <w:jc w:val="both"/>
        <w:rPr>
          <w:rFonts w:ascii="Times New Roman" w:hAnsi="Times New Roman"/>
          <w:sz w:val="24"/>
          <w:szCs w:val="24"/>
        </w:rPr>
      </w:pPr>
      <w:r w:rsidRPr="009974BE">
        <w:rPr>
          <w:rFonts w:ascii="Times New Roman" w:hAnsi="Times New Roman"/>
          <w:sz w:val="24"/>
          <w:szCs w:val="24"/>
        </w:rPr>
        <w:t xml:space="preserve">základ dane z príjmov, z ktorých sa daň vyberá zrážkou a vybratím dane je splnená daňová povinnosť. </w:t>
      </w:r>
    </w:p>
    <w:p w14:paraId="1D42AE1D" w14:textId="5146FFCD" w:rsidR="0085550D" w:rsidRPr="00CE6B04" w:rsidRDefault="0085550D" w:rsidP="0085550D">
      <w:pPr>
        <w:spacing w:after="0" w:line="240" w:lineRule="auto"/>
        <w:jc w:val="both"/>
        <w:rPr>
          <w:rFonts w:ascii="Times New Roman" w:hAnsi="Times New Roman"/>
          <w:sz w:val="24"/>
          <w:szCs w:val="24"/>
        </w:rPr>
      </w:pPr>
      <w:r w:rsidRPr="009974BE">
        <w:rPr>
          <w:rFonts w:ascii="Times New Roman" w:hAnsi="Times New Roman"/>
          <w:sz w:val="24"/>
          <w:szCs w:val="24"/>
        </w:rPr>
        <w:t xml:space="preserve">Ak úhrn jednotlivých základov dane pre výpočet EBITDA pre účely limitácie nákladových úrokov </w:t>
      </w:r>
      <w:r>
        <w:rPr>
          <w:rFonts w:ascii="Times New Roman" w:hAnsi="Times New Roman"/>
          <w:sz w:val="24"/>
          <w:szCs w:val="24"/>
        </w:rPr>
        <w:t>napr</w:t>
      </w:r>
      <w:r w:rsidR="00AC01AC">
        <w:rPr>
          <w:rFonts w:ascii="Times New Roman" w:hAnsi="Times New Roman"/>
          <w:sz w:val="24"/>
          <w:szCs w:val="24"/>
        </w:rPr>
        <w:t>íklad</w:t>
      </w:r>
      <w:r>
        <w:rPr>
          <w:rFonts w:ascii="Times New Roman" w:hAnsi="Times New Roman"/>
          <w:sz w:val="24"/>
          <w:szCs w:val="24"/>
        </w:rPr>
        <w:t xml:space="preserve"> </w:t>
      </w:r>
      <w:r w:rsidRPr="009974BE">
        <w:rPr>
          <w:rFonts w:ascii="Times New Roman" w:hAnsi="Times New Roman"/>
          <w:sz w:val="24"/>
          <w:szCs w:val="24"/>
        </w:rPr>
        <w:t xml:space="preserve">vplyvom záporného hospodárskeho výsledku nedosiahne kladnú hodnotu, pre účely limitácie úrokových nákladov sa </w:t>
      </w:r>
      <w:r w:rsidR="000D4EAC" w:rsidRPr="00CE6B04">
        <w:rPr>
          <w:rFonts w:ascii="Times New Roman" w:hAnsi="Times New Roman"/>
          <w:sz w:val="24"/>
          <w:szCs w:val="24"/>
        </w:rPr>
        <w:t>základ dane zvýši o sumu čistých úrokových nákladov, ktor</w:t>
      </w:r>
      <w:r w:rsidR="00EB01F5" w:rsidRPr="00CE6B04">
        <w:rPr>
          <w:rFonts w:ascii="Times New Roman" w:hAnsi="Times New Roman"/>
          <w:sz w:val="24"/>
          <w:szCs w:val="24"/>
        </w:rPr>
        <w:t>á</w:t>
      </w:r>
      <w:r w:rsidR="000D4EAC" w:rsidRPr="00CE6B04">
        <w:rPr>
          <w:rFonts w:ascii="Times New Roman" w:hAnsi="Times New Roman"/>
          <w:sz w:val="24"/>
          <w:szCs w:val="24"/>
        </w:rPr>
        <w:t xml:space="preserve"> prevyšuj</w:t>
      </w:r>
      <w:r w:rsidR="00EB01F5" w:rsidRPr="00CE6B04">
        <w:rPr>
          <w:rFonts w:ascii="Times New Roman" w:hAnsi="Times New Roman"/>
          <w:sz w:val="24"/>
          <w:szCs w:val="24"/>
        </w:rPr>
        <w:t>e</w:t>
      </w:r>
      <w:r w:rsidR="000D4EAC" w:rsidRPr="00CE6B04">
        <w:rPr>
          <w:rFonts w:ascii="Times New Roman" w:hAnsi="Times New Roman"/>
          <w:sz w:val="24"/>
          <w:szCs w:val="24"/>
        </w:rPr>
        <w:t xml:space="preserve"> hodnotu </w:t>
      </w:r>
      <w:r w:rsidR="00844E94" w:rsidRPr="00CE6B04">
        <w:rPr>
          <w:rFonts w:ascii="Times New Roman" w:hAnsi="Times New Roman"/>
          <w:sz w:val="24"/>
          <w:szCs w:val="24"/>
        </w:rPr>
        <w:t>3</w:t>
      </w:r>
      <w:r w:rsidRPr="00CE6B04">
        <w:rPr>
          <w:rFonts w:ascii="Times New Roman" w:hAnsi="Times New Roman"/>
          <w:sz w:val="24"/>
          <w:szCs w:val="24"/>
        </w:rPr>
        <w:t xml:space="preserve"> 000 000 eur podľa odseku </w:t>
      </w:r>
      <w:r w:rsidR="00E465B6" w:rsidRPr="00CE6B04">
        <w:rPr>
          <w:rFonts w:ascii="Times New Roman" w:hAnsi="Times New Roman"/>
          <w:sz w:val="24"/>
          <w:szCs w:val="24"/>
        </w:rPr>
        <w:t>2</w:t>
      </w:r>
      <w:r w:rsidRPr="00CE6B04">
        <w:rPr>
          <w:rFonts w:ascii="Times New Roman" w:hAnsi="Times New Roman"/>
          <w:sz w:val="24"/>
          <w:szCs w:val="24"/>
        </w:rPr>
        <w:t>.</w:t>
      </w:r>
    </w:p>
    <w:p w14:paraId="221E5C9D" w14:textId="77777777" w:rsidR="0085550D" w:rsidRPr="009974BE" w:rsidRDefault="0085550D" w:rsidP="0085550D">
      <w:pPr>
        <w:spacing w:after="0" w:line="240" w:lineRule="auto"/>
        <w:jc w:val="both"/>
        <w:rPr>
          <w:rFonts w:ascii="Times New Roman" w:hAnsi="Times New Roman"/>
          <w:sz w:val="24"/>
          <w:szCs w:val="24"/>
        </w:rPr>
      </w:pPr>
      <w:r w:rsidRPr="009974BE">
        <w:rPr>
          <w:rFonts w:ascii="Times New Roman" w:hAnsi="Times New Roman"/>
          <w:sz w:val="24"/>
          <w:szCs w:val="24"/>
        </w:rPr>
        <w:t>Odsek 7 upravuje prenos nevyčerpanej úrokovej kapacity do nasledujúcich zdaňovacích období. Zámerom tohto ustanovenia je podporiť daňovníkov, ktorí si dlhovým financovaním umelo neznižujú základ dane, aby si mali možnosť v nasledujúcich obdobiach uplatniť neuznané úrokové náklady. Daňovník si môže odpočítať vylúčené neuplatnené čisté úrokové náklady najviac v piatich bezprostredne po sebe nasledujúcich zdaňovacích obdobiach po prvom zdaňovacom období, v ktorom si úroky nemohol uplatniť ako daňový výdavok. Zároveň platí, že aj v nasledujúcich zdaňovacích obdobiach musí byť dodržaná podmienka, že celková suma čistých úrokových nákladov nepresiahne limit vypočítaný podľa odseku 2.</w:t>
      </w:r>
    </w:p>
    <w:p w14:paraId="01D3B0DB" w14:textId="535E09D1" w:rsidR="0085550D" w:rsidRPr="009974BE" w:rsidRDefault="0085550D" w:rsidP="0085550D">
      <w:pPr>
        <w:spacing w:after="0" w:line="240" w:lineRule="auto"/>
        <w:jc w:val="both"/>
        <w:rPr>
          <w:rFonts w:ascii="Times New Roman" w:hAnsi="Times New Roman"/>
          <w:sz w:val="24"/>
          <w:szCs w:val="24"/>
        </w:rPr>
      </w:pPr>
      <w:r w:rsidRPr="009974BE">
        <w:rPr>
          <w:rFonts w:ascii="Times New Roman" w:hAnsi="Times New Roman"/>
          <w:sz w:val="24"/>
          <w:szCs w:val="24"/>
        </w:rPr>
        <w:t>V odseku 8 sú taxatívne vymenované výnimky, na ktoré sa nevzťahuje pravidlo o obmedzení nákladových úrokov. Ide predovšetkým finančné inštitúcie, ktorých podnikateľská činnosť sa špecificky zameriava na dlhové financovanie. Okrem finančných inštitúcií pod výnimku z nového pravidla spadajú aj dlžníci, ktor</w:t>
      </w:r>
      <w:r w:rsidR="002001DC">
        <w:rPr>
          <w:rFonts w:ascii="Times New Roman" w:hAnsi="Times New Roman"/>
          <w:sz w:val="24"/>
          <w:szCs w:val="24"/>
        </w:rPr>
        <w:t>í</w:t>
      </w:r>
      <w:r w:rsidRPr="009974BE">
        <w:rPr>
          <w:rFonts w:ascii="Times New Roman" w:hAnsi="Times New Roman"/>
          <w:sz w:val="24"/>
          <w:szCs w:val="24"/>
        </w:rPr>
        <w:t xml:space="preserve"> sú právnickými osobami a ktorých závislými osobami sú výlučne fyzické osoby.</w:t>
      </w:r>
    </w:p>
    <w:p w14:paraId="31346F6A" w14:textId="169E8349" w:rsidR="004A0EA0" w:rsidRPr="00CE6B04" w:rsidRDefault="004A0EA0" w:rsidP="004A0EA0">
      <w:pPr>
        <w:spacing w:after="0" w:line="240" w:lineRule="auto"/>
        <w:jc w:val="both"/>
        <w:rPr>
          <w:rFonts w:ascii="Times New Roman" w:hAnsi="Times New Roman"/>
          <w:b/>
          <w:sz w:val="24"/>
          <w:szCs w:val="24"/>
        </w:rPr>
      </w:pPr>
      <w:r w:rsidRPr="006E4770">
        <w:rPr>
          <w:rFonts w:ascii="Times New Roman" w:hAnsi="Times New Roman"/>
          <w:sz w:val="24"/>
          <w:szCs w:val="24"/>
        </w:rPr>
        <w:t>Podľa odsekov 9 a 10 spoločník</w:t>
      </w:r>
      <w:r w:rsidR="006E4770">
        <w:rPr>
          <w:rFonts w:ascii="Times New Roman" w:hAnsi="Times New Roman"/>
          <w:sz w:val="24"/>
          <w:szCs w:val="24"/>
        </w:rPr>
        <w:t xml:space="preserve"> </w:t>
      </w:r>
      <w:r w:rsidRPr="006E4770">
        <w:rPr>
          <w:rFonts w:ascii="Times New Roman" w:hAnsi="Times New Roman"/>
          <w:sz w:val="24"/>
          <w:szCs w:val="24"/>
        </w:rPr>
        <w:t>verejnej obchodnej spoločnosti a rovnako aj komplementár komanditnej spoločnosti</w:t>
      </w:r>
      <w:r w:rsidR="006E4770">
        <w:rPr>
          <w:rFonts w:ascii="Times New Roman" w:hAnsi="Times New Roman"/>
          <w:sz w:val="24"/>
          <w:szCs w:val="24"/>
        </w:rPr>
        <w:t>, ktorý je právnick</w:t>
      </w:r>
      <w:r w:rsidR="00714F9B">
        <w:rPr>
          <w:rFonts w:ascii="Times New Roman" w:hAnsi="Times New Roman"/>
          <w:sz w:val="24"/>
          <w:szCs w:val="24"/>
        </w:rPr>
        <w:t>ou</w:t>
      </w:r>
      <w:r w:rsidR="006E4770">
        <w:rPr>
          <w:rFonts w:ascii="Times New Roman" w:hAnsi="Times New Roman"/>
          <w:sz w:val="24"/>
          <w:szCs w:val="24"/>
        </w:rPr>
        <w:t xml:space="preserve"> osob</w:t>
      </w:r>
      <w:r w:rsidR="00714F9B">
        <w:rPr>
          <w:rFonts w:ascii="Times New Roman" w:hAnsi="Times New Roman"/>
          <w:sz w:val="24"/>
          <w:szCs w:val="24"/>
        </w:rPr>
        <w:t>ou</w:t>
      </w:r>
      <w:r w:rsidR="006E4770">
        <w:rPr>
          <w:rFonts w:ascii="Times New Roman" w:hAnsi="Times New Roman"/>
          <w:sz w:val="24"/>
          <w:szCs w:val="24"/>
        </w:rPr>
        <w:t>, daňovník</w:t>
      </w:r>
      <w:r w:rsidR="00714F9B">
        <w:rPr>
          <w:rFonts w:ascii="Times New Roman" w:hAnsi="Times New Roman"/>
          <w:sz w:val="24"/>
          <w:szCs w:val="24"/>
        </w:rPr>
        <w:t>om</w:t>
      </w:r>
      <w:r w:rsidR="006E4770">
        <w:rPr>
          <w:rFonts w:ascii="Times New Roman" w:hAnsi="Times New Roman"/>
          <w:sz w:val="24"/>
          <w:szCs w:val="24"/>
        </w:rPr>
        <w:t xml:space="preserve"> s neobmedzenou daňovou povinnosťou, </w:t>
      </w:r>
      <w:r w:rsidR="009F6213" w:rsidRPr="006E4770">
        <w:rPr>
          <w:rFonts w:ascii="Times New Roman" w:hAnsi="Times New Roman"/>
          <w:sz w:val="24"/>
          <w:szCs w:val="24"/>
        </w:rPr>
        <w:t xml:space="preserve">pri výpočte EBITDA </w:t>
      </w:r>
      <w:r w:rsidRPr="006E4770">
        <w:rPr>
          <w:rFonts w:ascii="Times New Roman" w:hAnsi="Times New Roman"/>
          <w:sz w:val="24"/>
          <w:szCs w:val="24"/>
        </w:rPr>
        <w:t xml:space="preserve">pre účely limitácie nákladových </w:t>
      </w:r>
      <w:r w:rsidRPr="00CE6B04">
        <w:rPr>
          <w:rFonts w:ascii="Times New Roman" w:hAnsi="Times New Roman"/>
          <w:sz w:val="24"/>
          <w:szCs w:val="24"/>
        </w:rPr>
        <w:t>úrokov vylúči z</w:t>
      </w:r>
      <w:r w:rsidR="005B6A18" w:rsidRPr="00CE6B04">
        <w:rPr>
          <w:rFonts w:ascii="Times New Roman" w:hAnsi="Times New Roman"/>
          <w:sz w:val="24"/>
          <w:szCs w:val="24"/>
        </w:rPr>
        <w:t>o svojho</w:t>
      </w:r>
      <w:r w:rsidRPr="00CE6B04">
        <w:rPr>
          <w:rFonts w:ascii="Times New Roman" w:hAnsi="Times New Roman"/>
          <w:sz w:val="24"/>
          <w:szCs w:val="24"/>
        </w:rPr>
        <w:t xml:space="preserve"> úhrnu základov dane tú časť základu dane (daňovej straty), ktorá je súčasťo</w:t>
      </w:r>
      <w:r w:rsidR="000D4EAC" w:rsidRPr="00CE6B04">
        <w:rPr>
          <w:rFonts w:ascii="Times New Roman" w:hAnsi="Times New Roman"/>
          <w:sz w:val="24"/>
          <w:szCs w:val="24"/>
        </w:rPr>
        <w:t>u základu dane (daňovej straty) týchto osobných spoločností.</w:t>
      </w:r>
    </w:p>
    <w:p w14:paraId="62822724" w14:textId="5D4AAB79" w:rsidR="00AC01AC" w:rsidRDefault="0085550D" w:rsidP="0085550D">
      <w:pPr>
        <w:spacing w:after="0" w:line="240" w:lineRule="auto"/>
        <w:jc w:val="both"/>
        <w:rPr>
          <w:rFonts w:ascii="Times New Roman" w:hAnsi="Times New Roman"/>
          <w:sz w:val="24"/>
          <w:szCs w:val="24"/>
        </w:rPr>
      </w:pPr>
      <w:r w:rsidRPr="009974BE">
        <w:rPr>
          <w:rFonts w:ascii="Times New Roman" w:hAnsi="Times New Roman"/>
          <w:sz w:val="24"/>
          <w:szCs w:val="24"/>
        </w:rPr>
        <w:lastRenderedPageBreak/>
        <w:t xml:space="preserve">  </w:t>
      </w:r>
    </w:p>
    <w:p w14:paraId="362485DE" w14:textId="39341778" w:rsidR="00AC01AC" w:rsidRPr="00AB3F4F" w:rsidRDefault="00AC01AC" w:rsidP="00AC01AC">
      <w:pPr>
        <w:keepNext/>
        <w:spacing w:after="0" w:line="240" w:lineRule="auto"/>
        <w:jc w:val="both"/>
        <w:rPr>
          <w:rFonts w:ascii="Times New Roman" w:hAnsi="Times New Roman" w:cs="Times New Roman"/>
          <w:b/>
          <w:sz w:val="24"/>
          <w:szCs w:val="24"/>
        </w:rPr>
      </w:pPr>
      <w:r w:rsidRPr="00AB3F4F">
        <w:rPr>
          <w:rFonts w:ascii="Times New Roman" w:hAnsi="Times New Roman" w:cs="Times New Roman"/>
          <w:b/>
          <w:sz w:val="24"/>
          <w:szCs w:val="24"/>
        </w:rPr>
        <w:t>K bodu 1</w:t>
      </w:r>
      <w:r w:rsidR="00C578F1">
        <w:rPr>
          <w:rFonts w:ascii="Times New Roman" w:hAnsi="Times New Roman" w:cs="Times New Roman"/>
          <w:b/>
          <w:sz w:val="24"/>
          <w:szCs w:val="24"/>
        </w:rPr>
        <w:t>3</w:t>
      </w:r>
      <w:r>
        <w:rPr>
          <w:rFonts w:ascii="Times New Roman" w:hAnsi="Times New Roman" w:cs="Times New Roman"/>
          <w:b/>
          <w:sz w:val="24"/>
          <w:szCs w:val="24"/>
        </w:rPr>
        <w:t xml:space="preserve"> - </w:t>
      </w:r>
      <w:r w:rsidRPr="00AB3F4F">
        <w:rPr>
          <w:rFonts w:ascii="Times New Roman" w:hAnsi="Times New Roman" w:cs="Times New Roman"/>
          <w:b/>
          <w:sz w:val="24"/>
          <w:szCs w:val="24"/>
        </w:rPr>
        <w:t>§ 18 ods. 1</w:t>
      </w:r>
    </w:p>
    <w:p w14:paraId="373904D2" w14:textId="77777777" w:rsidR="0050727D" w:rsidRPr="00CE6B04" w:rsidRDefault="0050727D" w:rsidP="0050727D">
      <w:pPr>
        <w:keepNext/>
        <w:spacing w:after="0" w:line="240" w:lineRule="auto"/>
        <w:jc w:val="both"/>
        <w:rPr>
          <w:rFonts w:ascii="Times New Roman" w:hAnsi="Times New Roman" w:cs="Times New Roman"/>
          <w:sz w:val="24"/>
          <w:szCs w:val="24"/>
        </w:rPr>
      </w:pPr>
      <w:r w:rsidRPr="00AB3F4F">
        <w:rPr>
          <w:rFonts w:ascii="Times New Roman" w:hAnsi="Times New Roman" w:cs="Times New Roman"/>
          <w:sz w:val="24"/>
          <w:szCs w:val="24"/>
        </w:rPr>
        <w:t xml:space="preserve">Navrhovanou zmenou sa v záujme právnej istoty do zákona dopĺňa odvolávka na Smernicu OECD o transferovom oceňovaní („Transfer </w:t>
      </w:r>
      <w:proofErr w:type="spellStart"/>
      <w:r w:rsidRPr="00AB3F4F">
        <w:rPr>
          <w:rFonts w:ascii="Times New Roman" w:hAnsi="Times New Roman" w:cs="Times New Roman"/>
          <w:sz w:val="24"/>
          <w:szCs w:val="24"/>
        </w:rPr>
        <w:t>Pricing</w:t>
      </w:r>
      <w:proofErr w:type="spellEnd"/>
      <w:r w:rsidRPr="00AB3F4F">
        <w:rPr>
          <w:rFonts w:ascii="Times New Roman" w:hAnsi="Times New Roman" w:cs="Times New Roman"/>
          <w:sz w:val="24"/>
          <w:szCs w:val="24"/>
        </w:rPr>
        <w:t xml:space="preserve"> </w:t>
      </w:r>
      <w:proofErr w:type="spellStart"/>
      <w:r w:rsidRPr="00AB3F4F">
        <w:rPr>
          <w:rFonts w:ascii="Times New Roman" w:hAnsi="Times New Roman" w:cs="Times New Roman"/>
          <w:sz w:val="24"/>
          <w:szCs w:val="24"/>
        </w:rPr>
        <w:t>Guidelines</w:t>
      </w:r>
      <w:proofErr w:type="spellEnd"/>
      <w:r w:rsidRPr="00AB3F4F">
        <w:rPr>
          <w:rFonts w:ascii="Times New Roman" w:hAnsi="Times New Roman" w:cs="Times New Roman"/>
          <w:sz w:val="24"/>
          <w:szCs w:val="24"/>
        </w:rPr>
        <w:t xml:space="preserve"> </w:t>
      </w:r>
      <w:proofErr w:type="spellStart"/>
      <w:r w:rsidRPr="00AB3F4F">
        <w:rPr>
          <w:rFonts w:ascii="Times New Roman" w:hAnsi="Times New Roman" w:cs="Times New Roman"/>
          <w:sz w:val="24"/>
          <w:szCs w:val="24"/>
        </w:rPr>
        <w:t>for</w:t>
      </w:r>
      <w:proofErr w:type="spellEnd"/>
      <w:r w:rsidRPr="00AB3F4F">
        <w:rPr>
          <w:rFonts w:ascii="Times New Roman" w:hAnsi="Times New Roman" w:cs="Times New Roman"/>
          <w:sz w:val="24"/>
          <w:szCs w:val="24"/>
        </w:rPr>
        <w:t xml:space="preserve"> </w:t>
      </w:r>
      <w:proofErr w:type="spellStart"/>
      <w:r w:rsidRPr="00AB3F4F">
        <w:rPr>
          <w:rFonts w:ascii="Times New Roman" w:hAnsi="Times New Roman" w:cs="Times New Roman"/>
          <w:sz w:val="24"/>
          <w:szCs w:val="24"/>
        </w:rPr>
        <w:t>Multinational</w:t>
      </w:r>
      <w:proofErr w:type="spellEnd"/>
      <w:r w:rsidRPr="00AB3F4F">
        <w:rPr>
          <w:rFonts w:ascii="Times New Roman" w:hAnsi="Times New Roman" w:cs="Times New Roman"/>
          <w:sz w:val="24"/>
          <w:szCs w:val="24"/>
        </w:rPr>
        <w:t xml:space="preserve"> Enterprises and </w:t>
      </w:r>
      <w:proofErr w:type="spellStart"/>
      <w:r w:rsidRPr="00AB3F4F">
        <w:rPr>
          <w:rFonts w:ascii="Times New Roman" w:hAnsi="Times New Roman" w:cs="Times New Roman"/>
          <w:sz w:val="24"/>
          <w:szCs w:val="24"/>
        </w:rPr>
        <w:t>Tax</w:t>
      </w:r>
      <w:proofErr w:type="spellEnd"/>
      <w:r w:rsidRPr="00AB3F4F">
        <w:rPr>
          <w:rFonts w:ascii="Times New Roman" w:hAnsi="Times New Roman" w:cs="Times New Roman"/>
          <w:sz w:val="24"/>
          <w:szCs w:val="24"/>
        </w:rPr>
        <w:t xml:space="preserve"> </w:t>
      </w:r>
      <w:proofErr w:type="spellStart"/>
      <w:r w:rsidRPr="00AB3F4F">
        <w:rPr>
          <w:rFonts w:ascii="Times New Roman" w:hAnsi="Times New Roman" w:cs="Times New Roman"/>
          <w:sz w:val="24"/>
          <w:szCs w:val="24"/>
        </w:rPr>
        <w:t>Administrations</w:t>
      </w:r>
      <w:proofErr w:type="spellEnd"/>
      <w:r w:rsidRPr="00AB3F4F">
        <w:rPr>
          <w:rFonts w:ascii="Times New Roman" w:hAnsi="Times New Roman" w:cs="Times New Roman"/>
          <w:sz w:val="24"/>
          <w:szCs w:val="24"/>
        </w:rPr>
        <w:t>“), ktorá sa všeobecne využíva ako výkladová pomôcka v oblasti transferového oceňovania. Vláda Slovenskej republiky na svojom zasadnutí dňa 10. júna 1997 uznesením č. 428 súhlasila s prijatím Odporúčania Rady OECD pre vymedzenie ocenenia transferu medzi prepojenými spoločnosťami z 13. júla 1995 - C(95)126/</w:t>
      </w:r>
      <w:proofErr w:type="spellStart"/>
      <w:r w:rsidRPr="00AB3F4F">
        <w:rPr>
          <w:rFonts w:ascii="Times New Roman" w:hAnsi="Times New Roman" w:cs="Times New Roman"/>
          <w:sz w:val="24"/>
          <w:szCs w:val="24"/>
        </w:rPr>
        <w:t>Final</w:t>
      </w:r>
      <w:proofErr w:type="spellEnd"/>
      <w:r w:rsidRPr="00CE6B04">
        <w:rPr>
          <w:rFonts w:ascii="Times New Roman" w:hAnsi="Times New Roman" w:cs="Times New Roman"/>
          <w:sz w:val="24"/>
          <w:szCs w:val="24"/>
        </w:rPr>
        <w:t>. N</w:t>
      </w:r>
      <w:r w:rsidRPr="00CE6B04">
        <w:rPr>
          <w:rFonts w:ascii="Times New Roman" w:hAnsi="Times New Roman"/>
          <w:sz w:val="24"/>
          <w:szCs w:val="24"/>
        </w:rPr>
        <w:t xml:space="preserve">avrhovaná úprava nemá zámer vytvoriť zo Smernice OECD záväzný prameň práva v SR, čo vyplýva priamo z jej charakteru, nakoľko nepredstavuje normatívny text. </w:t>
      </w:r>
    </w:p>
    <w:p w14:paraId="7B5D7BCE" w14:textId="257F820E" w:rsidR="00AC01AC" w:rsidRPr="00CE6B04" w:rsidRDefault="0050727D" w:rsidP="0050727D">
      <w:pPr>
        <w:spacing w:after="0" w:line="240" w:lineRule="auto"/>
        <w:jc w:val="both"/>
        <w:rPr>
          <w:rFonts w:ascii="Times New Roman" w:hAnsi="Times New Roman"/>
          <w:sz w:val="24"/>
          <w:szCs w:val="24"/>
        </w:rPr>
      </w:pPr>
      <w:r w:rsidRPr="00CE6B04">
        <w:rPr>
          <w:rFonts w:ascii="Times New Roman" w:hAnsi="Times New Roman" w:cs="Times New Roman"/>
          <w:sz w:val="24"/>
          <w:szCs w:val="24"/>
        </w:rPr>
        <w:t xml:space="preserve">Do ustanovenia sa zároveň z dôvodu právnej istoty dopĺňa postup správcu dane v situáciách, kedy ceny použité daňovým subjektom v transakcii so závislou osobou nezodpovedajú princípu nezávislého vzťahu podľa §17 ods. 5 písm. a), zvlášť keď ceny zodpovedajúce princípu nezávislého vzťahu sa zisťujú ako interval pozorovaných nezávislých hodnôt a hodnota použitá daňovým subjektom je mimo nezávislého intervalu. </w:t>
      </w:r>
      <w:r w:rsidRPr="00CE6B04">
        <w:rPr>
          <w:rFonts w:ascii="Times New Roman" w:hAnsi="Times New Roman"/>
          <w:sz w:val="24"/>
          <w:szCs w:val="24"/>
        </w:rPr>
        <w:t>Pokiaľ daňovník preukáže, že vzhľadom na okolnosti prípadu je vhodnejšia úprava na inú hodnotu v rámci rozpätia nezávislých hodnôt, základ dane sa upraví podľa tejto hodnoty.</w:t>
      </w:r>
    </w:p>
    <w:p w14:paraId="27AD13C0" w14:textId="77777777" w:rsidR="0050727D" w:rsidRPr="00AB3F4F" w:rsidRDefault="0050727D" w:rsidP="0050727D">
      <w:pPr>
        <w:spacing w:after="0" w:line="240" w:lineRule="auto"/>
        <w:jc w:val="both"/>
        <w:rPr>
          <w:rFonts w:ascii="Times New Roman" w:hAnsi="Times New Roman" w:cs="Times New Roman"/>
          <w:sz w:val="24"/>
          <w:szCs w:val="24"/>
        </w:rPr>
      </w:pPr>
    </w:p>
    <w:p w14:paraId="4C6381C0" w14:textId="4D8F3143" w:rsidR="00AC01AC" w:rsidRPr="00AB3F4F" w:rsidRDefault="00AC01AC" w:rsidP="00AC01AC">
      <w:pPr>
        <w:keepNext/>
        <w:spacing w:after="0" w:line="240" w:lineRule="auto"/>
        <w:jc w:val="both"/>
        <w:rPr>
          <w:rFonts w:ascii="Times New Roman" w:hAnsi="Times New Roman" w:cs="Times New Roman"/>
          <w:b/>
          <w:sz w:val="24"/>
          <w:szCs w:val="24"/>
        </w:rPr>
      </w:pPr>
      <w:r w:rsidRPr="00AB3F4F">
        <w:rPr>
          <w:rFonts w:ascii="Times New Roman" w:hAnsi="Times New Roman" w:cs="Times New Roman"/>
          <w:b/>
          <w:sz w:val="24"/>
          <w:szCs w:val="24"/>
        </w:rPr>
        <w:t>K bodom 1</w:t>
      </w:r>
      <w:r w:rsidR="00C578F1">
        <w:rPr>
          <w:rFonts w:ascii="Times New Roman" w:hAnsi="Times New Roman" w:cs="Times New Roman"/>
          <w:b/>
          <w:sz w:val="24"/>
          <w:szCs w:val="24"/>
        </w:rPr>
        <w:t>4</w:t>
      </w:r>
      <w:r w:rsidRPr="00AB3F4F">
        <w:rPr>
          <w:rFonts w:ascii="Times New Roman" w:hAnsi="Times New Roman" w:cs="Times New Roman"/>
          <w:b/>
          <w:sz w:val="24"/>
          <w:szCs w:val="24"/>
        </w:rPr>
        <w:t xml:space="preserve"> až 1</w:t>
      </w:r>
      <w:r w:rsidR="00C578F1">
        <w:rPr>
          <w:rFonts w:ascii="Times New Roman" w:hAnsi="Times New Roman" w:cs="Times New Roman"/>
          <w:b/>
          <w:sz w:val="24"/>
          <w:szCs w:val="24"/>
        </w:rPr>
        <w:t>8</w:t>
      </w:r>
      <w:r w:rsidRPr="00AB3F4F">
        <w:rPr>
          <w:rFonts w:ascii="Times New Roman" w:hAnsi="Times New Roman" w:cs="Times New Roman"/>
          <w:b/>
          <w:sz w:val="24"/>
          <w:szCs w:val="24"/>
        </w:rPr>
        <w:t xml:space="preserve"> </w:t>
      </w:r>
      <w:r w:rsidR="0001107A">
        <w:rPr>
          <w:rFonts w:ascii="Times New Roman" w:hAnsi="Times New Roman" w:cs="Times New Roman"/>
          <w:b/>
          <w:sz w:val="24"/>
          <w:szCs w:val="24"/>
        </w:rPr>
        <w:t xml:space="preserve">- </w:t>
      </w:r>
      <w:r w:rsidRPr="00AB3F4F">
        <w:rPr>
          <w:rFonts w:ascii="Times New Roman" w:hAnsi="Times New Roman" w:cs="Times New Roman"/>
          <w:b/>
          <w:sz w:val="24"/>
          <w:szCs w:val="24"/>
        </w:rPr>
        <w:t xml:space="preserve">§ 18 ods. 2 a 3 </w:t>
      </w:r>
    </w:p>
    <w:p w14:paraId="20757C97" w14:textId="77777777" w:rsidR="00AC01AC" w:rsidRDefault="00AC01AC" w:rsidP="00AC01AC">
      <w:pPr>
        <w:spacing w:after="0" w:line="240" w:lineRule="auto"/>
        <w:jc w:val="both"/>
        <w:rPr>
          <w:rFonts w:ascii="Times New Roman" w:hAnsi="Times New Roman" w:cs="Times New Roman"/>
          <w:sz w:val="24"/>
          <w:szCs w:val="24"/>
        </w:rPr>
      </w:pPr>
      <w:r w:rsidRPr="00AB3F4F">
        <w:rPr>
          <w:rFonts w:ascii="Times New Roman" w:hAnsi="Times New Roman" w:cs="Times New Roman"/>
          <w:sz w:val="24"/>
          <w:szCs w:val="24"/>
        </w:rPr>
        <w:t>V § 18 ods. 2 písm. c) ZDP ide o legislatívno-technickú úpravu v súvislosti so zmenou definície v § 17 ods. 5 ZDP, v rámci ktorej sa pojem „obchodný vzťah“ nahradil pojmom „právny vzťah alebo iný obdobný vzťah“.</w:t>
      </w:r>
      <w:r>
        <w:rPr>
          <w:rFonts w:ascii="Times New Roman" w:hAnsi="Times New Roman" w:cs="Times New Roman"/>
          <w:sz w:val="24"/>
          <w:szCs w:val="24"/>
        </w:rPr>
        <w:t xml:space="preserve"> </w:t>
      </w:r>
    </w:p>
    <w:p w14:paraId="56397E87" w14:textId="77777777" w:rsidR="00AC01AC" w:rsidRDefault="00AC01AC" w:rsidP="00AC0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Ustanovenia </w:t>
      </w:r>
      <w:r w:rsidRPr="00F97E9B">
        <w:rPr>
          <w:rFonts w:ascii="Times New Roman" w:hAnsi="Times New Roman" w:cs="Times New Roman"/>
          <w:sz w:val="24"/>
          <w:szCs w:val="24"/>
        </w:rPr>
        <w:t>§ 18 ods. 2 a 3 ZDP</w:t>
      </w:r>
      <w:r>
        <w:rPr>
          <w:rFonts w:ascii="Times New Roman" w:hAnsi="Times New Roman" w:cs="Times New Roman"/>
          <w:sz w:val="24"/>
          <w:szCs w:val="24"/>
        </w:rPr>
        <w:t xml:space="preserve"> sa upravujú vzhľadom na potrebu zosúladenia znenia s aktuálnou metodikou Smernice OECD. V § 18 ods. 2 písm. b) a c) sa uvedené pojmy nahrádzajú novými, z dôvodu vhodnejšieho odlišovania metódy </w:t>
      </w:r>
      <w:r w:rsidRPr="00F97E9B">
        <w:rPr>
          <w:rFonts w:ascii="Times New Roman" w:hAnsi="Times New Roman" w:cs="Times New Roman"/>
          <w:sz w:val="24"/>
          <w:szCs w:val="24"/>
        </w:rPr>
        <w:t>následného predaja</w:t>
      </w:r>
      <w:r>
        <w:rPr>
          <w:rFonts w:ascii="Times New Roman" w:hAnsi="Times New Roman" w:cs="Times New Roman"/>
          <w:sz w:val="24"/>
          <w:szCs w:val="24"/>
        </w:rPr>
        <w:t xml:space="preserve"> a metódy zvýšených nákladov od </w:t>
      </w:r>
      <w:r w:rsidRPr="00F97E9B">
        <w:rPr>
          <w:rFonts w:ascii="Times New Roman" w:hAnsi="Times New Roman" w:cs="Times New Roman"/>
          <w:sz w:val="24"/>
          <w:szCs w:val="24"/>
        </w:rPr>
        <w:t>metódy čistého obchodného rozpätia podľa §</w:t>
      </w:r>
      <w:r>
        <w:rPr>
          <w:rFonts w:ascii="Times New Roman" w:hAnsi="Times New Roman" w:cs="Times New Roman"/>
          <w:sz w:val="24"/>
          <w:szCs w:val="24"/>
        </w:rPr>
        <w:t xml:space="preserve"> 18 ods. 3 písm. b) ZDP. </w:t>
      </w:r>
    </w:p>
    <w:p w14:paraId="76B7DA6E" w14:textId="77777777" w:rsidR="00AC01AC" w:rsidRDefault="00AC01AC" w:rsidP="00AC01AC">
      <w:pPr>
        <w:spacing w:after="0" w:line="240" w:lineRule="auto"/>
        <w:jc w:val="both"/>
        <w:rPr>
          <w:rFonts w:ascii="Times New Roman" w:hAnsi="Times New Roman" w:cs="Times New Roman"/>
          <w:sz w:val="24"/>
          <w:szCs w:val="24"/>
        </w:rPr>
      </w:pPr>
    </w:p>
    <w:p w14:paraId="0643A28E" w14:textId="103CD8E3" w:rsidR="00AC01AC" w:rsidRDefault="00AC01AC" w:rsidP="00AC01A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w:t>
      </w:r>
      <w:r w:rsidR="00C578F1">
        <w:rPr>
          <w:rFonts w:ascii="Times New Roman" w:hAnsi="Times New Roman" w:cs="Times New Roman"/>
          <w:b/>
          <w:sz w:val="24"/>
          <w:szCs w:val="24"/>
        </w:rPr>
        <w:t>9</w:t>
      </w:r>
      <w:r>
        <w:rPr>
          <w:rFonts w:ascii="Times New Roman" w:hAnsi="Times New Roman" w:cs="Times New Roman"/>
          <w:b/>
          <w:sz w:val="24"/>
          <w:szCs w:val="24"/>
        </w:rPr>
        <w:t xml:space="preserve"> </w:t>
      </w:r>
      <w:r w:rsidR="000E2B6A">
        <w:rPr>
          <w:rFonts w:ascii="Times New Roman" w:hAnsi="Times New Roman" w:cs="Times New Roman"/>
          <w:b/>
          <w:sz w:val="24"/>
          <w:szCs w:val="24"/>
        </w:rPr>
        <w:t xml:space="preserve">- </w:t>
      </w:r>
      <w:r>
        <w:rPr>
          <w:rFonts w:ascii="Times New Roman" w:hAnsi="Times New Roman" w:cs="Times New Roman"/>
          <w:b/>
          <w:sz w:val="24"/>
          <w:szCs w:val="24"/>
        </w:rPr>
        <w:t>§ 18 ods. 5</w:t>
      </w:r>
    </w:p>
    <w:p w14:paraId="6BBFC6F9" w14:textId="77777777" w:rsidR="00AC01AC" w:rsidRDefault="00AC01AC" w:rsidP="00AC0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účelom odstránenia problémov, pri vydávaní rozhodnutí </w:t>
      </w:r>
      <w:r w:rsidRPr="002D1BC0">
        <w:rPr>
          <w:rFonts w:ascii="Times New Roman" w:hAnsi="Times New Roman" w:cs="Times New Roman"/>
          <w:sz w:val="24"/>
          <w:szCs w:val="24"/>
        </w:rPr>
        <w:t>o  bilaterálnych a multilaterálnych odsúhlasení použitia metódy ocenenia</w:t>
      </w:r>
      <w:r>
        <w:rPr>
          <w:rFonts w:ascii="Times New Roman" w:hAnsi="Times New Roman" w:cs="Times New Roman"/>
          <w:sz w:val="24"/>
          <w:szCs w:val="24"/>
        </w:rPr>
        <w:t xml:space="preserve">,  </w:t>
      </w:r>
      <w:r w:rsidRPr="002D1BC0">
        <w:rPr>
          <w:rFonts w:ascii="Times New Roman" w:hAnsi="Times New Roman" w:cs="Times New Roman"/>
          <w:sz w:val="24"/>
          <w:szCs w:val="24"/>
        </w:rPr>
        <w:t>v prípade ak sa kompetentné orgány dohodli na použití metódy ocenenia aj za zdaňovacie obdobia pred podaním žiadosti (tzv. „</w:t>
      </w:r>
      <w:proofErr w:type="spellStart"/>
      <w:r w:rsidRPr="002D1BC0">
        <w:rPr>
          <w:rFonts w:ascii="Times New Roman" w:hAnsi="Times New Roman" w:cs="Times New Roman"/>
          <w:sz w:val="24"/>
          <w:szCs w:val="24"/>
        </w:rPr>
        <w:t>rollback</w:t>
      </w:r>
      <w:proofErr w:type="spellEnd"/>
      <w:r w:rsidRPr="002D1BC0">
        <w:rPr>
          <w:rFonts w:ascii="Times New Roman" w:hAnsi="Times New Roman" w:cs="Times New Roman"/>
          <w:sz w:val="24"/>
          <w:szCs w:val="24"/>
        </w:rPr>
        <w:t>“)</w:t>
      </w:r>
      <w:r>
        <w:rPr>
          <w:rFonts w:ascii="Times New Roman" w:hAnsi="Times New Roman" w:cs="Times New Roman"/>
          <w:sz w:val="24"/>
          <w:szCs w:val="24"/>
        </w:rPr>
        <w:t xml:space="preserve"> sa dopĺňa možnosť vydať rozhodnutie aj </w:t>
      </w:r>
      <w:r w:rsidRPr="002D1BC0">
        <w:rPr>
          <w:rFonts w:ascii="Times New Roman" w:hAnsi="Times New Roman" w:cs="Times New Roman"/>
          <w:sz w:val="24"/>
          <w:szCs w:val="24"/>
        </w:rPr>
        <w:t>na viac ako päť zdaňovacích období</w:t>
      </w:r>
      <w:r>
        <w:rPr>
          <w:rFonts w:ascii="Times New Roman" w:hAnsi="Times New Roman" w:cs="Times New Roman"/>
          <w:sz w:val="24"/>
          <w:szCs w:val="24"/>
        </w:rPr>
        <w:t>.</w:t>
      </w:r>
    </w:p>
    <w:p w14:paraId="374130CC" w14:textId="77777777" w:rsidR="00AC01AC" w:rsidRDefault="00AC01AC" w:rsidP="00AC01AC">
      <w:pPr>
        <w:keepNext/>
        <w:spacing w:after="0" w:line="240" w:lineRule="auto"/>
        <w:jc w:val="both"/>
        <w:rPr>
          <w:rFonts w:ascii="Times New Roman" w:hAnsi="Times New Roman" w:cs="Times New Roman"/>
          <w:b/>
          <w:sz w:val="24"/>
          <w:szCs w:val="24"/>
        </w:rPr>
      </w:pPr>
    </w:p>
    <w:p w14:paraId="5AF9E324" w14:textId="7839F3E1" w:rsidR="00AC01AC" w:rsidRPr="00F97E9B" w:rsidRDefault="00AC01AC" w:rsidP="00AC01AC">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w:t>
      </w:r>
      <w:r w:rsidR="00B4239E">
        <w:rPr>
          <w:rFonts w:ascii="Times New Roman" w:hAnsi="Times New Roman" w:cs="Times New Roman"/>
          <w:b/>
          <w:sz w:val="24"/>
          <w:szCs w:val="24"/>
        </w:rPr>
        <w:t>u</w:t>
      </w:r>
      <w:r>
        <w:rPr>
          <w:rFonts w:ascii="Times New Roman" w:hAnsi="Times New Roman" w:cs="Times New Roman"/>
          <w:b/>
          <w:sz w:val="24"/>
          <w:szCs w:val="24"/>
        </w:rPr>
        <w:t xml:space="preserve"> </w:t>
      </w:r>
      <w:r w:rsidR="00C578F1">
        <w:rPr>
          <w:rFonts w:ascii="Times New Roman" w:hAnsi="Times New Roman" w:cs="Times New Roman"/>
          <w:b/>
          <w:sz w:val="24"/>
          <w:szCs w:val="24"/>
        </w:rPr>
        <w:t>20</w:t>
      </w:r>
      <w:r>
        <w:rPr>
          <w:rFonts w:ascii="Times New Roman" w:hAnsi="Times New Roman" w:cs="Times New Roman"/>
          <w:b/>
          <w:sz w:val="24"/>
          <w:szCs w:val="24"/>
        </w:rPr>
        <w:t xml:space="preserve"> </w:t>
      </w:r>
      <w:r w:rsidR="000E2B6A">
        <w:rPr>
          <w:rFonts w:ascii="Times New Roman" w:hAnsi="Times New Roman" w:cs="Times New Roman"/>
          <w:b/>
          <w:sz w:val="24"/>
          <w:szCs w:val="24"/>
        </w:rPr>
        <w:t xml:space="preserve">- </w:t>
      </w:r>
      <w:r>
        <w:rPr>
          <w:rFonts w:ascii="Times New Roman" w:hAnsi="Times New Roman" w:cs="Times New Roman"/>
          <w:b/>
          <w:sz w:val="24"/>
          <w:szCs w:val="24"/>
        </w:rPr>
        <w:t>§ 18 ods. 11</w:t>
      </w:r>
    </w:p>
    <w:p w14:paraId="3F8BBE89" w14:textId="77777777" w:rsidR="00AC01AC" w:rsidRDefault="00AC01AC" w:rsidP="00AC01AC">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účelom odstránenia pretrvávajúcich problémov, ktoré v praxi spôsobuje aktuálne znenie § 18 ods. 11 ZDP sa mení </w:t>
      </w:r>
      <w:r w:rsidRPr="001F4550">
        <w:rPr>
          <w:rFonts w:ascii="Times New Roman" w:hAnsi="Times New Roman" w:cs="Times New Roman"/>
          <w:sz w:val="24"/>
          <w:szCs w:val="24"/>
        </w:rPr>
        <w:t xml:space="preserve">postup predkladania dokumentácie, a to tak, </w:t>
      </w:r>
      <w:r>
        <w:rPr>
          <w:rFonts w:ascii="Times New Roman" w:hAnsi="Times New Roman" w:cs="Times New Roman"/>
          <w:sz w:val="24"/>
          <w:szCs w:val="24"/>
        </w:rPr>
        <w:t xml:space="preserve">aby bolo možné dokumentáciu </w:t>
      </w:r>
      <w:r w:rsidRPr="001F4550">
        <w:rPr>
          <w:rFonts w:ascii="Times New Roman" w:hAnsi="Times New Roman" w:cs="Times New Roman"/>
          <w:sz w:val="24"/>
          <w:szCs w:val="24"/>
        </w:rPr>
        <w:t>najprv predložiť v cudzom jazyku a následne, ak by správca dane</w:t>
      </w:r>
      <w:r>
        <w:rPr>
          <w:rFonts w:ascii="Times New Roman" w:hAnsi="Times New Roman" w:cs="Times New Roman"/>
          <w:sz w:val="24"/>
          <w:szCs w:val="24"/>
        </w:rPr>
        <w:t xml:space="preserve"> požadoval </w:t>
      </w:r>
      <w:r w:rsidRPr="001F4550">
        <w:rPr>
          <w:rFonts w:ascii="Times New Roman" w:hAnsi="Times New Roman" w:cs="Times New Roman"/>
          <w:sz w:val="24"/>
          <w:szCs w:val="24"/>
        </w:rPr>
        <w:t xml:space="preserve">dokumentáciu </w:t>
      </w:r>
      <w:r>
        <w:rPr>
          <w:rFonts w:ascii="Times New Roman" w:hAnsi="Times New Roman" w:cs="Times New Roman"/>
          <w:sz w:val="24"/>
          <w:szCs w:val="24"/>
        </w:rPr>
        <w:t xml:space="preserve">aj v štátnom jazyku, tak má možnosť </w:t>
      </w:r>
      <w:r w:rsidRPr="001F4550">
        <w:rPr>
          <w:rFonts w:ascii="Times New Roman" w:hAnsi="Times New Roman" w:cs="Times New Roman"/>
          <w:sz w:val="24"/>
          <w:szCs w:val="24"/>
        </w:rPr>
        <w:t>vyzva</w:t>
      </w:r>
      <w:r>
        <w:rPr>
          <w:rFonts w:ascii="Times New Roman" w:hAnsi="Times New Roman" w:cs="Times New Roman"/>
          <w:sz w:val="24"/>
          <w:szCs w:val="24"/>
        </w:rPr>
        <w:t>ť</w:t>
      </w:r>
      <w:r w:rsidRPr="001F4550">
        <w:rPr>
          <w:rFonts w:ascii="Times New Roman" w:hAnsi="Times New Roman" w:cs="Times New Roman"/>
          <w:sz w:val="24"/>
          <w:szCs w:val="24"/>
        </w:rPr>
        <w:t xml:space="preserve"> daňovníka a ten by bol povinný v</w:t>
      </w:r>
      <w:r>
        <w:rPr>
          <w:rFonts w:ascii="Times New Roman" w:hAnsi="Times New Roman" w:cs="Times New Roman"/>
          <w:sz w:val="24"/>
          <w:szCs w:val="24"/>
        </w:rPr>
        <w:t xml:space="preserve"> lehote do</w:t>
      </w:r>
      <w:r w:rsidRPr="001F4550">
        <w:rPr>
          <w:rFonts w:ascii="Times New Roman" w:hAnsi="Times New Roman" w:cs="Times New Roman"/>
          <w:sz w:val="24"/>
          <w:szCs w:val="24"/>
        </w:rPr>
        <w:t xml:space="preserve"> 15 dní</w:t>
      </w:r>
      <w:r>
        <w:rPr>
          <w:rFonts w:ascii="Times New Roman" w:hAnsi="Times New Roman" w:cs="Times New Roman"/>
          <w:sz w:val="24"/>
          <w:szCs w:val="24"/>
        </w:rPr>
        <w:t xml:space="preserve"> odo dňa doručenia výzvy predložiť dokumentáciu</w:t>
      </w:r>
      <w:r w:rsidRPr="001F4550">
        <w:rPr>
          <w:rFonts w:ascii="Times New Roman" w:hAnsi="Times New Roman" w:cs="Times New Roman"/>
          <w:sz w:val="24"/>
          <w:szCs w:val="24"/>
        </w:rPr>
        <w:t xml:space="preserve"> v štátnom jazyku.</w:t>
      </w:r>
      <w:r>
        <w:rPr>
          <w:rFonts w:ascii="Times New Roman" w:hAnsi="Times New Roman" w:cs="Times New Roman"/>
          <w:sz w:val="24"/>
          <w:szCs w:val="24"/>
        </w:rPr>
        <w:t xml:space="preserve"> </w:t>
      </w:r>
    </w:p>
    <w:p w14:paraId="6F195B2B" w14:textId="77777777" w:rsidR="00AC01AC" w:rsidRPr="00F97E9B" w:rsidRDefault="00AC01AC" w:rsidP="00AC01AC">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Uvedenou zmenou sa vyrieši problém pri predkladaní dokumentácie ako na strane daňovníka tak aj na strane správcu dane, alebo finančného riaditeľstva.  </w:t>
      </w:r>
    </w:p>
    <w:p w14:paraId="3ACB72D0" w14:textId="77777777" w:rsidR="00AC01AC" w:rsidRDefault="00AC01AC" w:rsidP="00AC01AC">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Zároveň sa vypúšťa slovné spojenie </w:t>
      </w:r>
      <w:r w:rsidRPr="00F97E9B">
        <w:rPr>
          <w:rFonts w:ascii="Times New Roman" w:hAnsi="Times New Roman" w:cs="Times New Roman"/>
          <w:sz w:val="24"/>
          <w:szCs w:val="24"/>
        </w:rPr>
        <w:t>„v odôvodnených prípadoch“.</w:t>
      </w:r>
      <w:r>
        <w:rPr>
          <w:rFonts w:ascii="Times New Roman" w:hAnsi="Times New Roman" w:cs="Times New Roman"/>
          <w:sz w:val="24"/>
          <w:szCs w:val="24"/>
        </w:rPr>
        <w:t xml:space="preserve"> S</w:t>
      </w:r>
      <w:r w:rsidRPr="00F97E9B">
        <w:rPr>
          <w:rFonts w:ascii="Times New Roman" w:hAnsi="Times New Roman" w:cs="Times New Roman"/>
          <w:sz w:val="24"/>
          <w:szCs w:val="24"/>
        </w:rPr>
        <w:t>právca dane alebo finančné riaditeľstvo vydáva výzvu na predloženie dokumentácie na základe vlastnej úvahy, spravidla po predbežnom vyhodnotení miery rizika nesprávneho nastavenia transferových cien u daňového subjektu.</w:t>
      </w:r>
    </w:p>
    <w:p w14:paraId="2A006883" w14:textId="77777777" w:rsidR="000E2B6A" w:rsidRDefault="000E2B6A" w:rsidP="00AC01AC">
      <w:pPr>
        <w:keepNext/>
        <w:spacing w:after="0" w:line="240" w:lineRule="auto"/>
        <w:jc w:val="both"/>
        <w:rPr>
          <w:rFonts w:ascii="Times New Roman" w:hAnsi="Times New Roman" w:cs="Times New Roman"/>
          <w:sz w:val="24"/>
          <w:szCs w:val="24"/>
        </w:rPr>
      </w:pPr>
    </w:p>
    <w:p w14:paraId="6CB61FFC" w14:textId="4C28517D" w:rsidR="000E2B6A" w:rsidRPr="000E2B6A" w:rsidRDefault="00BC5995" w:rsidP="00AC01AC">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w:t>
      </w:r>
      <w:r w:rsidR="00C578F1">
        <w:rPr>
          <w:rFonts w:ascii="Times New Roman" w:hAnsi="Times New Roman" w:cs="Times New Roman"/>
          <w:b/>
          <w:sz w:val="24"/>
          <w:szCs w:val="24"/>
        </w:rPr>
        <w:t>1</w:t>
      </w:r>
      <w:r w:rsidR="000E2B6A" w:rsidRPr="000E2B6A">
        <w:rPr>
          <w:rFonts w:ascii="Times New Roman" w:hAnsi="Times New Roman" w:cs="Times New Roman"/>
          <w:b/>
          <w:sz w:val="24"/>
          <w:szCs w:val="24"/>
        </w:rPr>
        <w:t xml:space="preserve"> - § 19 ods. 2 písm. h) siedmy bod</w:t>
      </w:r>
    </w:p>
    <w:p w14:paraId="21F601CE" w14:textId="2D34A194" w:rsidR="000E2B6A" w:rsidRDefault="000E2B6A" w:rsidP="000E2B6A">
      <w:pPr>
        <w:shd w:val="clear" w:color="auto" w:fill="FFFFFF"/>
        <w:spacing w:after="0" w:line="240" w:lineRule="auto"/>
        <w:jc w:val="both"/>
        <w:rPr>
          <w:rFonts w:ascii="Times New Roman" w:eastAsia="Times New Roman" w:hAnsi="Times New Roman" w:cs="Times New Roman"/>
          <w:bCs/>
          <w:kern w:val="36"/>
          <w:sz w:val="24"/>
          <w:szCs w:val="24"/>
          <w:lang w:eastAsia="cs-CZ"/>
        </w:rPr>
      </w:pPr>
      <w:r w:rsidRPr="000E2B6A">
        <w:rPr>
          <w:rFonts w:ascii="Times New Roman" w:eastAsia="Times New Roman" w:hAnsi="Times New Roman" w:cs="Times New Roman"/>
          <w:bCs/>
          <w:kern w:val="36"/>
          <w:sz w:val="24"/>
          <w:szCs w:val="24"/>
          <w:lang w:eastAsia="cs-CZ"/>
        </w:rPr>
        <w:t xml:space="preserve">Do ustanovenia § 19 ods. 2 písm. h) zákona č. 595/2003 Z. z. o dani z príjmov v znení neskorších predpisov, ktorý upravuje situácie tzv. zákonného a daňovo uznaného odpisu pohľadávok, sa dopĺňa situácia zániku pohľadávky v dôsledku jej odpustenia pri tzv. </w:t>
      </w:r>
      <w:r w:rsidRPr="000E2B6A">
        <w:rPr>
          <w:rFonts w:ascii="Times New Roman" w:eastAsia="Times New Roman" w:hAnsi="Times New Roman" w:cs="Times New Roman"/>
          <w:bCs/>
          <w:kern w:val="36"/>
          <w:sz w:val="24"/>
          <w:szCs w:val="24"/>
          <w:lang w:eastAsia="cs-CZ"/>
        </w:rPr>
        <w:lastRenderedPageBreak/>
        <w:t xml:space="preserve">preventívnej reštrukturalizácii podľa zákona č. 111/2022 Z. z. o riešení hroziaceho úpadku a o zmene a doplnení niektorých zákonov. Predmetom zákona o riešení hroziaceho úpadku, ktorý upravuje inštitúty verejnej a neverejnej preventívnej reštrukturalizácie a ktorý je transpozíciou </w:t>
      </w:r>
      <w:r w:rsidR="00C65C3E" w:rsidRPr="00CE6B04">
        <w:rPr>
          <w:rFonts w:ascii="Times New Roman" w:eastAsia="Times New Roman" w:hAnsi="Times New Roman" w:cs="Times New Roman"/>
          <w:bCs/>
          <w:kern w:val="36"/>
          <w:sz w:val="24"/>
          <w:szCs w:val="24"/>
          <w:lang w:eastAsia="cs-CZ"/>
        </w:rPr>
        <w:t>s</w:t>
      </w:r>
      <w:r w:rsidRPr="00CE6B04">
        <w:rPr>
          <w:rFonts w:ascii="Times New Roman" w:eastAsia="Times New Roman" w:hAnsi="Times New Roman" w:cs="Times New Roman"/>
          <w:bCs/>
          <w:kern w:val="36"/>
          <w:sz w:val="24"/>
          <w:szCs w:val="24"/>
          <w:lang w:eastAsia="cs-CZ"/>
        </w:rPr>
        <w:t xml:space="preserve">mernice </w:t>
      </w:r>
      <w:r w:rsidR="0050727D" w:rsidRPr="00CE6B04">
        <w:rPr>
          <w:rFonts w:ascii="Times New Roman" w:eastAsia="Times New Roman" w:hAnsi="Times New Roman" w:cs="Times New Roman"/>
          <w:bCs/>
          <w:kern w:val="36"/>
          <w:sz w:val="24"/>
          <w:szCs w:val="24"/>
          <w:lang w:eastAsia="cs-CZ"/>
        </w:rPr>
        <w:t xml:space="preserve">Európskeho parlamentu a Rady </w:t>
      </w:r>
      <w:r w:rsidRPr="000E2B6A">
        <w:rPr>
          <w:rFonts w:ascii="Times New Roman" w:eastAsia="Times New Roman" w:hAnsi="Times New Roman" w:cs="Times New Roman"/>
          <w:bCs/>
          <w:kern w:val="36"/>
          <w:sz w:val="24"/>
          <w:szCs w:val="24"/>
          <w:lang w:eastAsia="cs-CZ"/>
        </w:rPr>
        <w:t>EÚ 2019/1023 z 20. júna 2019 o rámcoch preventívnej reštrukturalizácie, o oddlžení a diskvalifikácii a o opatreniach na zvýšenie účinnosti reštrukturalizačných, konkurzných a </w:t>
      </w:r>
      <w:proofErr w:type="spellStart"/>
      <w:r w:rsidRPr="000E2B6A">
        <w:rPr>
          <w:rFonts w:ascii="Times New Roman" w:eastAsia="Times New Roman" w:hAnsi="Times New Roman" w:cs="Times New Roman"/>
          <w:bCs/>
          <w:kern w:val="36"/>
          <w:sz w:val="24"/>
          <w:szCs w:val="24"/>
          <w:lang w:eastAsia="cs-CZ"/>
        </w:rPr>
        <w:t>oddlžovacích</w:t>
      </w:r>
      <w:proofErr w:type="spellEnd"/>
      <w:r w:rsidRPr="000E2B6A">
        <w:rPr>
          <w:rFonts w:ascii="Times New Roman" w:eastAsia="Times New Roman" w:hAnsi="Times New Roman" w:cs="Times New Roman"/>
          <w:bCs/>
          <w:kern w:val="36"/>
          <w:sz w:val="24"/>
          <w:szCs w:val="24"/>
          <w:lang w:eastAsia="cs-CZ"/>
        </w:rPr>
        <w:t xml:space="preserve"> konaní a o zmene smernice (EÚ) 2017/1132 (Smernica o reštrukturalizácii a insolvencii) (Ú. v. EÚ L 172, 26.6.2019), je riešiť hroziaci úpadok v preventívnom konaní prostredníctvom súboru reštrukturalizačných opatrení. Jedným z reštrukturalizačných opatrení je aj odpustenie, resp. čiastočné odpustenie záväzku (pohľadávky). Preventívna reštrukturalizácia spočíva na aktívnom jednaní dlžníka, ktorý podáva návrh na jej začatie. Úlohou je vypracovať plán, ktorý obsahuje reštrukturalizačné opatrenia, a v rámci nich môže obsahovať aj odpustenie záväzku dlžníka. Takéto odpustenie záväzku v preventívnej reštrukturalizácii je u veriteľa porovnateľné s ostatnými situáciami odpisu pohľadávky uvedenými v ostatných bodoch v § 19 ods. 2 písm. h) zákona o dani z príjmov. Preto pohľadávka bude v rozsahu, v akom je záväzok (dlh) podľa potvrdeného plánu odpustený, u veriteľa daňovým výdavkom. Na strane dlžníka sa bude naďalej postupovať štandardne, ako zákon o dani z príjmov pri odpise záväzku predpokladá (buď ako súčasť výsledku hospodárenia alebo uplatnením § 17 ods. 32). </w:t>
      </w:r>
    </w:p>
    <w:p w14:paraId="75B00E08" w14:textId="77777777" w:rsidR="000E2B6A" w:rsidRDefault="000E2B6A" w:rsidP="000E2B6A">
      <w:pPr>
        <w:shd w:val="clear" w:color="auto" w:fill="FFFFFF"/>
        <w:spacing w:after="0" w:line="240" w:lineRule="auto"/>
        <w:jc w:val="both"/>
        <w:rPr>
          <w:rFonts w:ascii="Times New Roman" w:eastAsia="Times New Roman" w:hAnsi="Times New Roman" w:cs="Times New Roman"/>
          <w:bCs/>
          <w:kern w:val="36"/>
          <w:sz w:val="24"/>
          <w:szCs w:val="24"/>
          <w:lang w:eastAsia="cs-CZ"/>
        </w:rPr>
      </w:pPr>
    </w:p>
    <w:p w14:paraId="7E172CB5" w14:textId="6692C8D4" w:rsidR="000E2B6A" w:rsidRDefault="000E2B6A" w:rsidP="000E2B6A">
      <w:pPr>
        <w:shd w:val="clear" w:color="auto" w:fill="FFFFFF"/>
        <w:spacing w:after="0" w:line="240" w:lineRule="auto"/>
        <w:jc w:val="both"/>
        <w:rPr>
          <w:rFonts w:ascii="Times New Roman" w:eastAsia="Times New Roman" w:hAnsi="Times New Roman" w:cs="Times New Roman"/>
          <w:bCs/>
          <w:kern w:val="36"/>
          <w:sz w:val="24"/>
          <w:szCs w:val="24"/>
          <w:lang w:eastAsia="cs-CZ"/>
        </w:rPr>
      </w:pPr>
      <w:r>
        <w:rPr>
          <w:rFonts w:ascii="Times New Roman" w:hAnsi="Times New Roman" w:cs="Times New Roman"/>
          <w:b/>
          <w:sz w:val="24"/>
          <w:szCs w:val="24"/>
        </w:rPr>
        <w:t>K bodom 2</w:t>
      </w:r>
      <w:r w:rsidR="00C578F1">
        <w:rPr>
          <w:rFonts w:ascii="Times New Roman" w:hAnsi="Times New Roman" w:cs="Times New Roman"/>
          <w:b/>
          <w:sz w:val="24"/>
          <w:szCs w:val="24"/>
        </w:rPr>
        <w:t>2</w:t>
      </w:r>
      <w:r>
        <w:rPr>
          <w:rFonts w:ascii="Times New Roman" w:hAnsi="Times New Roman" w:cs="Times New Roman"/>
          <w:b/>
          <w:sz w:val="24"/>
          <w:szCs w:val="24"/>
        </w:rPr>
        <w:t xml:space="preserve"> a 2</w:t>
      </w:r>
      <w:r w:rsidR="00C578F1">
        <w:rPr>
          <w:rFonts w:ascii="Times New Roman" w:hAnsi="Times New Roman" w:cs="Times New Roman"/>
          <w:b/>
          <w:sz w:val="24"/>
          <w:szCs w:val="24"/>
        </w:rPr>
        <w:t>4</w:t>
      </w:r>
      <w:r>
        <w:rPr>
          <w:rFonts w:ascii="Times New Roman" w:hAnsi="Times New Roman" w:cs="Times New Roman"/>
          <w:b/>
          <w:sz w:val="24"/>
          <w:szCs w:val="24"/>
        </w:rPr>
        <w:t xml:space="preserve"> až 2</w:t>
      </w:r>
      <w:r w:rsidR="00C578F1">
        <w:rPr>
          <w:rFonts w:ascii="Times New Roman" w:hAnsi="Times New Roman" w:cs="Times New Roman"/>
          <w:b/>
          <w:sz w:val="24"/>
          <w:szCs w:val="24"/>
        </w:rPr>
        <w:t>6</w:t>
      </w:r>
      <w:r>
        <w:rPr>
          <w:rFonts w:ascii="Times New Roman" w:hAnsi="Times New Roman" w:cs="Times New Roman"/>
          <w:b/>
          <w:sz w:val="24"/>
          <w:szCs w:val="24"/>
        </w:rPr>
        <w:t xml:space="preserve"> - § 20 ods. 2 písm. c), § 20 ods. 11, 12 a 24 </w:t>
      </w:r>
    </w:p>
    <w:p w14:paraId="5A1B19DB" w14:textId="77777777" w:rsidR="000E2B6A" w:rsidRDefault="000E2B6A" w:rsidP="000E2B6A">
      <w:pPr>
        <w:shd w:val="clear" w:color="auto" w:fill="FFFFFF"/>
        <w:spacing w:after="0" w:line="240" w:lineRule="auto"/>
        <w:jc w:val="both"/>
        <w:rPr>
          <w:rFonts w:ascii="Times New Roman" w:eastAsia="Times New Roman" w:hAnsi="Times New Roman" w:cs="Times New Roman"/>
          <w:bCs/>
          <w:kern w:val="36"/>
          <w:sz w:val="24"/>
          <w:szCs w:val="24"/>
          <w:lang w:eastAsia="cs-CZ"/>
        </w:rPr>
      </w:pPr>
      <w:r w:rsidRPr="000E2B6A">
        <w:rPr>
          <w:rFonts w:ascii="Times New Roman" w:eastAsia="Times New Roman" w:hAnsi="Times New Roman" w:cs="Times New Roman"/>
          <w:bCs/>
          <w:kern w:val="36"/>
          <w:sz w:val="24"/>
          <w:szCs w:val="24"/>
          <w:lang w:eastAsia="cs-CZ"/>
        </w:rPr>
        <w:t>Do ustanovenia § 20 sa v ods. 2 písm. c) a ods. 24 dopĺňa možnosť zahrnovania tvorby opravných položiek k pohľadávkam voči dlžníkovi v preventívnom reštrukturalizačnom konaní do daňových výdavkov, a to obdobne, ako je tomu v prípade pohľadávok voči dlžníkovi v tzv. klasickej (úpadkovej) reštrukturalizácii. V</w:t>
      </w:r>
      <w:r>
        <w:rPr>
          <w:rFonts w:ascii="Times New Roman" w:eastAsia="Times New Roman" w:hAnsi="Times New Roman" w:cs="Times New Roman"/>
          <w:bCs/>
          <w:kern w:val="36"/>
          <w:sz w:val="24"/>
          <w:szCs w:val="24"/>
          <w:lang w:eastAsia="cs-CZ"/>
        </w:rPr>
        <w:t xml:space="preserve"> ustanovení § 20 </w:t>
      </w:r>
      <w:r w:rsidRPr="000E2B6A">
        <w:rPr>
          <w:rFonts w:ascii="Times New Roman" w:eastAsia="Times New Roman" w:hAnsi="Times New Roman" w:cs="Times New Roman"/>
          <w:bCs/>
          <w:kern w:val="36"/>
          <w:sz w:val="24"/>
          <w:szCs w:val="24"/>
          <w:lang w:eastAsia="cs-CZ"/>
        </w:rPr>
        <w:t>ods</w:t>
      </w:r>
      <w:r>
        <w:rPr>
          <w:rFonts w:ascii="Times New Roman" w:eastAsia="Times New Roman" w:hAnsi="Times New Roman" w:cs="Times New Roman"/>
          <w:bCs/>
          <w:kern w:val="36"/>
          <w:sz w:val="24"/>
          <w:szCs w:val="24"/>
          <w:lang w:eastAsia="cs-CZ"/>
        </w:rPr>
        <w:t>ekoch</w:t>
      </w:r>
      <w:r w:rsidRPr="000E2B6A">
        <w:rPr>
          <w:rFonts w:ascii="Times New Roman" w:eastAsia="Times New Roman" w:hAnsi="Times New Roman" w:cs="Times New Roman"/>
          <w:bCs/>
          <w:kern w:val="36"/>
          <w:sz w:val="24"/>
          <w:szCs w:val="24"/>
          <w:lang w:eastAsia="cs-CZ"/>
        </w:rPr>
        <w:t xml:space="preserve"> 11 a 12 boli vykonané nadväzujúce úpravy. </w:t>
      </w:r>
    </w:p>
    <w:p w14:paraId="5CBBDB5F" w14:textId="77777777" w:rsidR="000E2B6A" w:rsidRDefault="000E2B6A" w:rsidP="000E2B6A">
      <w:pPr>
        <w:shd w:val="clear" w:color="auto" w:fill="FFFFFF"/>
        <w:spacing w:after="0" w:line="240" w:lineRule="auto"/>
        <w:jc w:val="both"/>
        <w:rPr>
          <w:rFonts w:ascii="Times New Roman" w:eastAsia="Times New Roman" w:hAnsi="Times New Roman" w:cs="Times New Roman"/>
          <w:bCs/>
          <w:kern w:val="36"/>
          <w:sz w:val="24"/>
          <w:szCs w:val="24"/>
          <w:lang w:eastAsia="cs-CZ"/>
        </w:rPr>
      </w:pPr>
    </w:p>
    <w:p w14:paraId="2DDBAC2C" w14:textId="2F427CED" w:rsidR="000E2B6A" w:rsidRDefault="000E2B6A" w:rsidP="000E2B6A">
      <w:pPr>
        <w:shd w:val="clear" w:color="auto" w:fill="FFFFFF"/>
        <w:spacing w:after="0" w:line="240" w:lineRule="auto"/>
        <w:jc w:val="both"/>
        <w:rPr>
          <w:rFonts w:ascii="Times New Roman" w:eastAsia="Times New Roman" w:hAnsi="Times New Roman" w:cs="Times New Roman"/>
          <w:b/>
          <w:bCs/>
          <w:kern w:val="36"/>
          <w:sz w:val="24"/>
          <w:szCs w:val="24"/>
          <w:lang w:eastAsia="cs-CZ"/>
        </w:rPr>
      </w:pPr>
      <w:r w:rsidRPr="000E2B6A">
        <w:rPr>
          <w:rFonts w:ascii="Times New Roman" w:eastAsia="Times New Roman" w:hAnsi="Times New Roman" w:cs="Times New Roman"/>
          <w:b/>
          <w:bCs/>
          <w:kern w:val="36"/>
          <w:sz w:val="24"/>
          <w:szCs w:val="24"/>
          <w:lang w:eastAsia="cs-CZ"/>
        </w:rPr>
        <w:t>K bodu 2</w:t>
      </w:r>
      <w:r w:rsidR="00C578F1">
        <w:rPr>
          <w:rFonts w:ascii="Times New Roman" w:eastAsia="Times New Roman" w:hAnsi="Times New Roman" w:cs="Times New Roman"/>
          <w:b/>
          <w:bCs/>
          <w:kern w:val="36"/>
          <w:sz w:val="24"/>
          <w:szCs w:val="24"/>
          <w:lang w:eastAsia="cs-CZ"/>
        </w:rPr>
        <w:t>3</w:t>
      </w:r>
      <w:r w:rsidRPr="000E2B6A">
        <w:rPr>
          <w:rFonts w:ascii="Times New Roman" w:eastAsia="Times New Roman" w:hAnsi="Times New Roman" w:cs="Times New Roman"/>
          <w:b/>
          <w:bCs/>
          <w:kern w:val="36"/>
          <w:sz w:val="24"/>
          <w:szCs w:val="24"/>
          <w:lang w:eastAsia="cs-CZ"/>
        </w:rPr>
        <w:t xml:space="preserve"> - </w:t>
      </w:r>
      <w:r>
        <w:rPr>
          <w:rFonts w:ascii="Times New Roman" w:eastAsia="Times New Roman" w:hAnsi="Times New Roman" w:cs="Times New Roman"/>
          <w:b/>
          <w:bCs/>
          <w:kern w:val="36"/>
          <w:sz w:val="24"/>
          <w:szCs w:val="24"/>
          <w:lang w:eastAsia="cs-CZ"/>
        </w:rPr>
        <w:t>§ 20 ods. 8</w:t>
      </w:r>
    </w:p>
    <w:p w14:paraId="404DD5CE" w14:textId="0AAB6E6F" w:rsidR="00AC3C75" w:rsidRPr="00CE6B04" w:rsidRDefault="00BE09D7" w:rsidP="00152668">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sz w:val="24"/>
          <w:szCs w:val="24"/>
          <w:lang w:eastAsia="cs-CZ"/>
        </w:rPr>
        <w:t>V nadväznosti na prijatie nového medzinárodného štandardu finančného výkazníctva (IFRS 17) – Poistné zmluvy, ktorý nahrádza dočasný IFRS 4 – Poistné zmluvy sa navrhuje úprava znenia § 20 ods. 8 zákona o dani z príjmov, ktorý doteraz upravuje zahrnovanie technických rezerv vytváraných v poisťovníctve do daňových výdavkov. Doterajší daňový režim v § 20 ods. 8 nadväzoval aj na účtovnú tvorbu technických rezerv a ich zúčtovanie, t. j. rozpustenie alebo použitie s tým, že zákon o dani z príjmov limitoval iba výšku takto vykázaných technických rezerv a pri ich rozpustení alebo použití podľa toho, ako boli vykázané podľa IFRS v účtovníctve upravoval vplyv na základ dane. Zákon o dani z príjmov však neupravoval spôsob a výpočet ich tvorby – uvedené vychádzalo zo zákona o poisťovníctve. IFRS 17 oproti IFRS 4 upravuje celkový prístup vykazovania poistných zmlúv. Vykazovanie spočíva predovšetkým v naviazaní vybraných položiek na diskontované cash-</w:t>
      </w:r>
      <w:proofErr w:type="spellStart"/>
      <w:r>
        <w:rPr>
          <w:rFonts w:ascii="Times New Roman" w:hAnsi="Times New Roman" w:cs="Times New Roman"/>
          <w:sz w:val="24"/>
          <w:szCs w:val="24"/>
          <w:lang w:eastAsia="cs-CZ"/>
        </w:rPr>
        <w:t>flow</w:t>
      </w:r>
      <w:proofErr w:type="spellEnd"/>
      <w:r>
        <w:rPr>
          <w:rFonts w:ascii="Times New Roman" w:hAnsi="Times New Roman" w:cs="Times New Roman"/>
          <w:sz w:val="24"/>
          <w:szCs w:val="24"/>
          <w:lang w:eastAsia="cs-CZ"/>
        </w:rPr>
        <w:t>. Menia sa zložky vstupujúce do výpočtu záväzkov, ak aj finančné a iné riziká brané do úvahy pri ich výpočte a mení sa ich celkové vykazovanie. Podľa IFRS 17 už nevykazuje poisťovňa technické rezervy ako budúce očakávané odhadované záväzky. Poisťovňa bude vykazovať záväzky z poistných zmlúv priebežne počas trvania poistnej zmluvy diskontovaním cash-</w:t>
      </w:r>
      <w:proofErr w:type="spellStart"/>
      <w:r>
        <w:rPr>
          <w:rFonts w:ascii="Times New Roman" w:hAnsi="Times New Roman" w:cs="Times New Roman"/>
          <w:sz w:val="24"/>
          <w:szCs w:val="24"/>
          <w:lang w:eastAsia="cs-CZ"/>
        </w:rPr>
        <w:t>flow</w:t>
      </w:r>
      <w:proofErr w:type="spellEnd"/>
      <w:r>
        <w:rPr>
          <w:rFonts w:ascii="Times New Roman" w:hAnsi="Times New Roman" w:cs="Times New Roman"/>
          <w:sz w:val="24"/>
          <w:szCs w:val="24"/>
          <w:lang w:eastAsia="cs-CZ"/>
        </w:rPr>
        <w:t xml:space="preserve"> na súčasnú hodnotu. Vzhľadom k tomu, že poisťovne uplatnením IFRS 17 nebudú vykazovať technické rezervy, t. j. budúce odhadované záväzky, ale vykážu záväzky na základe diskontovaného cash-</w:t>
      </w:r>
      <w:proofErr w:type="spellStart"/>
      <w:r>
        <w:rPr>
          <w:rFonts w:ascii="Times New Roman" w:hAnsi="Times New Roman" w:cs="Times New Roman"/>
          <w:sz w:val="24"/>
          <w:szCs w:val="24"/>
          <w:lang w:eastAsia="cs-CZ"/>
        </w:rPr>
        <w:t>flow</w:t>
      </w:r>
      <w:proofErr w:type="spellEnd"/>
      <w:r>
        <w:rPr>
          <w:rFonts w:ascii="Times New Roman" w:hAnsi="Times New Roman" w:cs="Times New Roman"/>
          <w:sz w:val="24"/>
          <w:szCs w:val="24"/>
          <w:lang w:eastAsia="cs-CZ"/>
        </w:rPr>
        <w:t xml:space="preserve">, takto vykázané náklady už nespĺňajú definíciu rezervy, a tak ako iné záväzky, budú daňovým výdavkom v súlade s účtovníctvom. Zároveň ide o zjednodušenie zisťovania základu prostredníctvom odstraňovania rozdielov medzi účtovným a daňovým posúdením nákladov a výnosov. </w:t>
      </w:r>
      <w:r w:rsidRPr="00CE6B04">
        <w:rPr>
          <w:rFonts w:ascii="Times New Roman" w:hAnsi="Times New Roman" w:cs="Times New Roman"/>
          <w:sz w:val="24"/>
          <w:szCs w:val="24"/>
          <w:lang w:eastAsia="cs-CZ"/>
        </w:rPr>
        <w:t xml:space="preserve">Prijatím tejto úpravy v oblasti vykazovania záväzkov z poistných zmlúv, ostávajú ostatné ustanovenia zákona o dani z príjmov nedotknuté, napr. ustanovenia týkajúce sa opravných položiek k pohľadávkam, odpisu pohľadávok, úprav základu dane pri neuhradených </w:t>
      </w:r>
      <w:r w:rsidRPr="00CE6B04">
        <w:rPr>
          <w:rFonts w:ascii="Times New Roman" w:hAnsi="Times New Roman" w:cs="Times New Roman"/>
          <w:sz w:val="24"/>
          <w:szCs w:val="24"/>
          <w:lang w:eastAsia="cs-CZ"/>
        </w:rPr>
        <w:lastRenderedPageBreak/>
        <w:t xml:space="preserve">záväzkoch a pod.  Pri prvotnom uplatnení štandardov z dôvodu zmeny účtovnej metódy, ktorou je aj zmena vo vykazovaní poistných zmlúv, zmeny vykázané vo vlastnom imaní, ktoré by mali vplyv na zdaniteľné príjmy alebo daňové výdavky sa zahrnú do základu dane v súlade s navrhovaným prechodným ustanovením § 52zzn ods. 1 a zároveň sa pri prvotnom uplatnení štandardu z dôvodu zmeny účtovnej metódy neuplatní postup podľa prvej vety § 17 ods. 15 zákona o dani z príjmov. </w:t>
      </w:r>
    </w:p>
    <w:p w14:paraId="1AB77632" w14:textId="77777777" w:rsidR="00CF744E" w:rsidRPr="00AC3C75" w:rsidRDefault="00CF744E" w:rsidP="00152668">
      <w:pPr>
        <w:shd w:val="clear" w:color="auto" w:fill="FFFFFF"/>
        <w:spacing w:after="0" w:line="240" w:lineRule="auto"/>
        <w:jc w:val="both"/>
        <w:rPr>
          <w:rFonts w:ascii="Times New Roman" w:eastAsia="Times New Roman" w:hAnsi="Times New Roman" w:cs="Times New Roman"/>
          <w:bCs/>
          <w:color w:val="FF0000"/>
          <w:kern w:val="36"/>
          <w:sz w:val="24"/>
          <w:szCs w:val="24"/>
          <w:lang w:eastAsia="cs-CZ"/>
        </w:rPr>
      </w:pPr>
    </w:p>
    <w:p w14:paraId="01F448D0" w14:textId="7DEB9767" w:rsidR="00152668" w:rsidRDefault="00152668" w:rsidP="000E2B6A">
      <w:pPr>
        <w:shd w:val="clear" w:color="auto" w:fill="FFFFFF"/>
        <w:spacing w:after="0" w:line="240" w:lineRule="auto"/>
        <w:jc w:val="both"/>
        <w:rPr>
          <w:rFonts w:ascii="Times New Roman" w:eastAsia="Times New Roman" w:hAnsi="Times New Roman" w:cs="Times New Roman"/>
          <w:b/>
          <w:bCs/>
          <w:kern w:val="36"/>
          <w:sz w:val="24"/>
          <w:szCs w:val="24"/>
          <w:lang w:eastAsia="cs-CZ"/>
        </w:rPr>
      </w:pPr>
      <w:r w:rsidRPr="000E2B6A">
        <w:rPr>
          <w:rFonts w:ascii="Times New Roman" w:eastAsia="Times New Roman" w:hAnsi="Times New Roman" w:cs="Times New Roman"/>
          <w:b/>
          <w:bCs/>
          <w:kern w:val="36"/>
          <w:sz w:val="24"/>
          <w:szCs w:val="24"/>
          <w:lang w:eastAsia="cs-CZ"/>
        </w:rPr>
        <w:t>K bod</w:t>
      </w:r>
      <w:r>
        <w:rPr>
          <w:rFonts w:ascii="Times New Roman" w:eastAsia="Times New Roman" w:hAnsi="Times New Roman" w:cs="Times New Roman"/>
          <w:b/>
          <w:bCs/>
          <w:kern w:val="36"/>
          <w:sz w:val="24"/>
          <w:szCs w:val="24"/>
          <w:lang w:eastAsia="cs-CZ"/>
        </w:rPr>
        <w:t>om</w:t>
      </w:r>
      <w:r w:rsidRPr="000E2B6A">
        <w:rPr>
          <w:rFonts w:ascii="Times New Roman" w:eastAsia="Times New Roman" w:hAnsi="Times New Roman" w:cs="Times New Roman"/>
          <w:b/>
          <w:bCs/>
          <w:kern w:val="36"/>
          <w:sz w:val="24"/>
          <w:szCs w:val="24"/>
          <w:lang w:eastAsia="cs-CZ"/>
        </w:rPr>
        <w:t xml:space="preserve"> 2</w:t>
      </w:r>
      <w:r w:rsidR="00C578F1">
        <w:rPr>
          <w:rFonts w:ascii="Times New Roman" w:eastAsia="Times New Roman" w:hAnsi="Times New Roman" w:cs="Times New Roman"/>
          <w:b/>
          <w:bCs/>
          <w:kern w:val="36"/>
          <w:sz w:val="24"/>
          <w:szCs w:val="24"/>
          <w:lang w:eastAsia="cs-CZ"/>
        </w:rPr>
        <w:t>7</w:t>
      </w:r>
      <w:r>
        <w:rPr>
          <w:rFonts w:ascii="Times New Roman" w:eastAsia="Times New Roman" w:hAnsi="Times New Roman" w:cs="Times New Roman"/>
          <w:b/>
          <w:bCs/>
          <w:kern w:val="36"/>
          <w:sz w:val="24"/>
          <w:szCs w:val="24"/>
          <w:lang w:eastAsia="cs-CZ"/>
        </w:rPr>
        <w:t xml:space="preserve"> a 2</w:t>
      </w:r>
      <w:r w:rsidR="00C578F1">
        <w:rPr>
          <w:rFonts w:ascii="Times New Roman" w:eastAsia="Times New Roman" w:hAnsi="Times New Roman" w:cs="Times New Roman"/>
          <w:b/>
          <w:bCs/>
          <w:kern w:val="36"/>
          <w:sz w:val="24"/>
          <w:szCs w:val="24"/>
          <w:lang w:eastAsia="cs-CZ"/>
        </w:rPr>
        <w:t>8</w:t>
      </w:r>
      <w:r w:rsidRPr="000E2B6A">
        <w:rPr>
          <w:rFonts w:ascii="Times New Roman" w:eastAsia="Times New Roman" w:hAnsi="Times New Roman" w:cs="Times New Roman"/>
          <w:b/>
          <w:bCs/>
          <w:kern w:val="36"/>
          <w:sz w:val="24"/>
          <w:szCs w:val="24"/>
          <w:lang w:eastAsia="cs-CZ"/>
        </w:rPr>
        <w:t xml:space="preserve"> - </w:t>
      </w:r>
      <w:r>
        <w:rPr>
          <w:rFonts w:ascii="Times New Roman" w:eastAsia="Times New Roman" w:hAnsi="Times New Roman" w:cs="Times New Roman"/>
          <w:b/>
          <w:bCs/>
          <w:kern w:val="36"/>
          <w:sz w:val="24"/>
          <w:szCs w:val="24"/>
          <w:lang w:eastAsia="cs-CZ"/>
        </w:rPr>
        <w:t>§ 21a ods. 1 a 4</w:t>
      </w:r>
    </w:p>
    <w:p w14:paraId="139A11C2" w14:textId="455434C8" w:rsidR="00152668" w:rsidRDefault="00152668" w:rsidP="00152668">
      <w:pPr>
        <w:spacing w:after="0" w:line="240" w:lineRule="auto"/>
        <w:jc w:val="both"/>
        <w:rPr>
          <w:rFonts w:ascii="Times New Roman" w:hAnsi="Times New Roman"/>
          <w:sz w:val="24"/>
          <w:szCs w:val="24"/>
        </w:rPr>
      </w:pPr>
      <w:r w:rsidRPr="00BA0070">
        <w:rPr>
          <w:rFonts w:ascii="Times New Roman" w:hAnsi="Times New Roman"/>
          <w:sz w:val="24"/>
          <w:szCs w:val="24"/>
        </w:rPr>
        <w:t xml:space="preserve">V § 21a ods. 1 sa v nadväznosti na zavedenie § 17k v nadväznosti na aplikačnú prax spresňuje, že § 21a sa neaplikuje ani na úrokové náklady kapitalizované do majetku v ocenení vlastnými nákladmi. </w:t>
      </w:r>
      <w:r>
        <w:rPr>
          <w:rFonts w:ascii="Times New Roman" w:hAnsi="Times New Roman"/>
          <w:sz w:val="24"/>
          <w:szCs w:val="24"/>
        </w:rPr>
        <w:t xml:space="preserve">V novom odseku 4 sa odstraňuje kolízia uplatnenia § 17k a § 21a tak, že pri zisťovaní základu dane sa prednostne skúma aplikovateľnosť § 17k </w:t>
      </w:r>
      <w:r w:rsidR="00E337CE">
        <w:rPr>
          <w:rFonts w:ascii="Times New Roman" w:hAnsi="Times New Roman"/>
          <w:sz w:val="24"/>
          <w:szCs w:val="24"/>
        </w:rPr>
        <w:t>a</w:t>
      </w:r>
      <w:r w:rsidR="009837B0">
        <w:rPr>
          <w:rFonts w:ascii="Times New Roman" w:hAnsi="Times New Roman"/>
          <w:sz w:val="24"/>
          <w:szCs w:val="24"/>
        </w:rPr>
        <w:t xml:space="preserve"> </w:t>
      </w:r>
      <w:r w:rsidR="00E337CE">
        <w:rPr>
          <w:rFonts w:ascii="Times New Roman" w:hAnsi="Times New Roman"/>
          <w:sz w:val="24"/>
          <w:szCs w:val="24"/>
        </w:rPr>
        <w:t>ak daňovník zvýši základ dane podľa § 17k, následne sa už neuplatní</w:t>
      </w:r>
      <w:r>
        <w:rPr>
          <w:rFonts w:ascii="Times New Roman" w:hAnsi="Times New Roman"/>
          <w:sz w:val="24"/>
          <w:szCs w:val="24"/>
        </w:rPr>
        <w:t xml:space="preserve"> § 21a.</w:t>
      </w:r>
    </w:p>
    <w:p w14:paraId="4A79A7A9" w14:textId="7A46D417" w:rsidR="007A3D90" w:rsidRDefault="007A3D90" w:rsidP="00152668">
      <w:pPr>
        <w:spacing w:after="0" w:line="240" w:lineRule="auto"/>
        <w:jc w:val="both"/>
        <w:rPr>
          <w:rFonts w:ascii="Times New Roman" w:hAnsi="Times New Roman"/>
          <w:sz w:val="24"/>
          <w:szCs w:val="24"/>
        </w:rPr>
      </w:pPr>
    </w:p>
    <w:p w14:paraId="0A4365C7" w14:textId="4CA96E3A" w:rsidR="007A3D90" w:rsidRPr="007A3D90" w:rsidRDefault="007A3D90" w:rsidP="00152668">
      <w:pPr>
        <w:spacing w:after="0" w:line="240" w:lineRule="auto"/>
        <w:jc w:val="both"/>
        <w:rPr>
          <w:rFonts w:ascii="Times New Roman" w:hAnsi="Times New Roman"/>
          <w:b/>
          <w:sz w:val="24"/>
          <w:szCs w:val="24"/>
        </w:rPr>
      </w:pPr>
      <w:r w:rsidRPr="007A3D90">
        <w:rPr>
          <w:rFonts w:ascii="Times New Roman" w:hAnsi="Times New Roman"/>
          <w:b/>
          <w:sz w:val="24"/>
          <w:szCs w:val="24"/>
        </w:rPr>
        <w:t>K bodom 29 až 3</w:t>
      </w:r>
      <w:r w:rsidR="00CE6B04">
        <w:rPr>
          <w:rFonts w:ascii="Times New Roman" w:hAnsi="Times New Roman"/>
          <w:b/>
          <w:sz w:val="24"/>
          <w:szCs w:val="24"/>
        </w:rPr>
        <w:t>1</w:t>
      </w:r>
      <w:r w:rsidRPr="007A3D90">
        <w:rPr>
          <w:rFonts w:ascii="Times New Roman" w:hAnsi="Times New Roman"/>
          <w:b/>
          <w:sz w:val="24"/>
          <w:szCs w:val="24"/>
        </w:rPr>
        <w:t xml:space="preserve"> - § 32 ods. </w:t>
      </w:r>
      <w:r w:rsidR="00843195">
        <w:rPr>
          <w:rFonts w:ascii="Times New Roman" w:hAnsi="Times New Roman"/>
          <w:b/>
          <w:sz w:val="24"/>
          <w:szCs w:val="24"/>
        </w:rPr>
        <w:t>6</w:t>
      </w:r>
      <w:r w:rsidR="00AB01FB">
        <w:rPr>
          <w:rFonts w:ascii="Times New Roman" w:hAnsi="Times New Roman"/>
          <w:b/>
          <w:sz w:val="24"/>
          <w:szCs w:val="24"/>
        </w:rPr>
        <w:t xml:space="preserve"> a</w:t>
      </w:r>
      <w:r w:rsidRPr="007A3D90">
        <w:rPr>
          <w:rFonts w:ascii="Times New Roman" w:hAnsi="Times New Roman"/>
          <w:b/>
          <w:sz w:val="24"/>
          <w:szCs w:val="24"/>
        </w:rPr>
        <w:t xml:space="preserve"> § 33 ods. 9</w:t>
      </w:r>
      <w:r w:rsidR="00CF2D28">
        <w:rPr>
          <w:rFonts w:ascii="Times New Roman" w:hAnsi="Times New Roman"/>
          <w:b/>
          <w:sz w:val="24"/>
          <w:szCs w:val="24"/>
        </w:rPr>
        <w:t>,</w:t>
      </w:r>
      <w:r w:rsidR="00AB01FB">
        <w:rPr>
          <w:rFonts w:ascii="Times New Roman" w:hAnsi="Times New Roman"/>
          <w:b/>
          <w:sz w:val="24"/>
          <w:szCs w:val="24"/>
        </w:rPr>
        <w:t xml:space="preserve"> 11</w:t>
      </w:r>
      <w:r w:rsidR="00CF2D28">
        <w:rPr>
          <w:rFonts w:ascii="Times New Roman" w:hAnsi="Times New Roman"/>
          <w:b/>
          <w:sz w:val="24"/>
          <w:szCs w:val="24"/>
        </w:rPr>
        <w:t xml:space="preserve"> a 12</w:t>
      </w:r>
      <w:r w:rsidRPr="007A3D90">
        <w:rPr>
          <w:rFonts w:ascii="Times New Roman" w:hAnsi="Times New Roman"/>
          <w:b/>
          <w:sz w:val="24"/>
          <w:szCs w:val="24"/>
        </w:rPr>
        <w:t xml:space="preserve"> </w:t>
      </w:r>
    </w:p>
    <w:p w14:paraId="7E31F232" w14:textId="57C10D41" w:rsidR="007A3D90" w:rsidRDefault="007A3D90" w:rsidP="007A3D90">
      <w:pPr>
        <w:spacing w:after="0" w:line="240" w:lineRule="auto"/>
        <w:jc w:val="both"/>
        <w:rPr>
          <w:rFonts w:ascii="Times New Roman" w:hAnsi="Times New Roman"/>
          <w:sz w:val="24"/>
          <w:szCs w:val="24"/>
        </w:rPr>
      </w:pPr>
      <w:r w:rsidRPr="007A3D90">
        <w:rPr>
          <w:rFonts w:ascii="Times New Roman" w:hAnsi="Times New Roman"/>
          <w:sz w:val="24"/>
          <w:szCs w:val="24"/>
        </w:rPr>
        <w:t xml:space="preserve">Navrhovanou úpravou sa </w:t>
      </w:r>
      <w:r w:rsidRPr="00CE6B04">
        <w:rPr>
          <w:rFonts w:ascii="Times New Roman" w:hAnsi="Times New Roman"/>
          <w:sz w:val="24"/>
          <w:szCs w:val="24"/>
        </w:rPr>
        <w:t xml:space="preserve">umožní </w:t>
      </w:r>
      <w:r w:rsidR="00AB01FB" w:rsidRPr="00CE6B04">
        <w:rPr>
          <w:rFonts w:ascii="Times New Roman" w:hAnsi="Times New Roman"/>
          <w:sz w:val="24"/>
          <w:szCs w:val="24"/>
        </w:rPr>
        <w:t xml:space="preserve">oprávnenej osobe </w:t>
      </w:r>
      <w:r w:rsidRPr="00CE6B04">
        <w:rPr>
          <w:rFonts w:ascii="Times New Roman" w:hAnsi="Times New Roman"/>
          <w:sz w:val="24"/>
          <w:szCs w:val="24"/>
        </w:rPr>
        <w:t>douplatňovať celý nárok na daňový bonus na vyživované dieťa (deti) v prípad</w:t>
      </w:r>
      <w:r w:rsidR="00AB01FB" w:rsidRPr="00CE6B04">
        <w:rPr>
          <w:rFonts w:ascii="Times New Roman" w:hAnsi="Times New Roman"/>
          <w:sz w:val="24"/>
          <w:szCs w:val="24"/>
        </w:rPr>
        <w:t>e</w:t>
      </w:r>
      <w:r w:rsidRPr="00CE6B04">
        <w:rPr>
          <w:rFonts w:ascii="Times New Roman" w:hAnsi="Times New Roman"/>
          <w:sz w:val="24"/>
          <w:szCs w:val="24"/>
        </w:rPr>
        <w:t>, ak</w:t>
      </w:r>
      <w:r w:rsidR="00AB01FB" w:rsidRPr="00CE6B04">
        <w:rPr>
          <w:rFonts w:ascii="Times New Roman" w:hAnsi="Times New Roman"/>
          <w:sz w:val="24"/>
          <w:szCs w:val="24"/>
        </w:rPr>
        <w:t xml:space="preserve"> jej nepostačuje</w:t>
      </w:r>
      <w:r w:rsidRPr="00CE6B04">
        <w:rPr>
          <w:rFonts w:ascii="Times New Roman" w:hAnsi="Times New Roman"/>
          <w:sz w:val="24"/>
          <w:szCs w:val="24"/>
        </w:rPr>
        <w:t xml:space="preserve"> základ dane (čiastkový základ dane) z príjmov podľa § 5 alebo základ dane (čiastkový základ dane) z príjmov podľa § 6 ods. 1 a 2 alebo ich úhrn na uplatnenie celej výšky daňového bonusu stanovenej v odseku 1 písm. a) a b). </w:t>
      </w:r>
      <w:r w:rsidR="00AB01FB" w:rsidRPr="00CE6B04">
        <w:rPr>
          <w:rFonts w:ascii="Times New Roman" w:hAnsi="Times New Roman"/>
          <w:sz w:val="24"/>
          <w:szCs w:val="24"/>
        </w:rPr>
        <w:t>Táto oprávnená osoba si pre účely</w:t>
      </w:r>
      <w:r w:rsidR="00AF51E2">
        <w:rPr>
          <w:rFonts w:ascii="Times New Roman" w:hAnsi="Times New Roman"/>
          <w:sz w:val="24"/>
          <w:szCs w:val="24"/>
        </w:rPr>
        <w:t xml:space="preserve"> uplatnenia daňového bonusu</w:t>
      </w:r>
      <w:r w:rsidR="00AB01FB" w:rsidRPr="00CE6B04">
        <w:rPr>
          <w:rFonts w:ascii="Times New Roman" w:hAnsi="Times New Roman"/>
          <w:sz w:val="24"/>
          <w:szCs w:val="24"/>
        </w:rPr>
        <w:t xml:space="preserve"> môže sčítavať svoj základ dane (čiastkový základ dane) z príjmov podľa § 5 alebo základ dane (čiastkový základ dane) z príjmov podľa § 6 ods. 1 a 2 alebo ich úhrn spolu so základom dane (čiastkovým základom dane) druhou osobou, ktorá žije v domácnosti s vyživovaným dieťaťom, pričom toto navýšenie vykoná sama výlučne cez daňové priznanie.</w:t>
      </w:r>
      <w:r w:rsidR="00CF2D28">
        <w:rPr>
          <w:rFonts w:ascii="Times New Roman" w:hAnsi="Times New Roman"/>
          <w:sz w:val="24"/>
          <w:szCs w:val="24"/>
        </w:rPr>
        <w:t xml:space="preserve"> Ak druhá oprávnená osoba, ktorej základ dane (čiastkový základ dane) sa má pripočítať k základu dane (čiastkového základu dane) oprávnenej osoby, ktorá si uplatňuje daňový bonus, spĺňa podmienky pre uplatnenie daňového bonusu len časť zdaňovacieho obdobia, je možné pripočítať u oprávnenej osoby, ktorá si uplatňuje nárok na daňový bonus len pomernú časť základu dane druhej oprávnenej osoby zodpovedajúcu pomernej časti pripadajúcej k  počtu mesiacov, na začiatku ktorých táto druhá oprávnená osoby splnila podmienky na uplatnenie daňového bonusu.</w:t>
      </w:r>
    </w:p>
    <w:p w14:paraId="3B98D912" w14:textId="7490FF03" w:rsidR="00CF2D28" w:rsidRPr="00CE6B04" w:rsidRDefault="00CF2D28" w:rsidP="00CF2D28">
      <w:pPr>
        <w:spacing w:after="0" w:line="240" w:lineRule="auto"/>
        <w:jc w:val="both"/>
        <w:rPr>
          <w:rFonts w:ascii="Times New Roman" w:hAnsi="Times New Roman"/>
          <w:sz w:val="24"/>
          <w:szCs w:val="24"/>
        </w:rPr>
      </w:pPr>
      <w:r>
        <w:rPr>
          <w:rFonts w:ascii="Times New Roman" w:hAnsi="Times New Roman"/>
          <w:sz w:val="24"/>
          <w:szCs w:val="24"/>
        </w:rPr>
        <w:t xml:space="preserve">V navrhovanej úprave odseku 11 sa uvádza postup výpočtu v prípadoch, ak v priebehu zdaňovacieho obdobia sa mení počet vyživovaných deti pre účely uplatnenia daňového bonusu. </w:t>
      </w:r>
    </w:p>
    <w:p w14:paraId="134CAAD9" w14:textId="78E3207B" w:rsidR="00CF2D28" w:rsidRPr="00CE6B04" w:rsidRDefault="00CF2D28" w:rsidP="007A3D90">
      <w:pPr>
        <w:spacing w:after="0" w:line="240" w:lineRule="auto"/>
        <w:jc w:val="both"/>
        <w:rPr>
          <w:rFonts w:ascii="Times New Roman" w:hAnsi="Times New Roman"/>
          <w:sz w:val="24"/>
          <w:szCs w:val="24"/>
        </w:rPr>
      </w:pPr>
      <w:r>
        <w:rPr>
          <w:rFonts w:ascii="Times New Roman" w:hAnsi="Times New Roman"/>
          <w:sz w:val="24"/>
          <w:szCs w:val="24"/>
        </w:rPr>
        <w:t>V odseku 12 sa navrhuje spresnenie prípadov, keď daňovníkovi (zamestnancovi) zamestnávateľ v priebehu roka priznal vyšší nárok na daňový bonus ako mu vyšiel po skončení zdaňovacieho obdobia pri vykonanom ročnom zúčtovaní alebo podaní daňového priznania, podľa ktorého sa nárok na už priznaný daňový bonus nestráca.</w:t>
      </w:r>
    </w:p>
    <w:p w14:paraId="56900F12" w14:textId="5355AF76" w:rsidR="00AB01FB" w:rsidRDefault="00AB01FB" w:rsidP="007A3D90">
      <w:pPr>
        <w:spacing w:after="0" w:line="240" w:lineRule="auto"/>
        <w:jc w:val="both"/>
        <w:rPr>
          <w:rFonts w:ascii="Times New Roman" w:hAnsi="Times New Roman"/>
          <w:color w:val="FF0000"/>
          <w:sz w:val="24"/>
          <w:szCs w:val="24"/>
        </w:rPr>
      </w:pPr>
    </w:p>
    <w:p w14:paraId="7CC1B317" w14:textId="63C1FFB7" w:rsidR="00152668" w:rsidRDefault="00152668" w:rsidP="00152668">
      <w:pPr>
        <w:spacing w:after="0" w:line="240" w:lineRule="auto"/>
        <w:jc w:val="both"/>
        <w:rPr>
          <w:rFonts w:ascii="Times New Roman" w:hAnsi="Times New Roman"/>
          <w:b/>
          <w:sz w:val="24"/>
          <w:szCs w:val="24"/>
        </w:rPr>
      </w:pPr>
      <w:r>
        <w:rPr>
          <w:rFonts w:ascii="Times New Roman" w:hAnsi="Times New Roman"/>
          <w:b/>
          <w:sz w:val="24"/>
          <w:szCs w:val="24"/>
        </w:rPr>
        <w:t xml:space="preserve">K bodu </w:t>
      </w:r>
      <w:r w:rsidR="007A3D90">
        <w:rPr>
          <w:rFonts w:ascii="Times New Roman" w:hAnsi="Times New Roman"/>
          <w:b/>
          <w:sz w:val="24"/>
          <w:szCs w:val="24"/>
        </w:rPr>
        <w:t>3</w:t>
      </w:r>
      <w:r w:rsidR="00CE6B04">
        <w:rPr>
          <w:rFonts w:ascii="Times New Roman" w:hAnsi="Times New Roman"/>
          <w:b/>
          <w:sz w:val="24"/>
          <w:szCs w:val="24"/>
        </w:rPr>
        <w:t>2</w:t>
      </w:r>
      <w:r>
        <w:rPr>
          <w:rFonts w:ascii="Times New Roman" w:hAnsi="Times New Roman"/>
          <w:b/>
          <w:sz w:val="24"/>
          <w:szCs w:val="24"/>
        </w:rPr>
        <w:t xml:space="preserve"> - § 43 ods. 2</w:t>
      </w:r>
    </w:p>
    <w:p w14:paraId="2E007417" w14:textId="77777777" w:rsidR="00152668" w:rsidRDefault="00152668" w:rsidP="00152668">
      <w:pPr>
        <w:spacing w:after="0" w:line="240" w:lineRule="auto"/>
        <w:jc w:val="both"/>
        <w:rPr>
          <w:rFonts w:ascii="Times New Roman" w:hAnsi="Times New Roman"/>
          <w:sz w:val="24"/>
          <w:szCs w:val="24"/>
        </w:rPr>
      </w:pPr>
      <w:r w:rsidRPr="00152668">
        <w:rPr>
          <w:rFonts w:ascii="Times New Roman" w:hAnsi="Times New Roman"/>
          <w:sz w:val="24"/>
          <w:szCs w:val="24"/>
        </w:rPr>
        <w:t xml:space="preserve">Ide o legislatívno-technickú úpravu. </w:t>
      </w:r>
    </w:p>
    <w:p w14:paraId="62725E36" w14:textId="77777777" w:rsidR="00152668" w:rsidRDefault="00152668" w:rsidP="00152668">
      <w:pPr>
        <w:spacing w:after="0" w:line="240" w:lineRule="auto"/>
        <w:jc w:val="both"/>
        <w:rPr>
          <w:rFonts w:ascii="Times New Roman" w:hAnsi="Times New Roman"/>
          <w:sz w:val="24"/>
          <w:szCs w:val="24"/>
        </w:rPr>
      </w:pPr>
    </w:p>
    <w:p w14:paraId="58951EDF" w14:textId="79BA129A" w:rsidR="00152668" w:rsidRDefault="00BC5995" w:rsidP="00152668">
      <w:pPr>
        <w:spacing w:after="0" w:line="240" w:lineRule="auto"/>
        <w:jc w:val="both"/>
        <w:rPr>
          <w:rFonts w:ascii="Times New Roman" w:hAnsi="Times New Roman"/>
          <w:b/>
          <w:sz w:val="24"/>
          <w:szCs w:val="24"/>
        </w:rPr>
      </w:pPr>
      <w:r>
        <w:rPr>
          <w:rFonts w:ascii="Times New Roman" w:hAnsi="Times New Roman"/>
          <w:b/>
          <w:sz w:val="24"/>
          <w:szCs w:val="24"/>
        </w:rPr>
        <w:t xml:space="preserve">K bodu </w:t>
      </w:r>
      <w:r w:rsidR="00C578F1">
        <w:rPr>
          <w:rFonts w:ascii="Times New Roman" w:hAnsi="Times New Roman"/>
          <w:b/>
          <w:sz w:val="24"/>
          <w:szCs w:val="24"/>
        </w:rPr>
        <w:t>3</w:t>
      </w:r>
      <w:r w:rsidR="00CE6B04">
        <w:rPr>
          <w:rFonts w:ascii="Times New Roman" w:hAnsi="Times New Roman"/>
          <w:b/>
          <w:sz w:val="24"/>
          <w:szCs w:val="24"/>
        </w:rPr>
        <w:t xml:space="preserve">3 </w:t>
      </w:r>
      <w:r w:rsidR="00152668" w:rsidRPr="00152668">
        <w:rPr>
          <w:rFonts w:ascii="Times New Roman" w:hAnsi="Times New Roman"/>
          <w:b/>
          <w:sz w:val="24"/>
          <w:szCs w:val="24"/>
        </w:rPr>
        <w:t>- § 49 ods. 8</w:t>
      </w:r>
    </w:p>
    <w:p w14:paraId="6BCE485F" w14:textId="77777777" w:rsidR="00152668" w:rsidRDefault="00152668" w:rsidP="00152668">
      <w:pPr>
        <w:spacing w:after="0" w:line="240" w:lineRule="auto"/>
        <w:jc w:val="both"/>
        <w:rPr>
          <w:rFonts w:ascii="Times New Roman" w:hAnsi="Times New Roman"/>
          <w:sz w:val="24"/>
          <w:szCs w:val="24"/>
        </w:rPr>
      </w:pPr>
      <w:r w:rsidRPr="00152668">
        <w:rPr>
          <w:rFonts w:ascii="Times New Roman" w:hAnsi="Times New Roman"/>
          <w:sz w:val="24"/>
          <w:szCs w:val="24"/>
        </w:rPr>
        <w:t xml:space="preserve">Ide o legislatívno-technickú úpravu. </w:t>
      </w:r>
    </w:p>
    <w:p w14:paraId="63BB4BE9" w14:textId="77777777" w:rsidR="00152668" w:rsidRDefault="00152668" w:rsidP="00152668">
      <w:pPr>
        <w:spacing w:after="0" w:line="240" w:lineRule="auto"/>
        <w:jc w:val="both"/>
        <w:rPr>
          <w:rFonts w:ascii="Times New Roman" w:hAnsi="Times New Roman"/>
          <w:sz w:val="24"/>
          <w:szCs w:val="24"/>
        </w:rPr>
      </w:pPr>
    </w:p>
    <w:p w14:paraId="235C1CF6" w14:textId="2A92BFDC" w:rsidR="00152668" w:rsidRDefault="00152668" w:rsidP="00152668">
      <w:pPr>
        <w:spacing w:after="0" w:line="240" w:lineRule="auto"/>
        <w:jc w:val="both"/>
        <w:rPr>
          <w:rFonts w:ascii="Times New Roman" w:hAnsi="Times New Roman"/>
          <w:b/>
          <w:sz w:val="24"/>
          <w:szCs w:val="24"/>
        </w:rPr>
      </w:pPr>
      <w:r>
        <w:rPr>
          <w:rFonts w:ascii="Times New Roman" w:hAnsi="Times New Roman"/>
          <w:b/>
          <w:sz w:val="24"/>
          <w:szCs w:val="24"/>
        </w:rPr>
        <w:t>K bodom 3</w:t>
      </w:r>
      <w:r w:rsidR="00CE6B04">
        <w:rPr>
          <w:rFonts w:ascii="Times New Roman" w:hAnsi="Times New Roman"/>
          <w:b/>
          <w:sz w:val="24"/>
          <w:szCs w:val="24"/>
        </w:rPr>
        <w:t>4</w:t>
      </w:r>
      <w:r>
        <w:rPr>
          <w:rFonts w:ascii="Times New Roman" w:hAnsi="Times New Roman"/>
          <w:b/>
          <w:sz w:val="24"/>
          <w:szCs w:val="24"/>
        </w:rPr>
        <w:t xml:space="preserve"> až 3</w:t>
      </w:r>
      <w:r w:rsidR="00CE6B04">
        <w:rPr>
          <w:rFonts w:ascii="Times New Roman" w:hAnsi="Times New Roman"/>
          <w:b/>
          <w:sz w:val="24"/>
          <w:szCs w:val="24"/>
        </w:rPr>
        <w:t>6</w:t>
      </w:r>
      <w:r>
        <w:rPr>
          <w:rFonts w:ascii="Times New Roman" w:hAnsi="Times New Roman"/>
          <w:b/>
          <w:sz w:val="24"/>
          <w:szCs w:val="24"/>
        </w:rPr>
        <w:t xml:space="preserve"> - § 49a ods. 1, 2, 12 a 13</w:t>
      </w:r>
    </w:p>
    <w:p w14:paraId="1FCFD1C0" w14:textId="16714641" w:rsidR="00152668" w:rsidRDefault="00B9632C" w:rsidP="00152668">
      <w:pPr>
        <w:spacing w:after="0" w:line="240" w:lineRule="auto"/>
        <w:jc w:val="both"/>
        <w:rPr>
          <w:rFonts w:ascii="Times New Roman" w:hAnsi="Times New Roman"/>
          <w:sz w:val="24"/>
          <w:szCs w:val="24"/>
        </w:rPr>
      </w:pPr>
      <w:r>
        <w:rPr>
          <w:rFonts w:ascii="Times New Roman" w:hAnsi="Times New Roman"/>
          <w:sz w:val="24"/>
          <w:szCs w:val="24"/>
        </w:rPr>
        <w:t xml:space="preserve">Upravuje sa spôsob registrácie daňovníkov na daň z príjmov. </w:t>
      </w:r>
      <w:r w:rsidR="005B3524">
        <w:rPr>
          <w:rFonts w:ascii="Times New Roman" w:hAnsi="Times New Roman"/>
          <w:sz w:val="24"/>
          <w:szCs w:val="24"/>
        </w:rPr>
        <w:t>Od 1. 1. 2023 bude správca dane registrovať daňovníkov na daň z</w:t>
      </w:r>
      <w:r w:rsidR="00EC4EAD">
        <w:rPr>
          <w:rFonts w:ascii="Times New Roman" w:hAnsi="Times New Roman"/>
          <w:sz w:val="24"/>
          <w:szCs w:val="24"/>
        </w:rPr>
        <w:t> </w:t>
      </w:r>
      <w:r w:rsidR="005B3524">
        <w:rPr>
          <w:rFonts w:ascii="Times New Roman" w:hAnsi="Times New Roman"/>
          <w:sz w:val="24"/>
          <w:szCs w:val="24"/>
        </w:rPr>
        <w:t>príjmov</w:t>
      </w:r>
      <w:r w:rsidR="00EC4EAD">
        <w:rPr>
          <w:rFonts w:ascii="Times New Roman" w:hAnsi="Times New Roman"/>
          <w:sz w:val="24"/>
          <w:szCs w:val="24"/>
        </w:rPr>
        <w:t xml:space="preserve"> z úradnej moci</w:t>
      </w:r>
      <w:r w:rsidR="005B3524">
        <w:rPr>
          <w:rFonts w:ascii="Times New Roman" w:hAnsi="Times New Roman"/>
          <w:sz w:val="24"/>
          <w:szCs w:val="24"/>
        </w:rPr>
        <w:t xml:space="preserve"> na základe údajov z registra právnických osôb, podnikateľov a orgánov verejnej moci a to tie, ktoré boli, resp. budú </w:t>
      </w:r>
      <w:r w:rsidR="00C91A68">
        <w:rPr>
          <w:rFonts w:ascii="Times New Roman" w:hAnsi="Times New Roman"/>
          <w:sz w:val="24"/>
          <w:szCs w:val="24"/>
        </w:rPr>
        <w:t xml:space="preserve">exportované do tohto registra zo zdrojových registrov, </w:t>
      </w:r>
      <w:r w:rsidR="00C91A68" w:rsidRPr="00CE6B04">
        <w:rPr>
          <w:rFonts w:ascii="Times New Roman" w:hAnsi="Times New Roman"/>
          <w:sz w:val="24"/>
          <w:szCs w:val="24"/>
        </w:rPr>
        <w:t>ktorými sú</w:t>
      </w:r>
      <w:r w:rsidR="005B3524" w:rsidRPr="00CE6B04">
        <w:rPr>
          <w:rFonts w:ascii="Times New Roman" w:hAnsi="Times New Roman"/>
          <w:sz w:val="24"/>
          <w:szCs w:val="24"/>
        </w:rPr>
        <w:t xml:space="preserve"> obchodn</w:t>
      </w:r>
      <w:r w:rsidR="00C91A68" w:rsidRPr="00CE6B04">
        <w:rPr>
          <w:rFonts w:ascii="Times New Roman" w:hAnsi="Times New Roman"/>
          <w:sz w:val="24"/>
          <w:szCs w:val="24"/>
        </w:rPr>
        <w:t>ý</w:t>
      </w:r>
      <w:r w:rsidR="005B3524" w:rsidRPr="00CE6B04">
        <w:rPr>
          <w:rFonts w:ascii="Times New Roman" w:hAnsi="Times New Roman"/>
          <w:sz w:val="24"/>
          <w:szCs w:val="24"/>
        </w:rPr>
        <w:t xml:space="preserve"> regist</w:t>
      </w:r>
      <w:r w:rsidR="00C91A68" w:rsidRPr="00CE6B04">
        <w:rPr>
          <w:rFonts w:ascii="Times New Roman" w:hAnsi="Times New Roman"/>
          <w:sz w:val="24"/>
          <w:szCs w:val="24"/>
        </w:rPr>
        <w:t>e</w:t>
      </w:r>
      <w:r w:rsidR="005B3524" w:rsidRPr="00CE6B04">
        <w:rPr>
          <w:rFonts w:ascii="Times New Roman" w:hAnsi="Times New Roman"/>
          <w:sz w:val="24"/>
          <w:szCs w:val="24"/>
        </w:rPr>
        <w:t>r a živnostensk</w:t>
      </w:r>
      <w:r w:rsidR="00C91A68" w:rsidRPr="00CE6B04">
        <w:rPr>
          <w:rFonts w:ascii="Times New Roman" w:hAnsi="Times New Roman"/>
          <w:sz w:val="24"/>
          <w:szCs w:val="24"/>
        </w:rPr>
        <w:t>ý</w:t>
      </w:r>
      <w:r w:rsidR="005B3524" w:rsidRPr="00CE6B04">
        <w:rPr>
          <w:rFonts w:ascii="Times New Roman" w:hAnsi="Times New Roman"/>
          <w:sz w:val="24"/>
          <w:szCs w:val="24"/>
        </w:rPr>
        <w:t xml:space="preserve"> regist</w:t>
      </w:r>
      <w:r w:rsidR="00C91A68" w:rsidRPr="00CE6B04">
        <w:rPr>
          <w:rFonts w:ascii="Times New Roman" w:hAnsi="Times New Roman"/>
          <w:sz w:val="24"/>
          <w:szCs w:val="24"/>
        </w:rPr>
        <w:t>e</w:t>
      </w:r>
      <w:r w:rsidR="005B3524" w:rsidRPr="00CE6B04">
        <w:rPr>
          <w:rFonts w:ascii="Times New Roman" w:hAnsi="Times New Roman"/>
          <w:sz w:val="24"/>
          <w:szCs w:val="24"/>
        </w:rPr>
        <w:t xml:space="preserve">r. </w:t>
      </w:r>
      <w:r w:rsidR="00EC4EAD" w:rsidRPr="00CE6B04">
        <w:rPr>
          <w:rFonts w:ascii="Times New Roman" w:hAnsi="Times New Roman"/>
          <w:sz w:val="24"/>
          <w:szCs w:val="24"/>
        </w:rPr>
        <w:t xml:space="preserve">Správca dane bude registrovať daňovníkov na daň z príjmov z úradnej moci  na základe údajov zapísaných do registra právnických osôb, podnikateľov </w:t>
      </w:r>
      <w:r w:rsidR="00EC4EAD">
        <w:rPr>
          <w:rFonts w:ascii="Times New Roman" w:hAnsi="Times New Roman"/>
          <w:sz w:val="24"/>
          <w:szCs w:val="24"/>
        </w:rPr>
        <w:t xml:space="preserve">a orgánov </w:t>
      </w:r>
      <w:r w:rsidR="00EC4EAD">
        <w:rPr>
          <w:rFonts w:ascii="Times New Roman" w:hAnsi="Times New Roman"/>
          <w:sz w:val="24"/>
          <w:szCs w:val="24"/>
        </w:rPr>
        <w:lastRenderedPageBreak/>
        <w:t xml:space="preserve">verejnej moci </w:t>
      </w:r>
      <w:r w:rsidR="00501454">
        <w:rPr>
          <w:rFonts w:ascii="Times New Roman" w:hAnsi="Times New Roman"/>
          <w:sz w:val="24"/>
          <w:szCs w:val="24"/>
        </w:rPr>
        <w:t>z iných registrov ako je obchodný register a živnostenský register na základe oznámenia, ktoré bude zverejnené na webovom sídle Finančného riaditeľstva SR.</w:t>
      </w:r>
      <w:r w:rsidR="00EC4EAD">
        <w:rPr>
          <w:rFonts w:ascii="Times New Roman" w:hAnsi="Times New Roman"/>
          <w:sz w:val="24"/>
          <w:szCs w:val="24"/>
        </w:rPr>
        <w:t xml:space="preserve"> </w:t>
      </w:r>
    </w:p>
    <w:p w14:paraId="12A0D726" w14:textId="69F14DA3" w:rsidR="007B2D19" w:rsidRDefault="007B2D19" w:rsidP="00152668">
      <w:pPr>
        <w:spacing w:after="0" w:line="240" w:lineRule="auto"/>
        <w:jc w:val="both"/>
        <w:rPr>
          <w:rFonts w:ascii="Times New Roman" w:hAnsi="Times New Roman"/>
          <w:sz w:val="24"/>
          <w:szCs w:val="24"/>
        </w:rPr>
      </w:pPr>
    </w:p>
    <w:p w14:paraId="69A23AEC" w14:textId="0BD449A0" w:rsidR="00E34058" w:rsidRDefault="00E34058" w:rsidP="00152668">
      <w:pPr>
        <w:spacing w:after="0" w:line="240" w:lineRule="auto"/>
        <w:jc w:val="both"/>
        <w:rPr>
          <w:rFonts w:ascii="Times New Roman" w:hAnsi="Times New Roman"/>
          <w:b/>
          <w:sz w:val="24"/>
          <w:szCs w:val="24"/>
        </w:rPr>
      </w:pPr>
      <w:r>
        <w:rPr>
          <w:rFonts w:ascii="Times New Roman" w:hAnsi="Times New Roman"/>
          <w:b/>
          <w:sz w:val="24"/>
          <w:szCs w:val="24"/>
        </w:rPr>
        <w:t>K bodu 37 - § 52zzn ods. 1</w:t>
      </w:r>
    </w:p>
    <w:p w14:paraId="6A19482E" w14:textId="2BD04213" w:rsidR="00E34058" w:rsidRPr="00E34058" w:rsidRDefault="00E34058" w:rsidP="00152668">
      <w:pPr>
        <w:spacing w:after="0" w:line="240" w:lineRule="auto"/>
        <w:jc w:val="both"/>
        <w:rPr>
          <w:rFonts w:ascii="Times New Roman" w:hAnsi="Times New Roman"/>
          <w:sz w:val="24"/>
          <w:szCs w:val="24"/>
        </w:rPr>
      </w:pPr>
      <w:r>
        <w:rPr>
          <w:rFonts w:ascii="Times New Roman" w:hAnsi="Times New Roman"/>
          <w:sz w:val="24"/>
          <w:szCs w:val="24"/>
        </w:rPr>
        <w:t xml:space="preserve">Úpravou dochádza k spresneniu ustanovenia v nadväznosti na doplnenie nových odsekov 15 a 16. Ide o legislatívno-technické spresneniu z dôvodu </w:t>
      </w:r>
      <w:r w:rsidR="003E4FDF">
        <w:rPr>
          <w:rFonts w:ascii="Times New Roman" w:hAnsi="Times New Roman"/>
          <w:sz w:val="24"/>
          <w:szCs w:val="24"/>
        </w:rPr>
        <w:t>v</w:t>
      </w:r>
      <w:r>
        <w:rPr>
          <w:rFonts w:ascii="Times New Roman" w:hAnsi="Times New Roman"/>
          <w:sz w:val="24"/>
          <w:szCs w:val="24"/>
        </w:rPr>
        <w:t>ýpočtu daňového bonusu, ak sa v priebehu roku mení počet vyživovaných detí, na ktoré sa uplatňuje daňový bonus, ktoré sa bude vykonávať pri ročnom zúčtovaní v roku 2023 za zdaňovacie obdobie 2022 a pri podaní daňovom priznaní podávanom v roku 2023</w:t>
      </w:r>
      <w:r w:rsidR="003E4FDF">
        <w:rPr>
          <w:rFonts w:ascii="Times New Roman" w:hAnsi="Times New Roman"/>
          <w:sz w:val="24"/>
          <w:szCs w:val="24"/>
        </w:rPr>
        <w:t xml:space="preserve"> za zdaňovacie obdobie 2022. </w:t>
      </w:r>
    </w:p>
    <w:p w14:paraId="23D9915C" w14:textId="45769EB8" w:rsidR="00E34058" w:rsidRDefault="00E34058" w:rsidP="00152668">
      <w:pPr>
        <w:spacing w:after="0" w:line="240" w:lineRule="auto"/>
        <w:jc w:val="both"/>
        <w:rPr>
          <w:rFonts w:ascii="Times New Roman" w:hAnsi="Times New Roman"/>
          <w:b/>
          <w:sz w:val="24"/>
          <w:szCs w:val="24"/>
        </w:rPr>
      </w:pPr>
    </w:p>
    <w:p w14:paraId="72B3C4F8" w14:textId="1BEBE891" w:rsidR="003E4FDF" w:rsidRDefault="003E4FDF" w:rsidP="00152668">
      <w:pPr>
        <w:spacing w:after="0" w:line="240" w:lineRule="auto"/>
        <w:jc w:val="both"/>
        <w:rPr>
          <w:rFonts w:ascii="Times New Roman" w:hAnsi="Times New Roman"/>
          <w:b/>
          <w:sz w:val="24"/>
          <w:szCs w:val="24"/>
        </w:rPr>
      </w:pPr>
    </w:p>
    <w:p w14:paraId="4445B0AF" w14:textId="77777777" w:rsidR="003E4FDF" w:rsidRDefault="003E4FDF" w:rsidP="00152668">
      <w:pPr>
        <w:spacing w:after="0" w:line="240" w:lineRule="auto"/>
        <w:jc w:val="both"/>
        <w:rPr>
          <w:rFonts w:ascii="Times New Roman" w:hAnsi="Times New Roman"/>
          <w:b/>
          <w:sz w:val="24"/>
          <w:szCs w:val="24"/>
        </w:rPr>
      </w:pPr>
    </w:p>
    <w:p w14:paraId="693C4931" w14:textId="0637C051" w:rsidR="007B2D19" w:rsidRPr="00CE6B04" w:rsidRDefault="007B2D19" w:rsidP="00152668">
      <w:pPr>
        <w:spacing w:after="0" w:line="240" w:lineRule="auto"/>
        <w:jc w:val="both"/>
        <w:rPr>
          <w:rFonts w:ascii="Times New Roman" w:hAnsi="Times New Roman"/>
          <w:b/>
          <w:sz w:val="24"/>
          <w:szCs w:val="24"/>
        </w:rPr>
      </w:pPr>
      <w:r w:rsidRPr="00CE6B04">
        <w:rPr>
          <w:rFonts w:ascii="Times New Roman" w:hAnsi="Times New Roman"/>
          <w:b/>
          <w:sz w:val="24"/>
          <w:szCs w:val="24"/>
        </w:rPr>
        <w:t xml:space="preserve">K bodu </w:t>
      </w:r>
      <w:r w:rsidR="00CE6B04" w:rsidRPr="00CE6B04">
        <w:rPr>
          <w:rFonts w:ascii="Times New Roman" w:hAnsi="Times New Roman"/>
          <w:b/>
          <w:sz w:val="24"/>
          <w:szCs w:val="24"/>
        </w:rPr>
        <w:t>3</w:t>
      </w:r>
      <w:r w:rsidR="00E34058">
        <w:rPr>
          <w:rFonts w:ascii="Times New Roman" w:hAnsi="Times New Roman"/>
          <w:b/>
          <w:sz w:val="24"/>
          <w:szCs w:val="24"/>
        </w:rPr>
        <w:t>8</w:t>
      </w:r>
      <w:r w:rsidR="00CE6B04" w:rsidRPr="00CE6B04">
        <w:rPr>
          <w:rFonts w:ascii="Times New Roman" w:hAnsi="Times New Roman"/>
          <w:b/>
          <w:sz w:val="24"/>
          <w:szCs w:val="24"/>
        </w:rPr>
        <w:t xml:space="preserve"> </w:t>
      </w:r>
      <w:r w:rsidRPr="00CE6B04">
        <w:rPr>
          <w:rFonts w:ascii="Times New Roman" w:hAnsi="Times New Roman"/>
          <w:b/>
          <w:sz w:val="24"/>
          <w:szCs w:val="24"/>
        </w:rPr>
        <w:t>- § 52zzn ods. 15 a 16</w:t>
      </w:r>
    </w:p>
    <w:p w14:paraId="0537FDBE" w14:textId="76866766" w:rsidR="007B2D19" w:rsidRPr="00CE6B04" w:rsidRDefault="007B2D19" w:rsidP="00152668">
      <w:pPr>
        <w:spacing w:after="0" w:line="240" w:lineRule="auto"/>
        <w:jc w:val="both"/>
        <w:rPr>
          <w:rFonts w:ascii="Times New Roman" w:hAnsi="Times New Roman"/>
          <w:sz w:val="24"/>
          <w:szCs w:val="24"/>
        </w:rPr>
      </w:pPr>
      <w:r w:rsidRPr="00CE6B04">
        <w:rPr>
          <w:rFonts w:ascii="Times New Roman" w:hAnsi="Times New Roman"/>
          <w:sz w:val="24"/>
          <w:szCs w:val="24"/>
        </w:rPr>
        <w:t>Uvedenou úpravou dochádza k spresneniu už schváleného výpočtu daňového bonusu</w:t>
      </w:r>
      <w:r w:rsidR="006846DC" w:rsidRPr="00CE6B04">
        <w:rPr>
          <w:rFonts w:ascii="Times New Roman" w:hAnsi="Times New Roman"/>
          <w:sz w:val="24"/>
          <w:szCs w:val="24"/>
        </w:rPr>
        <w:t xml:space="preserve"> pri ročnom zúčtovaní za rok 2022, ktoré sa bude vykonávať v roku 2023 alebo pri daňovom priznaní za zdaňovacie obdobie 2022, ktoré sa bude podávať v roku 2023.</w:t>
      </w:r>
      <w:r w:rsidR="00CF2D28">
        <w:rPr>
          <w:rFonts w:ascii="Times New Roman" w:hAnsi="Times New Roman"/>
          <w:sz w:val="24"/>
          <w:szCs w:val="24"/>
        </w:rPr>
        <w:t xml:space="preserve"> </w:t>
      </w:r>
    </w:p>
    <w:p w14:paraId="4B5D5AD3" w14:textId="77777777" w:rsidR="006846DC" w:rsidRPr="00CE6B04" w:rsidRDefault="006846DC" w:rsidP="00152668">
      <w:pPr>
        <w:spacing w:after="0" w:line="240" w:lineRule="auto"/>
        <w:jc w:val="both"/>
        <w:rPr>
          <w:rFonts w:ascii="Times New Roman" w:hAnsi="Times New Roman"/>
          <w:sz w:val="24"/>
          <w:szCs w:val="24"/>
        </w:rPr>
      </w:pPr>
    </w:p>
    <w:p w14:paraId="20F68AA4" w14:textId="77777777" w:rsidR="006B3BA0" w:rsidRPr="00CE6B04" w:rsidRDefault="006B3BA0" w:rsidP="006B3BA0">
      <w:pPr>
        <w:spacing w:after="0" w:line="240" w:lineRule="auto"/>
        <w:jc w:val="both"/>
        <w:rPr>
          <w:rFonts w:ascii="Times New Roman" w:hAnsi="Times New Roman"/>
          <w:sz w:val="24"/>
          <w:szCs w:val="24"/>
          <w:u w:val="single"/>
        </w:rPr>
      </w:pPr>
      <w:r w:rsidRPr="00CE6B04">
        <w:rPr>
          <w:rFonts w:ascii="Times New Roman" w:hAnsi="Times New Roman"/>
          <w:sz w:val="24"/>
          <w:szCs w:val="24"/>
          <w:u w:val="single"/>
        </w:rPr>
        <w:t>Príklad</w:t>
      </w:r>
    </w:p>
    <w:p w14:paraId="2D317F89" w14:textId="77777777" w:rsidR="006B3BA0" w:rsidRPr="007B2D19" w:rsidRDefault="006B3BA0" w:rsidP="006B3BA0">
      <w:pPr>
        <w:tabs>
          <w:tab w:val="left" w:pos="5670"/>
        </w:tabs>
        <w:spacing w:after="0" w:line="240" w:lineRule="auto"/>
        <w:jc w:val="both"/>
        <w:rPr>
          <w:rFonts w:ascii="Times New Roman" w:hAnsi="Times New Roman" w:cs="Times New Roman"/>
          <w:i/>
          <w:sz w:val="24"/>
          <w:szCs w:val="24"/>
        </w:rPr>
      </w:pPr>
      <w:r w:rsidRPr="007B2D19">
        <w:rPr>
          <w:rFonts w:ascii="Times New Roman" w:hAnsi="Times New Roman" w:cs="Times New Roman"/>
          <w:i/>
          <w:sz w:val="24"/>
          <w:szCs w:val="24"/>
        </w:rPr>
        <w:t xml:space="preserve">Zamestnanec poberal príjmy zo závislej činnosti od jedného zamestnávateľa v mesiacoch január a február, ktorý mu uplatnil daňový bonus na tri deti vo veku do 6 rokov v sume 141,42 € mesačne (47,14 € x 3 deti). V mesiacoch marec až júl bol zamestnanec nezamestnaný, ale od augusta začal poberať príjmy zo závislej činnosti od nového zamestnávateľa. V septembri sa zamestnanec oženil, a od októbra si začal uplatňovať nárok na daňový bonus aj na manželkine dve deti vo veku nad 15 rokov. Zamestnanec, pri uplatnení daňového bonusu u nového zamestnávateľa, vo vyhlásení podľa § 36 ods. 6 ZDP uviedol aj tú skutočnosť, že závislú činnosť, z ktorej dosahuje zdaniteľné príjmy podľa § 5 ZDP vykonával aj v prvom polroku 2022. Zamestnávatelia v priebehu roka vyplatil zamestnancovi daňový bonus (pozri tabuľku č. 1). V akej sume má zamestnanec nárok na daňový bonus za celý rok 2022, ak nemá iné príjmy podľa § 5 ani príjmy podľa § 6 ods. 1 a 2 ZDP? </w:t>
      </w:r>
    </w:p>
    <w:p w14:paraId="5EF668F5" w14:textId="77777777" w:rsidR="006B3BA0" w:rsidRPr="007B2D19" w:rsidRDefault="006B3BA0" w:rsidP="006B3BA0">
      <w:pPr>
        <w:pStyle w:val="Normlny1"/>
        <w:spacing w:after="0" w:line="240" w:lineRule="auto"/>
        <w:ind w:left="284"/>
        <w:jc w:val="both"/>
        <w:rPr>
          <w:rFonts w:ascii="Times New Roman" w:hAnsi="Times New Roman" w:cs="Times New Roman"/>
          <w:i/>
          <w:sz w:val="24"/>
          <w:szCs w:val="24"/>
        </w:rPr>
      </w:pPr>
    </w:p>
    <w:p w14:paraId="2E257611" w14:textId="77777777" w:rsidR="006B3BA0" w:rsidRPr="003D3CE5" w:rsidRDefault="006B3BA0" w:rsidP="006B3BA0">
      <w:pPr>
        <w:pStyle w:val="Normlny1"/>
        <w:spacing w:after="0" w:line="240" w:lineRule="auto"/>
        <w:ind w:left="284"/>
        <w:jc w:val="both"/>
        <w:rPr>
          <w:rFonts w:ascii="Arial Narrow" w:hAnsi="Arial Narrow" w:cs="Arial Narrow"/>
          <w:i/>
          <w:sz w:val="18"/>
          <w:szCs w:val="18"/>
        </w:rPr>
      </w:pPr>
      <w:r w:rsidRPr="00C010ED">
        <w:rPr>
          <w:rFonts w:ascii="Arial Narrow" w:hAnsi="Arial Narrow" w:cs="Arial Narrow"/>
          <w:i/>
          <w:sz w:val="18"/>
          <w:szCs w:val="18"/>
        </w:rPr>
        <w:t xml:space="preserve">Tabuľka č. </w:t>
      </w:r>
      <w:r>
        <w:rPr>
          <w:rFonts w:ascii="Arial Narrow" w:hAnsi="Arial Narrow" w:cs="Arial Narrow"/>
          <w:i/>
          <w:sz w:val="18"/>
          <w:szCs w:val="18"/>
        </w:rPr>
        <w:t>1</w:t>
      </w:r>
      <w:r w:rsidRPr="00C010ED">
        <w:rPr>
          <w:rFonts w:ascii="Arial Narrow" w:hAnsi="Arial Narrow" w:cs="Arial Narrow"/>
          <w:i/>
          <w:sz w:val="18"/>
          <w:szCs w:val="18"/>
        </w:rPr>
        <w:t xml:space="preserve"> Uplatnenie daňového bonusu v priebehu zdaňovacieho obdobia a súhrnné údaje za celý rok</w:t>
      </w:r>
    </w:p>
    <w:tbl>
      <w:tblPr>
        <w:tblW w:w="9527" w:type="dxa"/>
        <w:tblInd w:w="137" w:type="dxa"/>
        <w:tblLayout w:type="fixed"/>
        <w:tblCellMar>
          <w:left w:w="70" w:type="dxa"/>
          <w:right w:w="70" w:type="dxa"/>
        </w:tblCellMar>
        <w:tblLook w:val="04A0" w:firstRow="1" w:lastRow="0" w:firstColumn="1" w:lastColumn="0" w:noHBand="0" w:noVBand="1"/>
      </w:tblPr>
      <w:tblGrid>
        <w:gridCol w:w="851"/>
        <w:gridCol w:w="992"/>
        <w:gridCol w:w="850"/>
        <w:gridCol w:w="851"/>
        <w:gridCol w:w="992"/>
        <w:gridCol w:w="992"/>
        <w:gridCol w:w="993"/>
        <w:gridCol w:w="992"/>
        <w:gridCol w:w="992"/>
        <w:gridCol w:w="1022"/>
      </w:tblGrid>
      <w:tr w:rsidR="006B3BA0" w:rsidRPr="007B2D19" w14:paraId="68D308BF" w14:textId="77777777" w:rsidTr="007E30DA">
        <w:trPr>
          <w:trHeight w:val="331"/>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F35B3" w14:textId="77777777" w:rsidR="006B3BA0" w:rsidRPr="007B2D19" w:rsidRDefault="006B3BA0" w:rsidP="007E30DA">
            <w:pPr>
              <w:spacing w:after="0" w:line="240" w:lineRule="auto"/>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42C17D4" w14:textId="77777777" w:rsidR="006B3BA0" w:rsidRPr="007B2D19" w:rsidRDefault="006B3BA0" w:rsidP="007E30DA">
            <w:pPr>
              <w:spacing w:after="0" w:line="240" w:lineRule="auto"/>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Január</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A9AE6F9" w14:textId="77777777" w:rsidR="006B3BA0" w:rsidRPr="007B2D19" w:rsidRDefault="006B3BA0" w:rsidP="007E30DA">
            <w:pPr>
              <w:spacing w:after="0" w:line="240" w:lineRule="auto"/>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Február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39BB8D2" w14:textId="77777777" w:rsidR="006B3BA0" w:rsidRPr="007B2D19" w:rsidRDefault="006B3BA0" w:rsidP="007E30DA">
            <w:pPr>
              <w:spacing w:after="0" w:line="240" w:lineRule="auto"/>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August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E2C5F" w14:textId="77777777" w:rsidR="006B3BA0" w:rsidRPr="007B2D19" w:rsidRDefault="006B3BA0" w:rsidP="007E30DA">
            <w:pPr>
              <w:spacing w:after="0" w:line="240" w:lineRule="auto"/>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September</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2C941C8" w14:textId="77777777" w:rsidR="006B3BA0" w:rsidRPr="007B2D19" w:rsidRDefault="006B3BA0" w:rsidP="007E30DA">
            <w:pPr>
              <w:spacing w:after="0" w:line="240" w:lineRule="auto"/>
              <w:rPr>
                <w:rFonts w:ascii="Times New Roman" w:eastAsia="Times New Roman" w:hAnsi="Times New Roman" w:cs="Times New Roman"/>
                <w:bCs/>
                <w:i/>
                <w:color w:val="000000"/>
                <w:lang w:eastAsia="sk-SK"/>
              </w:rPr>
            </w:pPr>
            <w:r w:rsidRPr="007B2D19">
              <w:rPr>
                <w:rFonts w:ascii="Times New Roman" w:eastAsia="Times New Roman" w:hAnsi="Times New Roman" w:cs="Times New Roman"/>
                <w:bCs/>
                <w:i/>
                <w:color w:val="000000"/>
                <w:lang w:eastAsia="sk-SK"/>
              </w:rPr>
              <w:t>Október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DED6682" w14:textId="77777777" w:rsidR="006B3BA0" w:rsidRPr="007B2D19" w:rsidRDefault="006B3BA0" w:rsidP="007E30DA">
            <w:pPr>
              <w:spacing w:after="0" w:line="240" w:lineRule="auto"/>
              <w:rPr>
                <w:rFonts w:ascii="Times New Roman" w:eastAsia="Times New Roman" w:hAnsi="Times New Roman" w:cs="Times New Roman"/>
                <w:bCs/>
                <w:i/>
                <w:color w:val="000000"/>
                <w:lang w:eastAsia="sk-SK"/>
              </w:rPr>
            </w:pPr>
            <w:r w:rsidRPr="007B2D19">
              <w:rPr>
                <w:rFonts w:ascii="Times New Roman" w:eastAsia="Times New Roman" w:hAnsi="Times New Roman" w:cs="Times New Roman"/>
                <w:bCs/>
                <w:i/>
                <w:color w:val="000000"/>
                <w:lang w:eastAsia="sk-SK"/>
              </w:rPr>
              <w:t>November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7823C53" w14:textId="77777777" w:rsidR="006B3BA0" w:rsidRPr="007B2D19" w:rsidRDefault="006B3BA0" w:rsidP="007E30DA">
            <w:pPr>
              <w:spacing w:after="0" w:line="240" w:lineRule="auto"/>
              <w:rPr>
                <w:rFonts w:ascii="Times New Roman" w:eastAsia="Times New Roman" w:hAnsi="Times New Roman" w:cs="Times New Roman"/>
                <w:bCs/>
                <w:i/>
                <w:color w:val="000000"/>
                <w:lang w:eastAsia="sk-SK"/>
              </w:rPr>
            </w:pPr>
            <w:r w:rsidRPr="007B2D19">
              <w:rPr>
                <w:rFonts w:ascii="Times New Roman" w:eastAsia="Times New Roman" w:hAnsi="Times New Roman" w:cs="Times New Roman"/>
                <w:bCs/>
                <w:i/>
                <w:color w:val="000000"/>
                <w:lang w:eastAsia="sk-SK"/>
              </w:rPr>
              <w:t>December</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14:paraId="0A5137B6" w14:textId="77777777" w:rsidR="006B3BA0" w:rsidRPr="007B2D19" w:rsidRDefault="006B3BA0" w:rsidP="007E30DA">
            <w:pPr>
              <w:spacing w:after="0" w:line="240" w:lineRule="auto"/>
              <w:rPr>
                <w:rFonts w:ascii="Times New Roman" w:eastAsia="Times New Roman" w:hAnsi="Times New Roman" w:cs="Times New Roman"/>
                <w:b/>
                <w:bCs/>
                <w:i/>
                <w:color w:val="000000"/>
                <w:lang w:eastAsia="sk-SK"/>
              </w:rPr>
            </w:pPr>
            <w:r w:rsidRPr="007B2D19">
              <w:rPr>
                <w:rFonts w:ascii="Times New Roman" w:eastAsia="Times New Roman" w:hAnsi="Times New Roman" w:cs="Times New Roman"/>
                <w:b/>
                <w:bCs/>
                <w:i/>
                <w:color w:val="000000"/>
                <w:lang w:eastAsia="sk-SK"/>
              </w:rPr>
              <w:t>Spolu</w:t>
            </w:r>
          </w:p>
        </w:tc>
      </w:tr>
      <w:tr w:rsidR="006B3BA0" w:rsidRPr="007B2D19" w14:paraId="466CDB40" w14:textId="77777777" w:rsidTr="007E30DA">
        <w:trPr>
          <w:trHeight w:val="331"/>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037A1B" w14:textId="77777777" w:rsidR="006B3BA0" w:rsidRPr="007B2D19" w:rsidRDefault="006B3BA0" w:rsidP="007E30DA">
            <w:pPr>
              <w:spacing w:after="0" w:line="240" w:lineRule="auto"/>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Príjem zo ZČ</w:t>
            </w:r>
          </w:p>
        </w:tc>
        <w:tc>
          <w:tcPr>
            <w:tcW w:w="850" w:type="dxa"/>
            <w:tcBorders>
              <w:top w:val="nil"/>
              <w:left w:val="nil"/>
              <w:bottom w:val="single" w:sz="4" w:space="0" w:color="auto"/>
              <w:right w:val="single" w:sz="4" w:space="0" w:color="auto"/>
            </w:tcBorders>
            <w:shd w:val="clear" w:color="auto" w:fill="auto"/>
            <w:noWrap/>
            <w:vAlign w:val="bottom"/>
            <w:hideMark/>
          </w:tcPr>
          <w:p w14:paraId="377014CF"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600 €</w:t>
            </w:r>
          </w:p>
        </w:tc>
        <w:tc>
          <w:tcPr>
            <w:tcW w:w="851" w:type="dxa"/>
            <w:tcBorders>
              <w:top w:val="nil"/>
              <w:left w:val="nil"/>
              <w:bottom w:val="single" w:sz="4" w:space="0" w:color="auto"/>
              <w:right w:val="single" w:sz="4" w:space="0" w:color="auto"/>
            </w:tcBorders>
            <w:shd w:val="clear" w:color="auto" w:fill="auto"/>
            <w:noWrap/>
            <w:vAlign w:val="bottom"/>
            <w:hideMark/>
          </w:tcPr>
          <w:p w14:paraId="61DB091D"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600 €</w:t>
            </w:r>
          </w:p>
        </w:tc>
        <w:tc>
          <w:tcPr>
            <w:tcW w:w="992" w:type="dxa"/>
            <w:tcBorders>
              <w:top w:val="nil"/>
              <w:left w:val="nil"/>
              <w:bottom w:val="single" w:sz="4" w:space="0" w:color="auto"/>
              <w:right w:val="single" w:sz="4" w:space="0" w:color="auto"/>
            </w:tcBorders>
            <w:shd w:val="clear" w:color="auto" w:fill="auto"/>
            <w:noWrap/>
            <w:vAlign w:val="bottom"/>
            <w:hideMark/>
          </w:tcPr>
          <w:p w14:paraId="2AF98C0E"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780 €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27ECBDA"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780 €</w:t>
            </w:r>
          </w:p>
        </w:tc>
        <w:tc>
          <w:tcPr>
            <w:tcW w:w="993" w:type="dxa"/>
            <w:tcBorders>
              <w:top w:val="nil"/>
              <w:left w:val="nil"/>
              <w:bottom w:val="single" w:sz="4" w:space="0" w:color="auto"/>
              <w:right w:val="single" w:sz="4" w:space="0" w:color="auto"/>
            </w:tcBorders>
            <w:shd w:val="clear" w:color="auto" w:fill="auto"/>
            <w:noWrap/>
            <w:vAlign w:val="bottom"/>
            <w:hideMark/>
          </w:tcPr>
          <w:p w14:paraId="155F5113"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650 €</w:t>
            </w:r>
          </w:p>
        </w:tc>
        <w:tc>
          <w:tcPr>
            <w:tcW w:w="992" w:type="dxa"/>
            <w:tcBorders>
              <w:top w:val="nil"/>
              <w:left w:val="nil"/>
              <w:bottom w:val="single" w:sz="4" w:space="0" w:color="auto"/>
              <w:right w:val="single" w:sz="4" w:space="0" w:color="auto"/>
            </w:tcBorders>
            <w:shd w:val="clear" w:color="auto" w:fill="auto"/>
            <w:noWrap/>
            <w:vAlign w:val="bottom"/>
            <w:hideMark/>
          </w:tcPr>
          <w:p w14:paraId="04B60871"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650 €</w:t>
            </w:r>
          </w:p>
        </w:tc>
        <w:tc>
          <w:tcPr>
            <w:tcW w:w="992" w:type="dxa"/>
            <w:tcBorders>
              <w:top w:val="nil"/>
              <w:left w:val="nil"/>
              <w:bottom w:val="single" w:sz="4" w:space="0" w:color="auto"/>
              <w:right w:val="single" w:sz="4" w:space="0" w:color="auto"/>
            </w:tcBorders>
            <w:shd w:val="clear" w:color="auto" w:fill="auto"/>
            <w:noWrap/>
            <w:vAlign w:val="bottom"/>
            <w:hideMark/>
          </w:tcPr>
          <w:p w14:paraId="566E95EA"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1600 €</w:t>
            </w:r>
          </w:p>
        </w:tc>
        <w:tc>
          <w:tcPr>
            <w:tcW w:w="1022" w:type="dxa"/>
            <w:tcBorders>
              <w:top w:val="nil"/>
              <w:left w:val="nil"/>
              <w:bottom w:val="single" w:sz="4" w:space="0" w:color="auto"/>
              <w:right w:val="single" w:sz="4" w:space="0" w:color="auto"/>
            </w:tcBorders>
            <w:shd w:val="clear" w:color="auto" w:fill="auto"/>
            <w:noWrap/>
            <w:vAlign w:val="bottom"/>
            <w:hideMark/>
          </w:tcPr>
          <w:p w14:paraId="6B7A1B0E" w14:textId="77777777" w:rsidR="006B3BA0" w:rsidRPr="007B2D19" w:rsidRDefault="006B3BA0" w:rsidP="007E30DA">
            <w:pPr>
              <w:spacing w:after="0" w:line="240" w:lineRule="auto"/>
              <w:jc w:val="right"/>
              <w:rPr>
                <w:rFonts w:ascii="Times New Roman" w:eastAsia="Times New Roman" w:hAnsi="Times New Roman" w:cs="Times New Roman"/>
                <w:b/>
                <w:bCs/>
                <w:i/>
                <w:color w:val="000000"/>
                <w:lang w:eastAsia="sk-SK"/>
              </w:rPr>
            </w:pPr>
            <w:r w:rsidRPr="007B2D19">
              <w:rPr>
                <w:rFonts w:ascii="Times New Roman" w:eastAsia="Times New Roman" w:hAnsi="Times New Roman" w:cs="Times New Roman"/>
                <w:b/>
                <w:bCs/>
                <w:i/>
                <w:color w:val="000000"/>
                <w:lang w:eastAsia="sk-SK"/>
              </w:rPr>
              <w:t>5 660 €</w:t>
            </w:r>
          </w:p>
        </w:tc>
      </w:tr>
      <w:tr w:rsidR="006B3BA0" w:rsidRPr="007B2D19" w14:paraId="70B21C98" w14:textId="77777777" w:rsidTr="007E30DA">
        <w:trPr>
          <w:trHeight w:val="331"/>
        </w:trPr>
        <w:tc>
          <w:tcPr>
            <w:tcW w:w="1843"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9240722" w14:textId="77777777" w:rsidR="006B3BA0" w:rsidRPr="007B2D19" w:rsidRDefault="006B3BA0" w:rsidP="007E30DA">
            <w:pPr>
              <w:spacing w:after="0" w:line="240" w:lineRule="auto"/>
              <w:rPr>
                <w:rFonts w:ascii="Times New Roman" w:eastAsia="Times New Roman" w:hAnsi="Times New Roman" w:cs="Times New Roman"/>
                <w:b/>
                <w:bCs/>
                <w:i/>
                <w:color w:val="000000"/>
                <w:lang w:eastAsia="sk-SK"/>
              </w:rPr>
            </w:pPr>
            <w:r w:rsidRPr="007B2D19">
              <w:rPr>
                <w:rFonts w:ascii="Times New Roman" w:eastAsia="Times New Roman" w:hAnsi="Times New Roman" w:cs="Times New Roman"/>
                <w:b/>
                <w:bCs/>
                <w:i/>
                <w:color w:val="000000"/>
                <w:lang w:eastAsia="sk-SK"/>
              </w:rPr>
              <w:t>ČZD</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14:paraId="563277DF" w14:textId="77777777" w:rsidR="006B3BA0" w:rsidRPr="007B2D19" w:rsidRDefault="006B3BA0" w:rsidP="007E30DA">
            <w:pPr>
              <w:spacing w:after="0" w:line="240" w:lineRule="auto"/>
              <w:jc w:val="right"/>
              <w:rPr>
                <w:rFonts w:ascii="Times New Roman" w:eastAsia="Times New Roman" w:hAnsi="Times New Roman" w:cs="Times New Roman"/>
                <w:b/>
                <w:bCs/>
                <w:i/>
                <w:color w:val="000000"/>
                <w:lang w:eastAsia="sk-SK"/>
              </w:rPr>
            </w:pPr>
            <w:r w:rsidRPr="007B2D19">
              <w:rPr>
                <w:rFonts w:ascii="Times New Roman" w:eastAsia="Times New Roman" w:hAnsi="Times New Roman" w:cs="Times New Roman"/>
                <w:b/>
                <w:bCs/>
                <w:i/>
                <w:color w:val="000000"/>
                <w:lang w:eastAsia="sk-SK"/>
              </w:rPr>
              <w:t>519,60 €</w:t>
            </w:r>
          </w:p>
        </w:tc>
        <w:tc>
          <w:tcPr>
            <w:tcW w:w="851" w:type="dxa"/>
            <w:tcBorders>
              <w:top w:val="nil"/>
              <w:left w:val="nil"/>
              <w:bottom w:val="single" w:sz="4" w:space="0" w:color="auto"/>
              <w:right w:val="single" w:sz="4" w:space="0" w:color="auto"/>
            </w:tcBorders>
            <w:shd w:val="clear" w:color="auto" w:fill="F2F2F2" w:themeFill="background1" w:themeFillShade="F2"/>
            <w:noWrap/>
            <w:vAlign w:val="bottom"/>
            <w:hideMark/>
          </w:tcPr>
          <w:p w14:paraId="692D7BA7" w14:textId="77777777" w:rsidR="006B3BA0" w:rsidRPr="007B2D19" w:rsidRDefault="006B3BA0" w:rsidP="007E30DA">
            <w:pPr>
              <w:spacing w:after="0" w:line="240" w:lineRule="auto"/>
              <w:jc w:val="right"/>
              <w:rPr>
                <w:rFonts w:ascii="Times New Roman" w:eastAsia="Times New Roman" w:hAnsi="Times New Roman" w:cs="Times New Roman"/>
                <w:b/>
                <w:bCs/>
                <w:i/>
                <w:color w:val="000000"/>
                <w:lang w:eastAsia="sk-SK"/>
              </w:rPr>
            </w:pPr>
            <w:r w:rsidRPr="007B2D19">
              <w:rPr>
                <w:rFonts w:ascii="Times New Roman" w:eastAsia="Times New Roman" w:hAnsi="Times New Roman" w:cs="Times New Roman"/>
                <w:b/>
                <w:bCs/>
                <w:i/>
                <w:color w:val="000000"/>
                <w:lang w:eastAsia="sk-SK"/>
              </w:rPr>
              <w:t>519,6 €</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14:paraId="10EDA71D" w14:textId="77777777" w:rsidR="006B3BA0" w:rsidRPr="007B2D19" w:rsidRDefault="006B3BA0" w:rsidP="007E30DA">
            <w:pPr>
              <w:spacing w:after="0" w:line="240" w:lineRule="auto"/>
              <w:jc w:val="right"/>
              <w:rPr>
                <w:rFonts w:ascii="Times New Roman" w:eastAsia="Times New Roman" w:hAnsi="Times New Roman" w:cs="Times New Roman"/>
                <w:b/>
                <w:bCs/>
                <w:i/>
                <w:color w:val="000000"/>
                <w:lang w:eastAsia="sk-SK"/>
              </w:rPr>
            </w:pPr>
            <w:r w:rsidRPr="007B2D19">
              <w:rPr>
                <w:rFonts w:ascii="Times New Roman" w:eastAsia="Times New Roman" w:hAnsi="Times New Roman" w:cs="Times New Roman"/>
                <w:b/>
                <w:bCs/>
                <w:i/>
                <w:color w:val="000000"/>
                <w:lang w:eastAsia="sk-SK"/>
              </w:rPr>
              <w:t>675,48€</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830B72A" w14:textId="77777777" w:rsidR="006B3BA0" w:rsidRPr="007B2D19" w:rsidRDefault="006B3BA0" w:rsidP="007E30DA">
            <w:pPr>
              <w:spacing w:after="0" w:line="240" w:lineRule="auto"/>
              <w:jc w:val="right"/>
              <w:rPr>
                <w:rFonts w:ascii="Times New Roman" w:eastAsia="Times New Roman" w:hAnsi="Times New Roman" w:cs="Times New Roman"/>
                <w:b/>
                <w:bCs/>
                <w:i/>
                <w:color w:val="000000"/>
                <w:lang w:eastAsia="sk-SK"/>
              </w:rPr>
            </w:pPr>
            <w:r w:rsidRPr="007B2D19">
              <w:rPr>
                <w:rFonts w:ascii="Times New Roman" w:eastAsia="Times New Roman" w:hAnsi="Times New Roman" w:cs="Times New Roman"/>
                <w:b/>
                <w:bCs/>
                <w:i/>
                <w:color w:val="000000"/>
                <w:lang w:eastAsia="sk-SK"/>
              </w:rPr>
              <w:t>675,48 €</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hideMark/>
          </w:tcPr>
          <w:p w14:paraId="4FEF7F81" w14:textId="77777777" w:rsidR="006B3BA0" w:rsidRPr="007B2D19" w:rsidRDefault="006B3BA0" w:rsidP="007E30DA">
            <w:pPr>
              <w:spacing w:after="0" w:line="240" w:lineRule="auto"/>
              <w:jc w:val="right"/>
              <w:rPr>
                <w:rFonts w:ascii="Times New Roman" w:eastAsia="Times New Roman" w:hAnsi="Times New Roman" w:cs="Times New Roman"/>
                <w:b/>
                <w:bCs/>
                <w:i/>
                <w:color w:val="000000"/>
                <w:lang w:eastAsia="sk-SK"/>
              </w:rPr>
            </w:pPr>
            <w:r w:rsidRPr="007B2D19">
              <w:rPr>
                <w:rFonts w:ascii="Times New Roman" w:eastAsia="Times New Roman" w:hAnsi="Times New Roman" w:cs="Times New Roman"/>
                <w:b/>
                <w:bCs/>
                <w:i/>
                <w:color w:val="000000"/>
                <w:lang w:eastAsia="sk-SK"/>
              </w:rPr>
              <w:t>562,90 €</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14:paraId="31FB4903" w14:textId="77777777" w:rsidR="006B3BA0" w:rsidRPr="007B2D19" w:rsidRDefault="006B3BA0" w:rsidP="007E30DA">
            <w:pPr>
              <w:spacing w:after="0" w:line="240" w:lineRule="auto"/>
              <w:jc w:val="right"/>
              <w:rPr>
                <w:rFonts w:ascii="Times New Roman" w:eastAsia="Times New Roman" w:hAnsi="Times New Roman" w:cs="Times New Roman"/>
                <w:b/>
                <w:bCs/>
                <w:i/>
                <w:color w:val="000000"/>
                <w:lang w:eastAsia="sk-SK"/>
              </w:rPr>
            </w:pPr>
            <w:r w:rsidRPr="007B2D19">
              <w:rPr>
                <w:rFonts w:ascii="Times New Roman" w:eastAsia="Times New Roman" w:hAnsi="Times New Roman" w:cs="Times New Roman"/>
                <w:b/>
                <w:bCs/>
                <w:i/>
                <w:color w:val="000000"/>
                <w:lang w:eastAsia="sk-SK"/>
              </w:rPr>
              <w:t>562,90 €</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14:paraId="102CC711" w14:textId="77777777" w:rsidR="006B3BA0" w:rsidRPr="007B2D19" w:rsidRDefault="006B3BA0" w:rsidP="007E30DA">
            <w:pPr>
              <w:spacing w:after="0" w:line="240" w:lineRule="auto"/>
              <w:jc w:val="right"/>
              <w:rPr>
                <w:rFonts w:ascii="Times New Roman" w:eastAsia="Times New Roman" w:hAnsi="Times New Roman" w:cs="Times New Roman"/>
                <w:b/>
                <w:bCs/>
                <w:i/>
                <w:color w:val="000000"/>
                <w:lang w:eastAsia="sk-SK"/>
              </w:rPr>
            </w:pPr>
            <w:r w:rsidRPr="007B2D19">
              <w:rPr>
                <w:rFonts w:ascii="Times New Roman" w:eastAsia="Times New Roman" w:hAnsi="Times New Roman" w:cs="Times New Roman"/>
                <w:b/>
                <w:bCs/>
                <w:i/>
                <w:color w:val="000000"/>
                <w:lang w:eastAsia="sk-SK"/>
              </w:rPr>
              <w:t xml:space="preserve">1385,60 € </w:t>
            </w:r>
          </w:p>
        </w:tc>
        <w:tc>
          <w:tcPr>
            <w:tcW w:w="1022" w:type="dxa"/>
            <w:tcBorders>
              <w:top w:val="nil"/>
              <w:left w:val="nil"/>
              <w:bottom w:val="single" w:sz="4" w:space="0" w:color="auto"/>
              <w:right w:val="single" w:sz="4" w:space="0" w:color="auto"/>
            </w:tcBorders>
            <w:shd w:val="clear" w:color="auto" w:fill="F2F2F2" w:themeFill="background1" w:themeFillShade="F2"/>
            <w:noWrap/>
            <w:vAlign w:val="bottom"/>
            <w:hideMark/>
          </w:tcPr>
          <w:p w14:paraId="20DD9BE3" w14:textId="77777777" w:rsidR="006B3BA0" w:rsidRPr="007B2D19" w:rsidRDefault="006B3BA0" w:rsidP="007E30DA">
            <w:pPr>
              <w:spacing w:after="0" w:line="240" w:lineRule="auto"/>
              <w:jc w:val="right"/>
              <w:rPr>
                <w:rFonts w:ascii="Times New Roman" w:eastAsia="Times New Roman" w:hAnsi="Times New Roman" w:cs="Times New Roman"/>
                <w:b/>
                <w:bCs/>
                <w:i/>
                <w:color w:val="000000"/>
                <w:lang w:eastAsia="sk-SK"/>
              </w:rPr>
            </w:pPr>
            <w:r w:rsidRPr="007B2D19">
              <w:rPr>
                <w:rFonts w:ascii="Times New Roman" w:eastAsia="Times New Roman" w:hAnsi="Times New Roman" w:cs="Times New Roman"/>
                <w:b/>
                <w:bCs/>
                <w:i/>
                <w:color w:val="000000"/>
                <w:lang w:eastAsia="sk-SK"/>
              </w:rPr>
              <w:t>4 901,56 €</w:t>
            </w:r>
          </w:p>
        </w:tc>
      </w:tr>
      <w:tr w:rsidR="006B3BA0" w:rsidRPr="007B2D19" w14:paraId="0B015E13" w14:textId="77777777" w:rsidTr="007E30DA">
        <w:trPr>
          <w:trHeight w:val="331"/>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FFD7D8" w14:textId="77777777" w:rsidR="006B3BA0" w:rsidRPr="007B2D19" w:rsidRDefault="006B3BA0" w:rsidP="007E30DA">
            <w:pPr>
              <w:spacing w:after="0" w:line="240" w:lineRule="auto"/>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Preddavok na daň</w:t>
            </w:r>
          </w:p>
        </w:tc>
        <w:tc>
          <w:tcPr>
            <w:tcW w:w="850" w:type="dxa"/>
            <w:tcBorders>
              <w:top w:val="nil"/>
              <w:left w:val="nil"/>
              <w:bottom w:val="single" w:sz="4" w:space="0" w:color="auto"/>
              <w:right w:val="single" w:sz="4" w:space="0" w:color="auto"/>
            </w:tcBorders>
            <w:shd w:val="clear" w:color="auto" w:fill="auto"/>
            <w:noWrap/>
            <w:vAlign w:val="bottom"/>
            <w:hideMark/>
          </w:tcPr>
          <w:p w14:paraId="21087793"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26,22 €</w:t>
            </w:r>
          </w:p>
        </w:tc>
        <w:tc>
          <w:tcPr>
            <w:tcW w:w="851" w:type="dxa"/>
            <w:tcBorders>
              <w:top w:val="nil"/>
              <w:left w:val="nil"/>
              <w:bottom w:val="single" w:sz="4" w:space="0" w:color="auto"/>
              <w:right w:val="single" w:sz="4" w:space="0" w:color="auto"/>
            </w:tcBorders>
            <w:shd w:val="clear" w:color="auto" w:fill="auto"/>
            <w:noWrap/>
            <w:vAlign w:val="bottom"/>
            <w:hideMark/>
          </w:tcPr>
          <w:p w14:paraId="5CE010DA"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26,22 €</w:t>
            </w:r>
          </w:p>
        </w:tc>
        <w:tc>
          <w:tcPr>
            <w:tcW w:w="992" w:type="dxa"/>
            <w:tcBorders>
              <w:top w:val="nil"/>
              <w:left w:val="nil"/>
              <w:bottom w:val="single" w:sz="4" w:space="0" w:color="auto"/>
              <w:right w:val="single" w:sz="4" w:space="0" w:color="auto"/>
            </w:tcBorders>
            <w:shd w:val="clear" w:color="auto" w:fill="auto"/>
            <w:noWrap/>
            <w:vAlign w:val="bottom"/>
            <w:hideMark/>
          </w:tcPr>
          <w:p w14:paraId="1AF35BDB"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55,84 €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517A02D"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55,84 €</w:t>
            </w:r>
          </w:p>
        </w:tc>
        <w:tc>
          <w:tcPr>
            <w:tcW w:w="993" w:type="dxa"/>
            <w:tcBorders>
              <w:top w:val="nil"/>
              <w:left w:val="nil"/>
              <w:bottom w:val="single" w:sz="4" w:space="0" w:color="auto"/>
              <w:right w:val="single" w:sz="4" w:space="0" w:color="auto"/>
            </w:tcBorders>
            <w:shd w:val="clear" w:color="auto" w:fill="auto"/>
            <w:noWrap/>
            <w:vAlign w:val="bottom"/>
            <w:hideMark/>
          </w:tcPr>
          <w:p w14:paraId="766899FD"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34,45 €</w:t>
            </w:r>
          </w:p>
        </w:tc>
        <w:tc>
          <w:tcPr>
            <w:tcW w:w="992" w:type="dxa"/>
            <w:tcBorders>
              <w:top w:val="nil"/>
              <w:left w:val="nil"/>
              <w:bottom w:val="single" w:sz="4" w:space="0" w:color="auto"/>
              <w:right w:val="single" w:sz="4" w:space="0" w:color="auto"/>
            </w:tcBorders>
            <w:shd w:val="clear" w:color="auto" w:fill="auto"/>
            <w:noWrap/>
            <w:vAlign w:val="bottom"/>
            <w:hideMark/>
          </w:tcPr>
          <w:p w14:paraId="25E86F3B"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34,45 €</w:t>
            </w:r>
          </w:p>
        </w:tc>
        <w:tc>
          <w:tcPr>
            <w:tcW w:w="992" w:type="dxa"/>
            <w:tcBorders>
              <w:top w:val="nil"/>
              <w:left w:val="nil"/>
              <w:bottom w:val="single" w:sz="4" w:space="0" w:color="auto"/>
              <w:right w:val="single" w:sz="4" w:space="0" w:color="auto"/>
            </w:tcBorders>
            <w:shd w:val="clear" w:color="auto" w:fill="auto"/>
            <w:noWrap/>
            <w:vAlign w:val="bottom"/>
            <w:hideMark/>
          </w:tcPr>
          <w:p w14:paraId="60FFE8B3"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190,76 €</w:t>
            </w:r>
          </w:p>
        </w:tc>
        <w:tc>
          <w:tcPr>
            <w:tcW w:w="1022" w:type="dxa"/>
            <w:tcBorders>
              <w:top w:val="nil"/>
              <w:left w:val="nil"/>
              <w:bottom w:val="single" w:sz="4" w:space="0" w:color="auto"/>
              <w:right w:val="single" w:sz="4" w:space="0" w:color="auto"/>
            </w:tcBorders>
            <w:shd w:val="clear" w:color="auto" w:fill="auto"/>
            <w:noWrap/>
            <w:vAlign w:val="bottom"/>
            <w:hideMark/>
          </w:tcPr>
          <w:p w14:paraId="548EF2B1"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371,32 €</w:t>
            </w:r>
          </w:p>
        </w:tc>
      </w:tr>
      <w:tr w:rsidR="006B3BA0" w:rsidRPr="007B2D19" w14:paraId="6C105ED6" w14:textId="77777777" w:rsidTr="007E30DA">
        <w:trPr>
          <w:trHeight w:val="180"/>
        </w:trPr>
        <w:tc>
          <w:tcPr>
            <w:tcW w:w="851" w:type="dxa"/>
            <w:vMerge w:val="restart"/>
            <w:tcBorders>
              <w:top w:val="nil"/>
              <w:left w:val="single" w:sz="4" w:space="0" w:color="auto"/>
              <w:right w:val="single" w:sz="4" w:space="0" w:color="auto"/>
            </w:tcBorders>
            <w:shd w:val="clear" w:color="auto" w:fill="auto"/>
            <w:noWrap/>
            <w:vAlign w:val="center"/>
            <w:hideMark/>
          </w:tcPr>
          <w:p w14:paraId="4E82B659" w14:textId="77777777" w:rsidR="006B3BA0" w:rsidRPr="007B2D19" w:rsidRDefault="006B3BA0" w:rsidP="007E30DA">
            <w:pPr>
              <w:spacing w:after="0" w:line="240" w:lineRule="auto"/>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 xml:space="preserve">Duma DB  </w:t>
            </w:r>
          </w:p>
        </w:tc>
        <w:tc>
          <w:tcPr>
            <w:tcW w:w="992" w:type="dxa"/>
            <w:tcBorders>
              <w:top w:val="nil"/>
              <w:left w:val="single" w:sz="4" w:space="0" w:color="auto"/>
              <w:bottom w:val="single" w:sz="4" w:space="0" w:color="auto"/>
              <w:right w:val="single" w:sz="4" w:space="0" w:color="auto"/>
            </w:tcBorders>
            <w:shd w:val="clear" w:color="auto" w:fill="auto"/>
            <w:vAlign w:val="center"/>
          </w:tcPr>
          <w:p w14:paraId="079A5E0F" w14:textId="77777777" w:rsidR="006B3BA0" w:rsidRPr="007B2D19" w:rsidRDefault="006B3BA0" w:rsidP="007E30DA">
            <w:pPr>
              <w:spacing w:after="0" w:line="240" w:lineRule="auto"/>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do 30.06.</w:t>
            </w:r>
          </w:p>
        </w:tc>
        <w:tc>
          <w:tcPr>
            <w:tcW w:w="850" w:type="dxa"/>
            <w:tcBorders>
              <w:top w:val="nil"/>
              <w:left w:val="nil"/>
              <w:bottom w:val="single" w:sz="4" w:space="0" w:color="auto"/>
              <w:right w:val="single" w:sz="4" w:space="0" w:color="auto"/>
            </w:tcBorders>
            <w:shd w:val="clear" w:color="auto" w:fill="auto"/>
            <w:noWrap/>
            <w:vAlign w:val="bottom"/>
            <w:hideMark/>
          </w:tcPr>
          <w:p w14:paraId="4817243D"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 xml:space="preserve">141,42 € </w:t>
            </w:r>
            <w:r w:rsidRPr="007B2D19">
              <w:rPr>
                <w:rFonts w:ascii="Times New Roman" w:eastAsia="Times New Roman" w:hAnsi="Times New Roman" w:cs="Times New Roman"/>
                <w:i/>
                <w:color w:val="000000"/>
                <w:vertAlign w:val="superscript"/>
                <w:lang w:eastAsia="sk-SK"/>
              </w:rPr>
              <w:t>1)</w:t>
            </w:r>
          </w:p>
        </w:tc>
        <w:tc>
          <w:tcPr>
            <w:tcW w:w="851" w:type="dxa"/>
            <w:tcBorders>
              <w:top w:val="nil"/>
              <w:left w:val="nil"/>
              <w:bottom w:val="single" w:sz="4" w:space="0" w:color="auto"/>
              <w:right w:val="single" w:sz="4" w:space="0" w:color="auto"/>
            </w:tcBorders>
            <w:shd w:val="clear" w:color="auto" w:fill="auto"/>
            <w:noWrap/>
            <w:vAlign w:val="bottom"/>
            <w:hideMark/>
          </w:tcPr>
          <w:p w14:paraId="3AD61A3E"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 xml:space="preserve">141,42 € </w:t>
            </w:r>
            <w:r w:rsidRPr="007B2D19">
              <w:rPr>
                <w:rFonts w:ascii="Times New Roman" w:eastAsia="Times New Roman" w:hAnsi="Times New Roman" w:cs="Times New Roman"/>
                <w:i/>
                <w:color w:val="000000"/>
                <w:vertAlign w:val="superscript"/>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14:paraId="42B98D72"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 xml:space="preserve">141,42 € </w:t>
            </w:r>
            <w:r w:rsidRPr="007B2D19">
              <w:rPr>
                <w:rFonts w:ascii="Times New Roman" w:eastAsia="Times New Roman" w:hAnsi="Times New Roman" w:cs="Times New Roman"/>
                <w:i/>
                <w:color w:val="000000"/>
                <w:vertAlign w:val="superscript"/>
                <w:lang w:eastAsia="sk-SK"/>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3742ED8"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 xml:space="preserve">141,42 € </w:t>
            </w:r>
            <w:r w:rsidRPr="007B2D19">
              <w:rPr>
                <w:rFonts w:ascii="Times New Roman" w:eastAsia="Times New Roman" w:hAnsi="Times New Roman" w:cs="Times New Roman"/>
                <w:i/>
                <w:color w:val="000000"/>
                <w:vertAlign w:val="superscript"/>
                <w:lang w:eastAsia="sk-SK"/>
              </w:rPr>
              <w:t>1)</w:t>
            </w:r>
          </w:p>
        </w:tc>
        <w:tc>
          <w:tcPr>
            <w:tcW w:w="993" w:type="dxa"/>
            <w:tcBorders>
              <w:top w:val="nil"/>
              <w:left w:val="nil"/>
              <w:bottom w:val="single" w:sz="4" w:space="0" w:color="auto"/>
              <w:right w:val="single" w:sz="4" w:space="0" w:color="auto"/>
            </w:tcBorders>
            <w:shd w:val="clear" w:color="auto" w:fill="auto"/>
            <w:noWrap/>
            <w:vAlign w:val="bottom"/>
          </w:tcPr>
          <w:p w14:paraId="7B360BE7"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188,56 €</w:t>
            </w:r>
            <w:r w:rsidRPr="007B2D19">
              <w:rPr>
                <w:rFonts w:ascii="Times New Roman" w:eastAsia="Times New Roman" w:hAnsi="Times New Roman" w:cs="Times New Roman"/>
                <w:i/>
                <w:color w:val="000000"/>
                <w:vertAlign w:val="superscript"/>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14:paraId="63738B49"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188,56</w:t>
            </w:r>
            <w:r w:rsidRPr="007B2D19">
              <w:rPr>
                <w:rFonts w:ascii="Times New Roman" w:eastAsia="Times New Roman" w:hAnsi="Times New Roman" w:cs="Times New Roman"/>
                <w:i/>
                <w:color w:val="000000"/>
                <w:vertAlign w:val="superscript"/>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14:paraId="62B35EC9"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188,56</w:t>
            </w:r>
            <w:r w:rsidRPr="007B2D19">
              <w:rPr>
                <w:rFonts w:ascii="Times New Roman" w:eastAsia="Times New Roman" w:hAnsi="Times New Roman" w:cs="Times New Roman"/>
                <w:i/>
                <w:color w:val="000000"/>
                <w:vertAlign w:val="superscript"/>
                <w:lang w:eastAsia="sk-SK"/>
              </w:rPr>
              <w:t>2)</w:t>
            </w:r>
          </w:p>
        </w:tc>
        <w:tc>
          <w:tcPr>
            <w:tcW w:w="1022" w:type="dxa"/>
            <w:tcBorders>
              <w:top w:val="nil"/>
              <w:left w:val="nil"/>
              <w:bottom w:val="single" w:sz="4" w:space="0" w:color="auto"/>
              <w:right w:val="single" w:sz="4" w:space="0" w:color="auto"/>
            </w:tcBorders>
            <w:shd w:val="clear" w:color="auto" w:fill="auto"/>
            <w:noWrap/>
            <w:vAlign w:val="bottom"/>
            <w:hideMark/>
          </w:tcPr>
          <w:p w14:paraId="16483B1C" w14:textId="77777777" w:rsidR="006B3BA0" w:rsidRPr="007B2D19" w:rsidRDefault="006B3BA0" w:rsidP="007E30DA">
            <w:pPr>
              <w:spacing w:after="0" w:line="240" w:lineRule="auto"/>
              <w:jc w:val="right"/>
              <w:rPr>
                <w:rFonts w:ascii="Times New Roman" w:eastAsia="Times New Roman" w:hAnsi="Times New Roman" w:cs="Times New Roman"/>
                <w:b/>
                <w:bCs/>
                <w:i/>
                <w:color w:val="000000"/>
                <w:lang w:eastAsia="sk-SK"/>
              </w:rPr>
            </w:pPr>
          </w:p>
        </w:tc>
      </w:tr>
      <w:tr w:rsidR="006B3BA0" w:rsidRPr="007B2D19" w14:paraId="5164627B" w14:textId="77777777" w:rsidTr="007E30DA">
        <w:trPr>
          <w:trHeight w:val="546"/>
        </w:trPr>
        <w:tc>
          <w:tcPr>
            <w:tcW w:w="851" w:type="dxa"/>
            <w:vMerge/>
            <w:tcBorders>
              <w:left w:val="single" w:sz="4" w:space="0" w:color="auto"/>
              <w:bottom w:val="single" w:sz="4" w:space="0" w:color="auto"/>
              <w:right w:val="single" w:sz="4" w:space="0" w:color="auto"/>
            </w:tcBorders>
            <w:shd w:val="clear" w:color="auto" w:fill="auto"/>
            <w:noWrap/>
            <w:vAlign w:val="center"/>
          </w:tcPr>
          <w:p w14:paraId="4B132463" w14:textId="77777777" w:rsidR="006B3BA0" w:rsidRPr="007B2D19" w:rsidRDefault="006B3BA0" w:rsidP="007E30DA">
            <w:pPr>
              <w:spacing w:after="0" w:line="240" w:lineRule="auto"/>
              <w:rPr>
                <w:rFonts w:ascii="Times New Roman" w:eastAsia="Times New Roman" w:hAnsi="Times New Roman" w:cs="Times New Roman"/>
                <w:i/>
                <w:color w:val="000000"/>
                <w:lang w:eastAsia="sk-S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67D27E" w14:textId="77777777" w:rsidR="006B3BA0" w:rsidRPr="007B2D19" w:rsidRDefault="006B3BA0" w:rsidP="007E30DA">
            <w:pPr>
              <w:spacing w:after="0" w:line="240" w:lineRule="auto"/>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od 01.07.</w:t>
            </w:r>
          </w:p>
        </w:tc>
        <w:tc>
          <w:tcPr>
            <w:tcW w:w="850"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0202EE2A"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 xml:space="preserve"> </w:t>
            </w:r>
          </w:p>
        </w:tc>
        <w:tc>
          <w:tcPr>
            <w:tcW w:w="851"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45777230"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14:paraId="1264665F" w14:textId="77777777" w:rsidR="006B3BA0" w:rsidRPr="007B2D19" w:rsidRDefault="006B3BA0" w:rsidP="007E30DA">
            <w:pPr>
              <w:spacing w:after="0" w:line="240" w:lineRule="auto"/>
              <w:rPr>
                <w:rFonts w:ascii="Times New Roman" w:eastAsia="Times New Roman" w:hAnsi="Times New Roman" w:cs="Times New Roman"/>
                <w:i/>
                <w:color w:val="000000"/>
                <w:sz w:val="20"/>
                <w:szCs w:val="20"/>
                <w:lang w:eastAsia="sk-SK"/>
              </w:rPr>
            </w:pPr>
            <w:r w:rsidRPr="007B2D19">
              <w:rPr>
                <w:rFonts w:ascii="Times New Roman" w:eastAsia="Times New Roman" w:hAnsi="Times New Roman" w:cs="Times New Roman"/>
                <w:i/>
                <w:color w:val="000000"/>
                <w:sz w:val="20"/>
                <w:szCs w:val="20"/>
                <w:lang w:eastAsia="sk-SK"/>
              </w:rPr>
              <w:t xml:space="preserve">210 €, max. 34% z ČZD, čo je </w:t>
            </w:r>
            <w:r>
              <w:rPr>
                <w:rFonts w:ascii="Times New Roman" w:eastAsia="Times New Roman" w:hAnsi="Times New Roman" w:cs="Times New Roman"/>
                <w:i/>
                <w:color w:val="000000"/>
                <w:lang w:eastAsia="sk-SK"/>
              </w:rPr>
              <w:t>229,6</w:t>
            </w:r>
            <w:r w:rsidRPr="007B2D19">
              <w:rPr>
                <w:rFonts w:ascii="Times New Roman" w:eastAsia="Times New Roman" w:hAnsi="Times New Roman" w:cs="Times New Roman"/>
                <w:i/>
                <w:color w:val="000000"/>
                <w:lang w:eastAsia="sk-SK"/>
              </w:rPr>
              <w:t xml:space="preserve"> €</w:t>
            </w:r>
            <w:r w:rsidRPr="007B2D19">
              <w:rPr>
                <w:rFonts w:ascii="Times New Roman" w:eastAsia="Times New Roman" w:hAnsi="Times New Roman" w:cs="Times New Roman"/>
                <w:i/>
                <w:color w:val="000000"/>
                <w:sz w:val="20"/>
                <w:szCs w:val="20"/>
                <w:lang w:eastAsia="sk-SK"/>
              </w:rPr>
              <w:t xml:space="preserve">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tcPr>
          <w:p w14:paraId="30B80734" w14:textId="77777777" w:rsidR="006B3BA0" w:rsidRPr="007B2D19" w:rsidRDefault="006B3BA0" w:rsidP="007E30DA">
            <w:pPr>
              <w:spacing w:after="0" w:line="240" w:lineRule="auto"/>
              <w:jc w:val="center"/>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sz w:val="18"/>
                <w:szCs w:val="18"/>
                <w:lang w:eastAsia="sk-SK"/>
              </w:rPr>
              <w:t xml:space="preserve">290 €, max. 48% z  ČZD, čo je  </w:t>
            </w:r>
            <w:r>
              <w:rPr>
                <w:rFonts w:ascii="Times New Roman" w:eastAsia="Times New Roman" w:hAnsi="Times New Roman" w:cs="Times New Roman"/>
                <w:i/>
                <w:color w:val="000000"/>
                <w:lang w:eastAsia="sk-SK"/>
              </w:rPr>
              <w:t>270,19</w:t>
            </w:r>
            <w:r w:rsidRPr="007B2D19">
              <w:rPr>
                <w:rFonts w:ascii="Times New Roman" w:eastAsia="Times New Roman" w:hAnsi="Times New Roman" w:cs="Times New Roman"/>
                <w:i/>
                <w:color w:val="000000"/>
                <w:lang w:eastAsia="sk-SK"/>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1EF934AD"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sz w:val="18"/>
                <w:szCs w:val="18"/>
                <w:lang w:eastAsia="sk-SK"/>
              </w:rPr>
              <w:t xml:space="preserve">290 €, max. 48% z  ČZD, čo je </w:t>
            </w:r>
            <w:r>
              <w:rPr>
                <w:rFonts w:ascii="Times New Roman" w:eastAsia="Times New Roman" w:hAnsi="Times New Roman" w:cs="Times New Roman"/>
                <w:i/>
                <w:color w:val="000000"/>
                <w:sz w:val="18"/>
                <w:szCs w:val="18"/>
                <w:lang w:eastAsia="sk-SK"/>
              </w:rPr>
              <w:t>665,09</w:t>
            </w:r>
            <w:r w:rsidRPr="007B2D19">
              <w:rPr>
                <w:rFonts w:ascii="Times New Roman" w:eastAsia="Times New Roman" w:hAnsi="Times New Roman" w:cs="Times New Roman"/>
                <w:i/>
                <w:color w:val="000000"/>
                <w:sz w:val="18"/>
                <w:szCs w:val="18"/>
                <w:lang w:eastAsia="sk-SK"/>
              </w:rPr>
              <w:t xml:space="preserve"> €  </w:t>
            </w:r>
          </w:p>
        </w:tc>
        <w:tc>
          <w:tcPr>
            <w:tcW w:w="1022" w:type="dxa"/>
            <w:tcBorders>
              <w:top w:val="single" w:sz="4" w:space="0" w:color="auto"/>
              <w:left w:val="nil"/>
              <w:bottom w:val="single" w:sz="4" w:space="0" w:color="auto"/>
              <w:right w:val="single" w:sz="4" w:space="0" w:color="auto"/>
            </w:tcBorders>
            <w:shd w:val="clear" w:color="auto" w:fill="auto"/>
            <w:noWrap/>
            <w:vAlign w:val="bottom"/>
          </w:tcPr>
          <w:p w14:paraId="5966A212" w14:textId="77777777" w:rsidR="006B3BA0" w:rsidRPr="007B2D19" w:rsidRDefault="006B3BA0" w:rsidP="007E30DA">
            <w:pPr>
              <w:spacing w:after="0" w:line="240" w:lineRule="auto"/>
              <w:jc w:val="right"/>
              <w:rPr>
                <w:rFonts w:ascii="Times New Roman" w:eastAsia="Times New Roman" w:hAnsi="Times New Roman" w:cs="Times New Roman"/>
                <w:b/>
                <w:bCs/>
                <w:i/>
                <w:color w:val="000000"/>
                <w:lang w:eastAsia="sk-SK"/>
              </w:rPr>
            </w:pPr>
          </w:p>
        </w:tc>
      </w:tr>
      <w:tr w:rsidR="006B3BA0" w:rsidRPr="007B2D19" w14:paraId="39759781" w14:textId="77777777" w:rsidTr="007E30DA">
        <w:trPr>
          <w:trHeight w:val="331"/>
        </w:trPr>
        <w:tc>
          <w:tcPr>
            <w:tcW w:w="1843"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322EFA3" w14:textId="77777777" w:rsidR="006B3BA0" w:rsidRPr="007B2D19" w:rsidRDefault="006B3BA0" w:rsidP="007E30DA">
            <w:pPr>
              <w:spacing w:after="0" w:line="240" w:lineRule="auto"/>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Priznaný DB</w:t>
            </w:r>
          </w:p>
        </w:tc>
        <w:tc>
          <w:tcPr>
            <w:tcW w:w="850" w:type="dxa"/>
            <w:tcBorders>
              <w:top w:val="nil"/>
              <w:left w:val="nil"/>
              <w:bottom w:val="single" w:sz="4" w:space="0" w:color="auto"/>
              <w:right w:val="single" w:sz="4" w:space="0" w:color="auto"/>
            </w:tcBorders>
            <w:shd w:val="clear" w:color="auto" w:fill="auto"/>
            <w:noWrap/>
            <w:vAlign w:val="bottom"/>
            <w:hideMark/>
          </w:tcPr>
          <w:p w14:paraId="3E5009B8" w14:textId="77777777" w:rsidR="006B3BA0" w:rsidRPr="007B2D19" w:rsidRDefault="006B3BA0" w:rsidP="007E30DA">
            <w:pPr>
              <w:spacing w:after="0" w:line="240" w:lineRule="auto"/>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 xml:space="preserve">141,42 € </w:t>
            </w:r>
            <w:r w:rsidRPr="007B2D19">
              <w:rPr>
                <w:rFonts w:ascii="Times New Roman" w:eastAsia="Times New Roman" w:hAnsi="Times New Roman" w:cs="Times New Roman"/>
                <w:i/>
                <w:color w:val="000000"/>
                <w:vertAlign w:val="superscript"/>
                <w:lang w:eastAsia="sk-SK"/>
              </w:rPr>
              <w:t>1)</w:t>
            </w:r>
          </w:p>
        </w:tc>
        <w:tc>
          <w:tcPr>
            <w:tcW w:w="851" w:type="dxa"/>
            <w:tcBorders>
              <w:top w:val="nil"/>
              <w:left w:val="nil"/>
              <w:bottom w:val="single" w:sz="4" w:space="0" w:color="auto"/>
              <w:right w:val="single" w:sz="4" w:space="0" w:color="auto"/>
            </w:tcBorders>
            <w:shd w:val="clear" w:color="auto" w:fill="auto"/>
            <w:noWrap/>
            <w:vAlign w:val="bottom"/>
            <w:hideMark/>
          </w:tcPr>
          <w:p w14:paraId="1F91B8F4" w14:textId="77777777" w:rsidR="006B3BA0" w:rsidRPr="007B2D19" w:rsidRDefault="006B3BA0" w:rsidP="007E30DA">
            <w:pPr>
              <w:spacing w:after="0" w:line="240" w:lineRule="auto"/>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 xml:space="preserve">141,42 € </w:t>
            </w:r>
            <w:r w:rsidRPr="007B2D19">
              <w:rPr>
                <w:rFonts w:ascii="Times New Roman" w:eastAsia="Times New Roman" w:hAnsi="Times New Roman" w:cs="Times New Roman"/>
                <w:i/>
                <w:color w:val="000000"/>
                <w:vertAlign w:val="superscript"/>
                <w:lang w:eastAsia="sk-SK"/>
              </w:rPr>
              <w:t>1)</w:t>
            </w:r>
          </w:p>
        </w:tc>
        <w:tc>
          <w:tcPr>
            <w:tcW w:w="992" w:type="dxa"/>
            <w:tcBorders>
              <w:top w:val="nil"/>
              <w:left w:val="nil"/>
              <w:bottom w:val="single" w:sz="4" w:space="0" w:color="auto"/>
              <w:right w:val="single" w:sz="4" w:space="0" w:color="auto"/>
            </w:tcBorders>
            <w:shd w:val="clear" w:color="auto" w:fill="auto"/>
            <w:noWrap/>
            <w:vAlign w:val="bottom"/>
          </w:tcPr>
          <w:p w14:paraId="34712BB4"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Pr>
                <w:rFonts w:ascii="Times New Roman" w:eastAsia="Times New Roman" w:hAnsi="Times New Roman" w:cs="Times New Roman"/>
                <w:i/>
                <w:color w:val="000000"/>
                <w:lang w:eastAsia="sk-SK"/>
              </w:rPr>
              <w:t>210</w:t>
            </w:r>
            <w:r w:rsidRPr="007B2D19">
              <w:rPr>
                <w:rFonts w:ascii="Times New Roman" w:eastAsia="Times New Roman" w:hAnsi="Times New Roman" w:cs="Times New Roman"/>
                <w:i/>
                <w:color w:val="000000"/>
                <w:lang w:eastAsia="sk-SK"/>
              </w:rPr>
              <w:t xml:space="preserve"> € </w:t>
            </w:r>
            <w:r w:rsidRPr="007B2D19">
              <w:rPr>
                <w:rFonts w:ascii="Times New Roman" w:eastAsia="Times New Roman" w:hAnsi="Times New Roman" w:cs="Times New Roman"/>
                <w:i/>
                <w:color w:val="000000"/>
                <w:vertAlign w:val="superscript"/>
                <w:lang w:eastAsia="sk-SK"/>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4A661AB"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Pr>
                <w:rFonts w:ascii="Times New Roman" w:eastAsia="Times New Roman" w:hAnsi="Times New Roman" w:cs="Times New Roman"/>
                <w:i/>
                <w:color w:val="000000"/>
                <w:lang w:eastAsia="sk-SK"/>
              </w:rPr>
              <w:t>210</w:t>
            </w:r>
            <w:r w:rsidRPr="007B2D19">
              <w:rPr>
                <w:rFonts w:ascii="Times New Roman" w:eastAsia="Times New Roman" w:hAnsi="Times New Roman" w:cs="Times New Roman"/>
                <w:i/>
                <w:color w:val="000000"/>
                <w:lang w:eastAsia="sk-SK"/>
              </w:rPr>
              <w:t xml:space="preserve"> € </w:t>
            </w:r>
            <w:r w:rsidRPr="007B2D19">
              <w:rPr>
                <w:rFonts w:ascii="Times New Roman" w:eastAsia="Times New Roman" w:hAnsi="Times New Roman" w:cs="Times New Roman"/>
                <w:i/>
                <w:color w:val="000000"/>
                <w:vertAlign w:val="superscript"/>
                <w:lang w:eastAsia="sk-SK"/>
              </w:rPr>
              <w:t>1)</w:t>
            </w:r>
          </w:p>
        </w:tc>
        <w:tc>
          <w:tcPr>
            <w:tcW w:w="993" w:type="dxa"/>
            <w:tcBorders>
              <w:top w:val="nil"/>
              <w:left w:val="nil"/>
              <w:bottom w:val="single" w:sz="4" w:space="0" w:color="auto"/>
              <w:right w:val="single" w:sz="4" w:space="0" w:color="auto"/>
            </w:tcBorders>
            <w:shd w:val="clear" w:color="auto" w:fill="auto"/>
            <w:noWrap/>
          </w:tcPr>
          <w:p w14:paraId="2DFDCFB0" w14:textId="77777777" w:rsidR="006B3BA0" w:rsidRPr="007B2D19" w:rsidRDefault="006B3BA0" w:rsidP="007E30DA">
            <w:pPr>
              <w:spacing w:after="0" w:line="240" w:lineRule="auto"/>
              <w:jc w:val="center"/>
              <w:rPr>
                <w:rFonts w:ascii="Times New Roman" w:eastAsia="Times New Roman" w:hAnsi="Times New Roman" w:cs="Times New Roman"/>
                <w:i/>
                <w:color w:val="000000"/>
                <w:lang w:eastAsia="sk-SK"/>
              </w:rPr>
            </w:pPr>
            <w:r>
              <w:rPr>
                <w:rFonts w:ascii="Times New Roman" w:eastAsia="Times New Roman" w:hAnsi="Times New Roman" w:cs="Times New Roman"/>
                <w:i/>
                <w:color w:val="000000"/>
                <w:lang w:eastAsia="sk-SK"/>
              </w:rPr>
              <w:t>270,19</w:t>
            </w:r>
            <w:r w:rsidRPr="007B2D19">
              <w:rPr>
                <w:rFonts w:ascii="Times New Roman" w:eastAsia="Times New Roman" w:hAnsi="Times New Roman" w:cs="Times New Roman"/>
                <w:i/>
                <w:color w:val="000000"/>
                <w:lang w:eastAsia="sk-SK"/>
              </w:rPr>
              <w:t xml:space="preserve"> €</w:t>
            </w:r>
            <w:r w:rsidRPr="007B2D19">
              <w:rPr>
                <w:rFonts w:ascii="Times New Roman" w:eastAsia="Times New Roman" w:hAnsi="Times New Roman" w:cs="Times New Roman"/>
                <w:i/>
                <w:color w:val="000000"/>
                <w:vertAlign w:val="superscript"/>
                <w:lang w:eastAsia="sk-SK"/>
              </w:rPr>
              <w:t>2)</w:t>
            </w:r>
          </w:p>
        </w:tc>
        <w:tc>
          <w:tcPr>
            <w:tcW w:w="992" w:type="dxa"/>
            <w:tcBorders>
              <w:top w:val="nil"/>
              <w:left w:val="nil"/>
              <w:bottom w:val="single" w:sz="4" w:space="0" w:color="auto"/>
              <w:right w:val="single" w:sz="4" w:space="0" w:color="auto"/>
            </w:tcBorders>
            <w:shd w:val="clear" w:color="auto" w:fill="auto"/>
            <w:noWrap/>
            <w:hideMark/>
          </w:tcPr>
          <w:p w14:paraId="7D15626F" w14:textId="77777777" w:rsidR="006B3BA0" w:rsidRPr="007B2D19" w:rsidRDefault="006B3BA0" w:rsidP="007E30DA">
            <w:pPr>
              <w:spacing w:after="0" w:line="240" w:lineRule="auto"/>
              <w:jc w:val="center"/>
              <w:rPr>
                <w:rFonts w:ascii="Times New Roman" w:eastAsia="Times New Roman" w:hAnsi="Times New Roman" w:cs="Times New Roman"/>
                <w:i/>
                <w:color w:val="000000"/>
                <w:lang w:eastAsia="sk-SK"/>
              </w:rPr>
            </w:pPr>
            <w:r>
              <w:rPr>
                <w:rFonts w:ascii="Times New Roman" w:eastAsia="Times New Roman" w:hAnsi="Times New Roman" w:cs="Times New Roman"/>
                <w:i/>
                <w:color w:val="000000"/>
                <w:lang w:eastAsia="sk-SK"/>
              </w:rPr>
              <w:t>270,19</w:t>
            </w:r>
            <w:r w:rsidRPr="007B2D19">
              <w:rPr>
                <w:rFonts w:ascii="Times New Roman" w:eastAsia="Times New Roman" w:hAnsi="Times New Roman" w:cs="Times New Roman"/>
                <w:i/>
                <w:color w:val="000000"/>
                <w:lang w:eastAsia="sk-SK"/>
              </w:rPr>
              <w:t xml:space="preserve"> €</w:t>
            </w:r>
            <w:r w:rsidRPr="007B2D19">
              <w:rPr>
                <w:rFonts w:ascii="Times New Roman" w:eastAsia="Times New Roman" w:hAnsi="Times New Roman" w:cs="Times New Roman"/>
                <w:i/>
                <w:color w:val="000000"/>
                <w:vertAlign w:val="superscript"/>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14:paraId="386E31D0" w14:textId="77777777" w:rsidR="006B3BA0" w:rsidRPr="007B2D19" w:rsidRDefault="006B3BA0" w:rsidP="007E30DA">
            <w:pPr>
              <w:spacing w:after="0" w:line="240" w:lineRule="auto"/>
              <w:jc w:val="center"/>
              <w:rPr>
                <w:rFonts w:ascii="Times New Roman" w:eastAsia="Times New Roman" w:hAnsi="Times New Roman" w:cs="Times New Roman"/>
                <w:i/>
                <w:color w:val="000000"/>
                <w:lang w:eastAsia="sk-SK"/>
              </w:rPr>
            </w:pPr>
            <w:r w:rsidRPr="007B2D19">
              <w:rPr>
                <w:rFonts w:ascii="Times New Roman" w:eastAsia="Times New Roman" w:hAnsi="Times New Roman" w:cs="Times New Roman"/>
                <w:i/>
                <w:color w:val="000000"/>
                <w:lang w:eastAsia="sk-SK"/>
              </w:rPr>
              <w:t>290 €</w:t>
            </w:r>
            <w:r w:rsidRPr="007B2D19">
              <w:rPr>
                <w:rFonts w:ascii="Times New Roman" w:eastAsia="Times New Roman" w:hAnsi="Times New Roman" w:cs="Times New Roman"/>
                <w:i/>
                <w:color w:val="000000"/>
                <w:vertAlign w:val="superscript"/>
                <w:lang w:eastAsia="sk-SK"/>
              </w:rPr>
              <w:t>3)</w:t>
            </w:r>
          </w:p>
        </w:tc>
        <w:tc>
          <w:tcPr>
            <w:tcW w:w="1022" w:type="dxa"/>
            <w:tcBorders>
              <w:top w:val="nil"/>
              <w:left w:val="nil"/>
              <w:bottom w:val="single" w:sz="4" w:space="0" w:color="auto"/>
              <w:right w:val="single" w:sz="4" w:space="0" w:color="auto"/>
            </w:tcBorders>
            <w:shd w:val="clear" w:color="auto" w:fill="auto"/>
            <w:noWrap/>
            <w:vAlign w:val="bottom"/>
            <w:hideMark/>
          </w:tcPr>
          <w:p w14:paraId="7679CB35" w14:textId="77777777" w:rsidR="006B3BA0" w:rsidRPr="007B2D19" w:rsidRDefault="006B3BA0" w:rsidP="007E30DA">
            <w:pPr>
              <w:spacing w:after="0" w:line="240" w:lineRule="auto"/>
              <w:jc w:val="right"/>
              <w:rPr>
                <w:rFonts w:ascii="Times New Roman" w:eastAsia="Times New Roman" w:hAnsi="Times New Roman" w:cs="Times New Roman"/>
                <w:i/>
                <w:color w:val="000000"/>
                <w:lang w:eastAsia="sk-SK"/>
              </w:rPr>
            </w:pPr>
            <w:r>
              <w:rPr>
                <w:rFonts w:ascii="Times New Roman" w:eastAsia="Times New Roman" w:hAnsi="Times New Roman" w:cs="Times New Roman"/>
                <w:i/>
                <w:color w:val="000000"/>
                <w:lang w:eastAsia="sk-SK"/>
              </w:rPr>
              <w:t>1533,22</w:t>
            </w:r>
            <w:r w:rsidRPr="007B2D19">
              <w:rPr>
                <w:rFonts w:ascii="Times New Roman" w:eastAsia="Times New Roman" w:hAnsi="Times New Roman" w:cs="Times New Roman"/>
                <w:i/>
                <w:color w:val="000000"/>
                <w:lang w:eastAsia="sk-SK"/>
              </w:rPr>
              <w:t xml:space="preserve"> €</w:t>
            </w:r>
          </w:p>
        </w:tc>
      </w:tr>
    </w:tbl>
    <w:p w14:paraId="6F421563" w14:textId="77777777" w:rsidR="006B3BA0" w:rsidRPr="009057A6" w:rsidRDefault="006B3BA0" w:rsidP="006B3BA0">
      <w:pPr>
        <w:tabs>
          <w:tab w:val="left" w:pos="6237"/>
        </w:tabs>
        <w:spacing w:after="0" w:line="240" w:lineRule="auto"/>
        <w:rPr>
          <w:rFonts w:ascii="Arial Narrow" w:hAnsi="Arial Narrow" w:cs="Arial Narrow"/>
          <w:i/>
          <w:sz w:val="20"/>
          <w:szCs w:val="20"/>
        </w:rPr>
      </w:pPr>
      <w:r w:rsidRPr="009057A6">
        <w:rPr>
          <w:rFonts w:ascii="Arial Narrow" w:hAnsi="Arial Narrow" w:cs="Arial Narrow"/>
          <w:i/>
          <w:sz w:val="20"/>
          <w:szCs w:val="20"/>
          <w:vertAlign w:val="superscript"/>
        </w:rPr>
        <w:t xml:space="preserve">1) </w:t>
      </w:r>
      <w:r w:rsidRPr="009057A6">
        <w:rPr>
          <w:rFonts w:ascii="Arial Narrow" w:hAnsi="Arial Narrow" w:cs="Arial Narrow"/>
          <w:i/>
          <w:sz w:val="20"/>
          <w:szCs w:val="20"/>
        </w:rPr>
        <w:t xml:space="preserve">141,42 € = suma daňového bonusu na dieťa do 6 r. veku 47,14 € x tri deti, podľa § 33 ZDP   </w:t>
      </w:r>
    </w:p>
    <w:p w14:paraId="553B7BE3" w14:textId="77777777" w:rsidR="006B3BA0" w:rsidRPr="009057A6" w:rsidRDefault="006B3BA0" w:rsidP="006B3BA0">
      <w:pPr>
        <w:tabs>
          <w:tab w:val="left" w:pos="6237"/>
        </w:tabs>
        <w:spacing w:after="0" w:line="240" w:lineRule="auto"/>
        <w:jc w:val="both"/>
        <w:rPr>
          <w:rFonts w:ascii="Arial Narrow" w:hAnsi="Arial Narrow" w:cs="Arial Narrow"/>
          <w:i/>
          <w:sz w:val="20"/>
          <w:szCs w:val="20"/>
        </w:rPr>
      </w:pPr>
      <w:r w:rsidRPr="009057A6">
        <w:rPr>
          <w:rFonts w:ascii="Arial Narrow" w:hAnsi="Arial Narrow" w:cs="Arial Narrow"/>
          <w:i/>
          <w:sz w:val="20"/>
          <w:szCs w:val="20"/>
          <w:vertAlign w:val="superscript"/>
        </w:rPr>
        <w:t xml:space="preserve">2) </w:t>
      </w:r>
      <w:r w:rsidRPr="009057A6">
        <w:rPr>
          <w:rFonts w:ascii="Arial Narrow" w:hAnsi="Arial Narrow" w:cs="Arial Narrow"/>
          <w:i/>
          <w:sz w:val="20"/>
          <w:szCs w:val="20"/>
        </w:rPr>
        <w:t>188,56 € = suma daňového bonusu na dieťa do 6 r. veku 47,14 € x tri deti + 23,57 € x 2 deti, podľa § 33 ZDP</w:t>
      </w:r>
    </w:p>
    <w:p w14:paraId="660C964B" w14:textId="77777777" w:rsidR="006B3BA0" w:rsidRPr="009057A6" w:rsidRDefault="006B3BA0" w:rsidP="006B3BA0">
      <w:pPr>
        <w:tabs>
          <w:tab w:val="left" w:pos="6237"/>
        </w:tabs>
        <w:spacing w:after="0" w:line="240" w:lineRule="auto"/>
        <w:jc w:val="both"/>
        <w:rPr>
          <w:rFonts w:ascii="Arial Narrow" w:hAnsi="Arial Narrow" w:cs="Arial Narrow"/>
          <w:i/>
          <w:sz w:val="20"/>
          <w:szCs w:val="20"/>
        </w:rPr>
      </w:pPr>
      <w:r w:rsidRPr="009057A6">
        <w:rPr>
          <w:rFonts w:ascii="Arial Narrow" w:hAnsi="Arial Narrow" w:cs="Arial Narrow"/>
          <w:i/>
          <w:sz w:val="20"/>
          <w:szCs w:val="20"/>
          <w:vertAlign w:val="superscript"/>
        </w:rPr>
        <w:t>3)</w:t>
      </w:r>
      <w:r w:rsidRPr="009057A6">
        <w:rPr>
          <w:rFonts w:ascii="Arial Narrow" w:hAnsi="Arial Narrow" w:cs="Arial Narrow"/>
          <w:i/>
          <w:sz w:val="20"/>
          <w:szCs w:val="20"/>
        </w:rPr>
        <w:t xml:space="preserve"> 290 € = suma daňového bonusu na dieťa do 15 r. veku 70 € x tri deti a dieťa nad 15 r. veku 40 € x 2 deti podľa § 52zzn ZDP</w:t>
      </w:r>
    </w:p>
    <w:p w14:paraId="0BEEAB7E" w14:textId="77777777" w:rsidR="006B3BA0" w:rsidRDefault="006B3BA0" w:rsidP="006B3BA0">
      <w:pPr>
        <w:tabs>
          <w:tab w:val="left" w:pos="5670"/>
        </w:tabs>
        <w:spacing w:after="0" w:line="240" w:lineRule="auto"/>
        <w:rPr>
          <w:rFonts w:ascii="Arial Narrow" w:hAnsi="Arial Narrow"/>
        </w:rPr>
      </w:pPr>
    </w:p>
    <w:p w14:paraId="5E35B7FE" w14:textId="77777777" w:rsidR="006B3BA0" w:rsidRPr="00771654" w:rsidRDefault="006B3BA0" w:rsidP="006B3BA0">
      <w:pPr>
        <w:spacing w:after="0" w:line="240" w:lineRule="auto"/>
        <w:rPr>
          <w:rFonts w:ascii="Arial Narrow" w:hAnsi="Arial Narrow" w:cs="Arial Narrow"/>
          <w:i/>
          <w:sz w:val="18"/>
          <w:szCs w:val="18"/>
        </w:rPr>
      </w:pPr>
      <w:r w:rsidRPr="00771654">
        <w:rPr>
          <w:rFonts w:ascii="Arial Narrow" w:hAnsi="Arial Narrow" w:cs="Arial Narrow"/>
          <w:i/>
          <w:sz w:val="18"/>
          <w:szCs w:val="18"/>
        </w:rPr>
        <w:t>Tabuľka č. 2 Výpočet daňového bonusu za celé zdaňovacie obdobie 2022 v ročnom zúčtovaní</w:t>
      </w:r>
      <w:r>
        <w:rPr>
          <w:rFonts w:ascii="Arial Narrow" w:hAnsi="Arial Narrow" w:cs="Arial Narrow"/>
          <w:i/>
          <w:sz w:val="18"/>
          <w:szCs w:val="18"/>
        </w:rPr>
        <w:t xml:space="preserve"> alebo v daňovom priznaní</w:t>
      </w:r>
    </w:p>
    <w:p w14:paraId="4DE08674" w14:textId="77777777" w:rsidR="006B3BA0" w:rsidRDefault="006B3BA0" w:rsidP="006B3BA0">
      <w:pPr>
        <w:tabs>
          <w:tab w:val="left" w:pos="5670"/>
        </w:tabs>
        <w:spacing w:after="0" w:line="240" w:lineRule="auto"/>
        <w:jc w:val="both"/>
        <w:rPr>
          <w:rFonts w:ascii="Arial Narrow" w:hAnsi="Arial Narrow"/>
          <w:i/>
        </w:rPr>
      </w:pPr>
    </w:p>
    <w:tbl>
      <w:tblPr>
        <w:tblStyle w:val="Mriekatabuky"/>
        <w:tblW w:w="0" w:type="auto"/>
        <w:tblLook w:val="04A0" w:firstRow="1" w:lastRow="0" w:firstColumn="1" w:lastColumn="0" w:noHBand="0" w:noVBand="1"/>
      </w:tblPr>
      <w:tblGrid>
        <w:gridCol w:w="888"/>
        <w:gridCol w:w="6484"/>
        <w:gridCol w:w="1690"/>
      </w:tblGrid>
      <w:tr w:rsidR="006B3BA0" w:rsidRPr="009057A6" w14:paraId="6CEBE593" w14:textId="77777777" w:rsidTr="007E30DA">
        <w:tc>
          <w:tcPr>
            <w:tcW w:w="888" w:type="dxa"/>
            <w:tcBorders>
              <w:bottom w:val="single" w:sz="4" w:space="0" w:color="auto"/>
            </w:tcBorders>
          </w:tcPr>
          <w:p w14:paraId="399301A8" w14:textId="77777777" w:rsidR="006B3BA0" w:rsidRPr="009057A6" w:rsidRDefault="006B3BA0" w:rsidP="007E30DA">
            <w:pPr>
              <w:rPr>
                <w:rFonts w:ascii="Arial Narrow" w:hAnsi="Arial Narrow"/>
                <w:i/>
              </w:rPr>
            </w:pPr>
            <w:r w:rsidRPr="009057A6">
              <w:rPr>
                <w:rFonts w:ascii="Arial Narrow" w:hAnsi="Arial Narrow"/>
                <w:i/>
              </w:rPr>
              <w:t>Mesiace</w:t>
            </w:r>
          </w:p>
        </w:tc>
        <w:tc>
          <w:tcPr>
            <w:tcW w:w="6484" w:type="dxa"/>
            <w:tcBorders>
              <w:bottom w:val="single" w:sz="4" w:space="0" w:color="auto"/>
            </w:tcBorders>
          </w:tcPr>
          <w:p w14:paraId="57B36AFD" w14:textId="77777777" w:rsidR="006B3BA0" w:rsidRPr="009057A6" w:rsidRDefault="006B3BA0" w:rsidP="007E30DA">
            <w:pPr>
              <w:rPr>
                <w:rFonts w:ascii="Arial Narrow" w:hAnsi="Arial Narrow"/>
                <w:i/>
              </w:rPr>
            </w:pPr>
            <w:r w:rsidRPr="009057A6">
              <w:rPr>
                <w:rFonts w:ascii="Arial Narrow" w:hAnsi="Arial Narrow"/>
                <w:i/>
              </w:rPr>
              <w:t xml:space="preserve">Výpočet daňového bonusu </w:t>
            </w:r>
          </w:p>
        </w:tc>
        <w:tc>
          <w:tcPr>
            <w:tcW w:w="1690" w:type="dxa"/>
            <w:tcBorders>
              <w:bottom w:val="single" w:sz="4" w:space="0" w:color="auto"/>
            </w:tcBorders>
          </w:tcPr>
          <w:p w14:paraId="191C4766" w14:textId="77777777" w:rsidR="006B3BA0" w:rsidRPr="009057A6" w:rsidRDefault="006B3BA0" w:rsidP="007E30DA">
            <w:pPr>
              <w:rPr>
                <w:rFonts w:ascii="Arial Narrow" w:hAnsi="Arial Narrow"/>
                <w:i/>
              </w:rPr>
            </w:pPr>
            <w:r w:rsidRPr="009057A6">
              <w:rPr>
                <w:rFonts w:ascii="Arial Narrow" w:hAnsi="Arial Narrow"/>
                <w:i/>
              </w:rPr>
              <w:t xml:space="preserve">Nárok na DB </w:t>
            </w:r>
          </w:p>
        </w:tc>
      </w:tr>
      <w:tr w:rsidR="006B3BA0" w:rsidRPr="009057A6" w14:paraId="3CC1D9D5" w14:textId="77777777" w:rsidTr="007E30DA">
        <w:tc>
          <w:tcPr>
            <w:tcW w:w="888" w:type="dxa"/>
            <w:tcBorders>
              <w:bottom w:val="single" w:sz="12" w:space="0" w:color="auto"/>
            </w:tcBorders>
          </w:tcPr>
          <w:p w14:paraId="30D32A38" w14:textId="77777777" w:rsidR="006B3BA0" w:rsidRPr="009057A6" w:rsidRDefault="006B3BA0" w:rsidP="007E30DA">
            <w:pPr>
              <w:tabs>
                <w:tab w:val="left" w:pos="5670"/>
              </w:tabs>
              <w:rPr>
                <w:rFonts w:ascii="Arial Narrow" w:hAnsi="Arial Narrow"/>
                <w:i/>
                <w:color w:val="538135" w:themeColor="accent6" w:themeShade="BF"/>
              </w:rPr>
            </w:pPr>
            <w:r w:rsidRPr="009057A6">
              <w:rPr>
                <w:rFonts w:ascii="Arial Narrow" w:hAnsi="Arial Narrow"/>
                <w:b/>
                <w:i/>
              </w:rPr>
              <w:lastRenderedPageBreak/>
              <w:t>1 – 6</w:t>
            </w:r>
          </w:p>
        </w:tc>
        <w:tc>
          <w:tcPr>
            <w:tcW w:w="6484" w:type="dxa"/>
            <w:tcBorders>
              <w:bottom w:val="single" w:sz="12" w:space="0" w:color="auto"/>
            </w:tcBorders>
          </w:tcPr>
          <w:p w14:paraId="30077CE3" w14:textId="77777777" w:rsidR="006B3BA0" w:rsidRPr="009057A6" w:rsidRDefault="006B3BA0" w:rsidP="007E30DA">
            <w:pPr>
              <w:rPr>
                <w:rFonts w:ascii="Arial Narrow" w:eastAsia="Times New Roman" w:hAnsi="Arial Narrow"/>
                <w:i/>
                <w:color w:val="000000"/>
                <w:lang w:eastAsia="sk-SK"/>
              </w:rPr>
            </w:pPr>
            <w:r w:rsidRPr="009057A6">
              <w:rPr>
                <w:rFonts w:ascii="Arial Narrow" w:eastAsia="Times New Roman" w:hAnsi="Arial Narrow"/>
                <w:b/>
                <w:i/>
                <w:color w:val="000000"/>
                <w:lang w:eastAsia="sk-SK"/>
              </w:rPr>
              <w:t>848,52 €</w:t>
            </w:r>
            <w:r w:rsidRPr="009057A6">
              <w:rPr>
                <w:rFonts w:ascii="Arial Narrow" w:eastAsia="Times New Roman" w:hAnsi="Arial Narrow"/>
                <w:i/>
                <w:color w:val="000000"/>
                <w:lang w:eastAsia="sk-SK"/>
              </w:rPr>
              <w:t xml:space="preserve"> </w:t>
            </w:r>
          </w:p>
          <w:p w14:paraId="2A4EE270" w14:textId="77777777" w:rsidR="006B3BA0" w:rsidRPr="009057A6" w:rsidRDefault="006B3BA0" w:rsidP="007E30DA">
            <w:pPr>
              <w:tabs>
                <w:tab w:val="left" w:pos="5670"/>
              </w:tabs>
              <w:rPr>
                <w:rFonts w:ascii="Arial Narrow" w:hAnsi="Arial Narrow"/>
                <w:i/>
                <w:color w:val="538135" w:themeColor="accent6" w:themeShade="BF"/>
              </w:rPr>
            </w:pPr>
            <w:r w:rsidRPr="009057A6">
              <w:rPr>
                <w:rFonts w:ascii="Arial Narrow" w:eastAsia="Times New Roman" w:hAnsi="Arial Narrow"/>
                <w:i/>
                <w:color w:val="000000"/>
                <w:lang w:eastAsia="sk-SK"/>
              </w:rPr>
              <w:t xml:space="preserve">3 deti x 6 mesiacov x suma daňového bonusu na vyživované dieťa vo veku do 6 rokov 47,14 € platná do 30.06.2022 </w:t>
            </w:r>
          </w:p>
        </w:tc>
        <w:tc>
          <w:tcPr>
            <w:tcW w:w="1690" w:type="dxa"/>
            <w:tcBorders>
              <w:bottom w:val="single" w:sz="12" w:space="0" w:color="auto"/>
            </w:tcBorders>
          </w:tcPr>
          <w:p w14:paraId="2F51B197" w14:textId="77777777" w:rsidR="006B3BA0" w:rsidRPr="009057A6" w:rsidRDefault="006B3BA0" w:rsidP="007E30DA">
            <w:pPr>
              <w:rPr>
                <w:rFonts w:ascii="Arial Narrow" w:hAnsi="Arial Narrow"/>
                <w:i/>
              </w:rPr>
            </w:pPr>
          </w:p>
          <w:p w14:paraId="6C16AB98" w14:textId="77777777" w:rsidR="006B3BA0" w:rsidRPr="009057A6" w:rsidRDefault="006B3BA0" w:rsidP="007E30DA">
            <w:pPr>
              <w:tabs>
                <w:tab w:val="left" w:pos="5670"/>
              </w:tabs>
              <w:jc w:val="right"/>
              <w:rPr>
                <w:rFonts w:ascii="Arial Narrow" w:hAnsi="Arial Narrow"/>
                <w:i/>
                <w:color w:val="538135" w:themeColor="accent6" w:themeShade="BF"/>
              </w:rPr>
            </w:pPr>
            <w:r w:rsidRPr="009057A6">
              <w:rPr>
                <w:rFonts w:ascii="Arial Narrow" w:hAnsi="Arial Narrow"/>
                <w:i/>
              </w:rPr>
              <w:t>848,52 €</w:t>
            </w:r>
          </w:p>
        </w:tc>
      </w:tr>
      <w:tr w:rsidR="006B3BA0" w:rsidRPr="009057A6" w14:paraId="0B5CE0D4" w14:textId="77777777" w:rsidTr="007E30DA">
        <w:tc>
          <w:tcPr>
            <w:tcW w:w="888" w:type="dxa"/>
            <w:tcBorders>
              <w:top w:val="single" w:sz="12" w:space="0" w:color="auto"/>
            </w:tcBorders>
          </w:tcPr>
          <w:p w14:paraId="73CEA4B4" w14:textId="77777777" w:rsidR="006B3BA0" w:rsidRPr="009057A6" w:rsidRDefault="006B3BA0" w:rsidP="007E30DA">
            <w:pPr>
              <w:tabs>
                <w:tab w:val="left" w:pos="5670"/>
              </w:tabs>
              <w:rPr>
                <w:rFonts w:ascii="Arial Narrow" w:hAnsi="Arial Narrow"/>
                <w:i/>
                <w:color w:val="538135" w:themeColor="accent6" w:themeShade="BF"/>
              </w:rPr>
            </w:pPr>
            <w:r w:rsidRPr="009057A6">
              <w:rPr>
                <w:rFonts w:ascii="Arial Narrow" w:hAnsi="Arial Narrow"/>
                <w:b/>
                <w:i/>
              </w:rPr>
              <w:t>7 - 9</w:t>
            </w:r>
          </w:p>
        </w:tc>
        <w:tc>
          <w:tcPr>
            <w:tcW w:w="6484" w:type="dxa"/>
            <w:tcBorders>
              <w:top w:val="single" w:sz="12" w:space="0" w:color="auto"/>
            </w:tcBorders>
          </w:tcPr>
          <w:p w14:paraId="599195E9" w14:textId="77777777" w:rsidR="006B3BA0" w:rsidRPr="009057A6" w:rsidRDefault="006B3BA0" w:rsidP="007E30DA">
            <w:pPr>
              <w:rPr>
                <w:rFonts w:ascii="Arial Narrow" w:eastAsia="Times New Roman" w:hAnsi="Arial Narrow"/>
                <w:i/>
                <w:color w:val="000000"/>
                <w:lang w:eastAsia="sk-SK"/>
              </w:rPr>
            </w:pPr>
            <w:r w:rsidRPr="009057A6">
              <w:rPr>
                <w:rFonts w:ascii="Arial Narrow" w:eastAsia="Times New Roman" w:hAnsi="Arial Narrow"/>
                <w:b/>
                <w:i/>
                <w:color w:val="000000"/>
                <w:lang w:eastAsia="sk-SK"/>
              </w:rPr>
              <w:t>424,26 €</w:t>
            </w:r>
            <w:r w:rsidRPr="009057A6">
              <w:rPr>
                <w:rFonts w:ascii="Arial Narrow" w:eastAsia="Times New Roman" w:hAnsi="Arial Narrow"/>
                <w:i/>
                <w:color w:val="000000"/>
                <w:lang w:eastAsia="sk-SK"/>
              </w:rPr>
              <w:t xml:space="preserve"> </w:t>
            </w:r>
          </w:p>
          <w:p w14:paraId="4130E3AF" w14:textId="77777777" w:rsidR="006B3BA0" w:rsidRPr="009057A6" w:rsidRDefault="006B3BA0" w:rsidP="007E30DA">
            <w:pPr>
              <w:rPr>
                <w:rFonts w:ascii="Arial Narrow" w:eastAsia="Times New Roman" w:hAnsi="Arial Narrow"/>
                <w:i/>
                <w:color w:val="000000"/>
                <w:lang w:eastAsia="sk-SK"/>
              </w:rPr>
            </w:pPr>
            <w:r w:rsidRPr="009057A6">
              <w:rPr>
                <w:rFonts w:ascii="Arial Narrow" w:eastAsia="Times New Roman" w:hAnsi="Arial Narrow"/>
                <w:i/>
                <w:color w:val="000000"/>
                <w:lang w:eastAsia="sk-SK"/>
              </w:rPr>
              <w:t xml:space="preserve">3 deti x 3 mesiace x suma daňového bonusu na vyživované dieťa vo veku do 6 rokov 47,14 € platná do 30.06.2022 alebo </w:t>
            </w:r>
          </w:p>
          <w:p w14:paraId="0B9B9AD3" w14:textId="77777777" w:rsidR="006B3BA0" w:rsidRPr="009057A6" w:rsidRDefault="006B3BA0" w:rsidP="007E30DA">
            <w:pPr>
              <w:rPr>
                <w:rFonts w:ascii="Arial Narrow" w:eastAsia="Times New Roman" w:hAnsi="Arial Narrow"/>
                <w:b/>
                <w:i/>
                <w:color w:val="000000"/>
                <w:lang w:eastAsia="sk-SK"/>
              </w:rPr>
            </w:pPr>
          </w:p>
          <w:p w14:paraId="6B8F59DB" w14:textId="77777777" w:rsidR="006B3BA0" w:rsidRPr="009057A6" w:rsidRDefault="006B3BA0" w:rsidP="007E30DA">
            <w:pPr>
              <w:rPr>
                <w:rFonts w:ascii="Arial Narrow" w:eastAsia="Times New Roman" w:hAnsi="Arial Narrow"/>
                <w:b/>
                <w:i/>
                <w:color w:val="000000"/>
                <w:lang w:eastAsia="sk-SK"/>
              </w:rPr>
            </w:pPr>
            <w:r w:rsidRPr="009057A6">
              <w:rPr>
                <w:rFonts w:ascii="Arial Narrow" w:eastAsia="Times New Roman" w:hAnsi="Arial Narrow"/>
                <w:b/>
                <w:i/>
                <w:color w:val="000000"/>
                <w:lang w:eastAsia="sk-SK"/>
              </w:rPr>
              <w:t>416,64 €</w:t>
            </w:r>
          </w:p>
          <w:p w14:paraId="75771227" w14:textId="77777777" w:rsidR="006B3BA0" w:rsidRPr="009057A6" w:rsidRDefault="006B3BA0" w:rsidP="007E30DA">
            <w:pPr>
              <w:rPr>
                <w:rFonts w:ascii="Arial Narrow" w:eastAsia="Times New Roman" w:hAnsi="Arial Narrow"/>
                <w:i/>
                <w:color w:val="000000"/>
                <w:lang w:eastAsia="sk-SK"/>
              </w:rPr>
            </w:pPr>
            <w:r w:rsidRPr="009057A6">
              <w:rPr>
                <w:rFonts w:ascii="Arial Narrow" w:eastAsia="Times New Roman" w:hAnsi="Arial Narrow"/>
                <w:i/>
                <w:color w:val="000000"/>
                <w:lang w:eastAsia="sk-SK"/>
              </w:rPr>
              <w:t>3 deti x 3 mesiace x suma daňového bonusu na vyživované dieťa o veku do 15 rokov 70 € (630) platná od 01.07.2022, max. do výšky 34 % z ½ základu dane (čiastkového základu dane) z príjmov podľa § 5 ZDP*</w:t>
            </w:r>
          </w:p>
          <w:p w14:paraId="74005C13" w14:textId="77777777" w:rsidR="006B3BA0" w:rsidRPr="009057A6" w:rsidRDefault="006B3BA0" w:rsidP="007E30DA">
            <w:pPr>
              <w:tabs>
                <w:tab w:val="left" w:pos="5670"/>
              </w:tabs>
              <w:rPr>
                <w:rFonts w:ascii="Arial Narrow" w:hAnsi="Arial Narrow"/>
                <w:b/>
                <w:i/>
                <w:color w:val="538135" w:themeColor="accent6" w:themeShade="BF"/>
              </w:rPr>
            </w:pPr>
            <w:r w:rsidRPr="009057A6">
              <w:rPr>
                <w:rFonts w:ascii="Arial Narrow" w:hAnsi="Arial Narrow"/>
                <w:i/>
              </w:rPr>
              <w:t>(4 901,56 € / 2 = 2 450,78 €; 2 450,78 * 34 % = 833,27 €; 833,27 € / 6 mesiacov = 138,88 €; 138,33 € x 3 mesiace = 416,64 €).</w:t>
            </w:r>
          </w:p>
        </w:tc>
        <w:tc>
          <w:tcPr>
            <w:tcW w:w="1690" w:type="dxa"/>
            <w:tcBorders>
              <w:top w:val="single" w:sz="12" w:space="0" w:color="auto"/>
            </w:tcBorders>
          </w:tcPr>
          <w:p w14:paraId="4CD9331F" w14:textId="77777777" w:rsidR="006B3BA0" w:rsidRPr="009057A6" w:rsidRDefault="006B3BA0" w:rsidP="007E30DA">
            <w:pPr>
              <w:rPr>
                <w:rFonts w:ascii="Arial Narrow" w:hAnsi="Arial Narrow"/>
                <w:i/>
              </w:rPr>
            </w:pPr>
          </w:p>
          <w:p w14:paraId="438B0D98" w14:textId="77777777" w:rsidR="006B3BA0" w:rsidRPr="009057A6" w:rsidRDefault="006B3BA0" w:rsidP="007E30DA">
            <w:pPr>
              <w:rPr>
                <w:rFonts w:ascii="Arial Narrow" w:hAnsi="Arial Narrow"/>
                <w:i/>
              </w:rPr>
            </w:pPr>
          </w:p>
          <w:p w14:paraId="4895582F" w14:textId="77777777" w:rsidR="006B3BA0" w:rsidRPr="009057A6" w:rsidRDefault="006B3BA0" w:rsidP="007E30DA">
            <w:pPr>
              <w:rPr>
                <w:rFonts w:ascii="Arial Narrow" w:hAnsi="Arial Narrow"/>
                <w:i/>
              </w:rPr>
            </w:pPr>
          </w:p>
          <w:p w14:paraId="2464E65B" w14:textId="77777777" w:rsidR="006B3BA0" w:rsidRPr="009057A6" w:rsidRDefault="006B3BA0" w:rsidP="007E30DA">
            <w:pPr>
              <w:jc w:val="right"/>
              <w:rPr>
                <w:rFonts w:ascii="Arial Narrow" w:hAnsi="Arial Narrow"/>
                <w:i/>
              </w:rPr>
            </w:pPr>
          </w:p>
          <w:p w14:paraId="4DE5FE62" w14:textId="77777777" w:rsidR="006B3BA0" w:rsidRPr="009057A6" w:rsidRDefault="006B3BA0" w:rsidP="007E30DA">
            <w:pPr>
              <w:tabs>
                <w:tab w:val="left" w:pos="5670"/>
              </w:tabs>
              <w:jc w:val="right"/>
              <w:rPr>
                <w:rFonts w:ascii="Arial Narrow" w:hAnsi="Arial Narrow"/>
                <w:i/>
                <w:color w:val="538135" w:themeColor="accent6" w:themeShade="BF"/>
              </w:rPr>
            </w:pPr>
          </w:p>
        </w:tc>
      </w:tr>
      <w:tr w:rsidR="006B3BA0" w:rsidRPr="009057A6" w14:paraId="2A86B993" w14:textId="77777777" w:rsidTr="007E30DA">
        <w:tc>
          <w:tcPr>
            <w:tcW w:w="888" w:type="dxa"/>
          </w:tcPr>
          <w:p w14:paraId="0529D5B9" w14:textId="77777777" w:rsidR="006B3BA0" w:rsidRPr="009057A6" w:rsidRDefault="006B3BA0" w:rsidP="007E30DA">
            <w:pPr>
              <w:tabs>
                <w:tab w:val="left" w:pos="5670"/>
              </w:tabs>
              <w:rPr>
                <w:rFonts w:ascii="Arial Narrow" w:hAnsi="Arial Narrow"/>
                <w:i/>
                <w:color w:val="538135" w:themeColor="accent6" w:themeShade="BF"/>
              </w:rPr>
            </w:pPr>
            <w:r w:rsidRPr="009057A6">
              <w:rPr>
                <w:rFonts w:ascii="Arial Narrow" w:hAnsi="Arial Narrow"/>
                <w:b/>
                <w:i/>
              </w:rPr>
              <w:t>10 - 12</w:t>
            </w:r>
          </w:p>
        </w:tc>
        <w:tc>
          <w:tcPr>
            <w:tcW w:w="6484" w:type="dxa"/>
            <w:vAlign w:val="bottom"/>
          </w:tcPr>
          <w:p w14:paraId="30F8D03B" w14:textId="77777777" w:rsidR="006B3BA0" w:rsidRPr="009057A6" w:rsidRDefault="006B3BA0" w:rsidP="007E30DA">
            <w:pPr>
              <w:rPr>
                <w:rFonts w:ascii="Arial Narrow" w:eastAsia="Times New Roman" w:hAnsi="Arial Narrow"/>
                <w:i/>
                <w:color w:val="000000"/>
                <w:lang w:eastAsia="sk-SK"/>
              </w:rPr>
            </w:pPr>
            <w:r w:rsidRPr="009057A6">
              <w:rPr>
                <w:rFonts w:ascii="Arial Narrow" w:eastAsia="Times New Roman" w:hAnsi="Arial Narrow"/>
                <w:b/>
                <w:i/>
                <w:color w:val="000000"/>
                <w:lang w:eastAsia="sk-SK"/>
              </w:rPr>
              <w:t>565,68 €</w:t>
            </w:r>
            <w:r w:rsidRPr="009057A6">
              <w:rPr>
                <w:rFonts w:ascii="Arial Narrow" w:eastAsia="Times New Roman" w:hAnsi="Arial Narrow"/>
                <w:i/>
                <w:color w:val="000000"/>
                <w:lang w:eastAsia="sk-SK"/>
              </w:rPr>
              <w:t xml:space="preserve"> </w:t>
            </w:r>
          </w:p>
          <w:p w14:paraId="54593FD9" w14:textId="77777777" w:rsidR="006B3BA0" w:rsidRPr="009057A6" w:rsidRDefault="006B3BA0" w:rsidP="007E30DA">
            <w:pPr>
              <w:rPr>
                <w:rFonts w:ascii="Arial Narrow" w:eastAsia="Times New Roman" w:hAnsi="Arial Narrow"/>
                <w:i/>
                <w:color w:val="000000"/>
                <w:lang w:eastAsia="sk-SK"/>
              </w:rPr>
            </w:pPr>
            <w:r w:rsidRPr="009057A6">
              <w:rPr>
                <w:rFonts w:ascii="Arial Narrow" w:eastAsia="Times New Roman" w:hAnsi="Arial Narrow"/>
                <w:i/>
                <w:color w:val="000000"/>
                <w:lang w:eastAsia="sk-SK"/>
              </w:rPr>
              <w:t xml:space="preserve">5 detí x 3 mesiace x suma daňového bonusu na tri vyživované deti vo veku do 6 rokov 47,14 € a dve vyživované deti vo veku nad 15 rokov 23,57 € platná do 30.06.2022 alebo </w:t>
            </w:r>
          </w:p>
          <w:p w14:paraId="7EF34E8E" w14:textId="77777777" w:rsidR="006B3BA0" w:rsidRPr="009057A6" w:rsidRDefault="006B3BA0" w:rsidP="007E30DA">
            <w:pPr>
              <w:rPr>
                <w:rFonts w:ascii="Arial Narrow" w:hAnsi="Arial Narrow"/>
                <w:i/>
              </w:rPr>
            </w:pPr>
          </w:p>
          <w:p w14:paraId="57199EE9" w14:textId="77777777" w:rsidR="006B3BA0" w:rsidRPr="009057A6" w:rsidRDefault="006B3BA0" w:rsidP="007E30DA">
            <w:pPr>
              <w:rPr>
                <w:rFonts w:ascii="Arial Narrow" w:eastAsia="Times New Roman" w:hAnsi="Arial Narrow"/>
                <w:i/>
                <w:color w:val="000000"/>
                <w:lang w:eastAsia="sk-SK"/>
              </w:rPr>
            </w:pPr>
            <w:r w:rsidRPr="009057A6">
              <w:rPr>
                <w:rFonts w:ascii="Arial Narrow" w:eastAsia="Times New Roman" w:hAnsi="Arial Narrow"/>
                <w:b/>
                <w:i/>
                <w:color w:val="000000"/>
                <w:lang w:eastAsia="sk-SK"/>
              </w:rPr>
              <w:t>588,18 €</w:t>
            </w:r>
            <w:r w:rsidRPr="009057A6">
              <w:rPr>
                <w:rFonts w:ascii="Arial Narrow" w:eastAsia="Times New Roman" w:hAnsi="Arial Narrow"/>
                <w:i/>
                <w:color w:val="000000"/>
                <w:lang w:eastAsia="sk-SK"/>
              </w:rPr>
              <w:t xml:space="preserve"> </w:t>
            </w:r>
          </w:p>
          <w:p w14:paraId="0CF23E45" w14:textId="77777777" w:rsidR="006B3BA0" w:rsidRPr="009057A6" w:rsidRDefault="006B3BA0" w:rsidP="007E30DA">
            <w:pPr>
              <w:rPr>
                <w:rFonts w:ascii="Arial Narrow" w:eastAsia="Times New Roman" w:hAnsi="Arial Narrow"/>
                <w:i/>
                <w:color w:val="000000"/>
                <w:lang w:eastAsia="sk-SK"/>
              </w:rPr>
            </w:pPr>
            <w:r w:rsidRPr="009057A6">
              <w:rPr>
                <w:rFonts w:ascii="Arial Narrow" w:eastAsia="Times New Roman" w:hAnsi="Arial Narrow"/>
                <w:i/>
                <w:color w:val="000000"/>
                <w:lang w:eastAsia="sk-SK"/>
              </w:rPr>
              <w:t xml:space="preserve">5 detí x 3 mesiace x suma daňového bonusu na tri vyživované deti vo veku do 15 rokov 70 € a dve vyživované deti vo veku nad 15 rokov 40 €  platná od 01.07.2022,čo je 870 €, max. do výšky 48 % z ½ ČZD* </w:t>
            </w:r>
          </w:p>
          <w:p w14:paraId="444B8694" w14:textId="77777777" w:rsidR="006B3BA0" w:rsidRPr="009057A6" w:rsidRDefault="006B3BA0" w:rsidP="007E30DA">
            <w:pPr>
              <w:tabs>
                <w:tab w:val="left" w:pos="5670"/>
              </w:tabs>
              <w:rPr>
                <w:rFonts w:ascii="Arial Narrow" w:hAnsi="Arial Narrow"/>
                <w:i/>
                <w:color w:val="538135" w:themeColor="accent6" w:themeShade="BF"/>
              </w:rPr>
            </w:pPr>
            <w:r w:rsidRPr="009057A6">
              <w:rPr>
                <w:rFonts w:ascii="Arial Narrow" w:hAnsi="Arial Narrow"/>
                <w:i/>
              </w:rPr>
              <w:t>(4 901,56 € / 2 = 2 450,78 €; 2 450,78 € * 48 % = 1 176,37 €; 1 176,37 € / 6 mesiacov = 196,06 €; 196,06 € x 3 mesiace = 588,18 €).</w:t>
            </w:r>
          </w:p>
        </w:tc>
        <w:tc>
          <w:tcPr>
            <w:tcW w:w="1690" w:type="dxa"/>
          </w:tcPr>
          <w:p w14:paraId="2076A75F" w14:textId="77777777" w:rsidR="006B3BA0" w:rsidRPr="009057A6" w:rsidRDefault="006B3BA0" w:rsidP="007E30DA">
            <w:pPr>
              <w:rPr>
                <w:rFonts w:ascii="Arial Narrow" w:hAnsi="Arial Narrow"/>
                <w:i/>
              </w:rPr>
            </w:pPr>
          </w:p>
          <w:p w14:paraId="02FFA58E" w14:textId="77777777" w:rsidR="006B3BA0" w:rsidRPr="009057A6" w:rsidRDefault="006B3BA0" w:rsidP="007E30DA">
            <w:pPr>
              <w:rPr>
                <w:rFonts w:ascii="Arial Narrow" w:hAnsi="Arial Narrow"/>
                <w:i/>
              </w:rPr>
            </w:pPr>
          </w:p>
          <w:p w14:paraId="247EFB59" w14:textId="77777777" w:rsidR="006B3BA0" w:rsidRPr="009057A6" w:rsidRDefault="006B3BA0" w:rsidP="007E30DA">
            <w:pPr>
              <w:rPr>
                <w:rFonts w:ascii="Arial Narrow" w:hAnsi="Arial Narrow"/>
                <w:i/>
              </w:rPr>
            </w:pPr>
          </w:p>
          <w:p w14:paraId="367D591B" w14:textId="77777777" w:rsidR="006B3BA0" w:rsidRPr="009057A6" w:rsidRDefault="006B3BA0" w:rsidP="007E30DA">
            <w:pPr>
              <w:rPr>
                <w:rFonts w:ascii="Arial Narrow" w:hAnsi="Arial Narrow"/>
                <w:i/>
              </w:rPr>
            </w:pPr>
          </w:p>
          <w:p w14:paraId="01D02E24" w14:textId="77777777" w:rsidR="006B3BA0" w:rsidRPr="009057A6" w:rsidRDefault="006B3BA0" w:rsidP="007E30DA">
            <w:pPr>
              <w:tabs>
                <w:tab w:val="left" w:pos="5670"/>
              </w:tabs>
              <w:jc w:val="right"/>
              <w:rPr>
                <w:rFonts w:ascii="Arial Narrow" w:hAnsi="Arial Narrow"/>
                <w:i/>
                <w:color w:val="538135" w:themeColor="accent6" w:themeShade="BF"/>
              </w:rPr>
            </w:pPr>
          </w:p>
        </w:tc>
      </w:tr>
      <w:tr w:rsidR="006B3BA0" w:rsidRPr="009057A6" w14:paraId="26C6AF39" w14:textId="77777777" w:rsidTr="007E30DA">
        <w:tc>
          <w:tcPr>
            <w:tcW w:w="888" w:type="dxa"/>
          </w:tcPr>
          <w:p w14:paraId="0D8A137A" w14:textId="77777777" w:rsidR="006B3BA0" w:rsidRPr="009057A6" w:rsidRDefault="006B3BA0" w:rsidP="007E30DA">
            <w:pPr>
              <w:tabs>
                <w:tab w:val="left" w:pos="5670"/>
              </w:tabs>
              <w:rPr>
                <w:rFonts w:ascii="Arial Narrow" w:hAnsi="Arial Narrow"/>
                <w:b/>
                <w:i/>
              </w:rPr>
            </w:pPr>
            <w:r>
              <w:rPr>
                <w:rFonts w:ascii="Arial Narrow" w:hAnsi="Arial Narrow"/>
                <w:b/>
                <w:i/>
              </w:rPr>
              <w:t>7-12</w:t>
            </w:r>
          </w:p>
        </w:tc>
        <w:tc>
          <w:tcPr>
            <w:tcW w:w="6484" w:type="dxa"/>
            <w:vAlign w:val="bottom"/>
          </w:tcPr>
          <w:p w14:paraId="0519D5FD" w14:textId="77777777" w:rsidR="006B3BA0" w:rsidRDefault="006B3BA0" w:rsidP="007E30DA">
            <w:pPr>
              <w:rPr>
                <w:rFonts w:ascii="Arial Narrow" w:eastAsia="Times New Roman" w:hAnsi="Arial Narrow"/>
                <w:b/>
                <w:i/>
                <w:color w:val="000000"/>
                <w:lang w:eastAsia="sk-SK"/>
              </w:rPr>
            </w:pPr>
            <w:r>
              <w:rPr>
                <w:rFonts w:ascii="Arial Narrow" w:eastAsia="Times New Roman" w:hAnsi="Arial Narrow"/>
                <w:b/>
                <w:i/>
                <w:color w:val="000000"/>
                <w:lang w:eastAsia="sk-SK"/>
              </w:rPr>
              <w:t xml:space="preserve">Porovnanie </w:t>
            </w:r>
          </w:p>
          <w:p w14:paraId="4B32F3E5" w14:textId="77777777" w:rsidR="006B3BA0" w:rsidRPr="004F2F3A" w:rsidRDefault="006B3BA0" w:rsidP="007E30DA">
            <w:pPr>
              <w:rPr>
                <w:rFonts w:ascii="Arial Narrow" w:eastAsia="Times New Roman" w:hAnsi="Arial Narrow"/>
                <w:i/>
                <w:color w:val="000000"/>
                <w:lang w:eastAsia="sk-SK"/>
              </w:rPr>
            </w:pPr>
            <w:r>
              <w:rPr>
                <w:rFonts w:ascii="Arial Narrow" w:eastAsia="Times New Roman" w:hAnsi="Arial Narrow"/>
                <w:b/>
                <w:i/>
                <w:color w:val="000000"/>
                <w:lang w:eastAsia="sk-SK"/>
              </w:rPr>
              <w:t xml:space="preserve">989,94€ (424,26€ + 565,68 €) </w:t>
            </w:r>
            <w:r w:rsidRPr="004F2F3A">
              <w:rPr>
                <w:rFonts w:ascii="Arial Narrow" w:eastAsia="Times New Roman" w:hAnsi="Arial Narrow"/>
                <w:i/>
                <w:color w:val="000000"/>
                <w:lang w:eastAsia="sk-SK"/>
              </w:rPr>
              <w:t>podľa znenia platného do 30.6.2022</w:t>
            </w:r>
          </w:p>
          <w:p w14:paraId="7CC37FBD" w14:textId="77777777" w:rsidR="006B3BA0" w:rsidRPr="009057A6" w:rsidRDefault="006B3BA0" w:rsidP="007E30DA">
            <w:pPr>
              <w:rPr>
                <w:rFonts w:ascii="Arial Narrow" w:eastAsia="Times New Roman" w:hAnsi="Arial Narrow"/>
                <w:b/>
                <w:i/>
                <w:color w:val="000000"/>
                <w:lang w:eastAsia="sk-SK"/>
              </w:rPr>
            </w:pPr>
            <w:r>
              <w:rPr>
                <w:rFonts w:ascii="Arial Narrow" w:eastAsia="Times New Roman" w:hAnsi="Arial Narrow"/>
                <w:b/>
                <w:i/>
                <w:color w:val="000000"/>
                <w:lang w:eastAsia="sk-SK"/>
              </w:rPr>
              <w:t xml:space="preserve">1004,82 € (416,64 € + 588,18 €) </w:t>
            </w:r>
            <w:r w:rsidRPr="004F2F3A">
              <w:rPr>
                <w:rFonts w:ascii="Arial Narrow" w:eastAsia="Times New Roman" w:hAnsi="Arial Narrow"/>
                <w:i/>
                <w:color w:val="000000"/>
                <w:lang w:eastAsia="sk-SK"/>
              </w:rPr>
              <w:t>podľa znenia platného od 1.7.2022</w:t>
            </w:r>
          </w:p>
        </w:tc>
        <w:tc>
          <w:tcPr>
            <w:tcW w:w="1690" w:type="dxa"/>
          </w:tcPr>
          <w:p w14:paraId="730876E9" w14:textId="77777777" w:rsidR="006B3BA0" w:rsidRPr="009057A6" w:rsidRDefault="006B3BA0" w:rsidP="007E30DA">
            <w:pPr>
              <w:rPr>
                <w:rFonts w:ascii="Arial Narrow" w:hAnsi="Arial Narrow"/>
                <w:i/>
              </w:rPr>
            </w:pPr>
          </w:p>
        </w:tc>
      </w:tr>
      <w:tr w:rsidR="006B3BA0" w:rsidRPr="009057A6" w14:paraId="2226F463" w14:textId="77777777" w:rsidTr="007E30DA">
        <w:tc>
          <w:tcPr>
            <w:tcW w:w="7372" w:type="dxa"/>
            <w:gridSpan w:val="2"/>
          </w:tcPr>
          <w:p w14:paraId="2F3CEACF" w14:textId="77777777" w:rsidR="006B3BA0" w:rsidRPr="009057A6" w:rsidRDefault="006B3BA0" w:rsidP="007E30DA">
            <w:pPr>
              <w:rPr>
                <w:rFonts w:ascii="Arial Narrow" w:hAnsi="Arial Narrow"/>
                <w:b/>
                <w:i/>
                <w:color w:val="538135" w:themeColor="accent6" w:themeShade="BF"/>
              </w:rPr>
            </w:pPr>
            <w:r w:rsidRPr="009057A6">
              <w:rPr>
                <w:rFonts w:ascii="Arial Narrow" w:hAnsi="Arial Narrow"/>
                <w:i/>
              </w:rPr>
              <w:t xml:space="preserve">Nárok na daňový bonus za rok 2022 </w:t>
            </w:r>
          </w:p>
        </w:tc>
        <w:tc>
          <w:tcPr>
            <w:tcW w:w="1690" w:type="dxa"/>
          </w:tcPr>
          <w:p w14:paraId="4F08DD84" w14:textId="77777777" w:rsidR="006B3BA0" w:rsidRPr="009057A6" w:rsidRDefault="006B3BA0" w:rsidP="007E30DA">
            <w:pPr>
              <w:tabs>
                <w:tab w:val="left" w:pos="5670"/>
              </w:tabs>
              <w:jc w:val="right"/>
              <w:rPr>
                <w:rFonts w:ascii="Arial Narrow" w:hAnsi="Arial Narrow"/>
                <w:b/>
                <w:i/>
                <w:color w:val="538135" w:themeColor="accent6" w:themeShade="BF"/>
              </w:rPr>
            </w:pPr>
            <w:r>
              <w:rPr>
                <w:rFonts w:ascii="Arial Narrow" w:hAnsi="Arial Narrow"/>
                <w:i/>
              </w:rPr>
              <w:t>1 853</w:t>
            </w:r>
            <w:r w:rsidRPr="009057A6">
              <w:rPr>
                <w:rFonts w:ascii="Arial Narrow" w:hAnsi="Arial Narrow"/>
                <w:i/>
              </w:rPr>
              <w:t>,</w:t>
            </w:r>
            <w:r>
              <w:rPr>
                <w:rFonts w:ascii="Arial Narrow" w:hAnsi="Arial Narrow"/>
                <w:i/>
              </w:rPr>
              <w:t>34</w:t>
            </w:r>
            <w:r w:rsidRPr="009057A6">
              <w:rPr>
                <w:rFonts w:ascii="Arial Narrow" w:hAnsi="Arial Narrow"/>
                <w:i/>
              </w:rPr>
              <w:t xml:space="preserve"> €</w:t>
            </w:r>
          </w:p>
        </w:tc>
      </w:tr>
      <w:tr w:rsidR="006B3BA0" w:rsidRPr="009057A6" w14:paraId="17D78386" w14:textId="77777777" w:rsidTr="007E30DA">
        <w:tc>
          <w:tcPr>
            <w:tcW w:w="7372" w:type="dxa"/>
            <w:gridSpan w:val="2"/>
          </w:tcPr>
          <w:p w14:paraId="4B7A2EDD" w14:textId="77777777" w:rsidR="006B3BA0" w:rsidRPr="009057A6" w:rsidRDefault="006B3BA0" w:rsidP="007E30DA">
            <w:pPr>
              <w:rPr>
                <w:rFonts w:ascii="Arial Narrow" w:hAnsi="Arial Narrow"/>
                <w:i/>
              </w:rPr>
            </w:pPr>
            <w:r w:rsidRPr="009057A6">
              <w:rPr>
                <w:rFonts w:ascii="Arial Narrow" w:hAnsi="Arial Narrow"/>
                <w:i/>
              </w:rPr>
              <w:t>DB vyplatený zamestnávateľom v priebehu roka</w:t>
            </w:r>
          </w:p>
        </w:tc>
        <w:tc>
          <w:tcPr>
            <w:tcW w:w="1690" w:type="dxa"/>
          </w:tcPr>
          <w:p w14:paraId="2964B744" w14:textId="77777777" w:rsidR="006B3BA0" w:rsidRPr="009057A6" w:rsidRDefault="006B3BA0" w:rsidP="007E30DA">
            <w:pPr>
              <w:tabs>
                <w:tab w:val="left" w:pos="5670"/>
              </w:tabs>
              <w:jc w:val="right"/>
              <w:rPr>
                <w:rFonts w:ascii="Arial Narrow" w:hAnsi="Arial Narrow"/>
                <w:i/>
              </w:rPr>
            </w:pPr>
            <w:r>
              <w:rPr>
                <w:rFonts w:ascii="Arial Narrow" w:hAnsi="Arial Narrow"/>
                <w:i/>
              </w:rPr>
              <w:t>1 533,22</w:t>
            </w:r>
            <w:r w:rsidRPr="009057A6">
              <w:rPr>
                <w:rFonts w:ascii="Arial Narrow" w:hAnsi="Arial Narrow"/>
                <w:i/>
              </w:rPr>
              <w:t xml:space="preserve"> €</w:t>
            </w:r>
          </w:p>
        </w:tc>
      </w:tr>
      <w:tr w:rsidR="006B3BA0" w:rsidRPr="009057A6" w14:paraId="6A3BF9D7" w14:textId="77777777" w:rsidTr="007E30DA">
        <w:tc>
          <w:tcPr>
            <w:tcW w:w="7372" w:type="dxa"/>
            <w:gridSpan w:val="2"/>
          </w:tcPr>
          <w:p w14:paraId="41DD5AA9" w14:textId="77777777" w:rsidR="006B3BA0" w:rsidRPr="009057A6" w:rsidRDefault="006B3BA0" w:rsidP="007E30DA">
            <w:pPr>
              <w:rPr>
                <w:rFonts w:ascii="Arial Narrow" w:hAnsi="Arial Narrow"/>
                <w:i/>
              </w:rPr>
            </w:pPr>
            <w:r w:rsidRPr="009057A6">
              <w:rPr>
                <w:rFonts w:ascii="Arial Narrow" w:hAnsi="Arial Narrow"/>
                <w:i/>
              </w:rPr>
              <w:t>DB na vyplatenie (1 8</w:t>
            </w:r>
            <w:r>
              <w:rPr>
                <w:rFonts w:ascii="Arial Narrow" w:hAnsi="Arial Narrow"/>
                <w:i/>
              </w:rPr>
              <w:t>53,34</w:t>
            </w:r>
            <w:r w:rsidRPr="009057A6">
              <w:rPr>
                <w:rFonts w:ascii="Arial Narrow" w:hAnsi="Arial Narrow"/>
                <w:i/>
              </w:rPr>
              <w:t xml:space="preserve"> € - 1 </w:t>
            </w:r>
            <w:r>
              <w:rPr>
                <w:rFonts w:ascii="Arial Narrow" w:hAnsi="Arial Narrow"/>
                <w:i/>
              </w:rPr>
              <w:t> 533,22</w:t>
            </w:r>
            <w:r w:rsidRPr="009057A6">
              <w:rPr>
                <w:rFonts w:ascii="Arial Narrow" w:hAnsi="Arial Narrow"/>
                <w:i/>
              </w:rPr>
              <w:t xml:space="preserve"> €)</w:t>
            </w:r>
          </w:p>
        </w:tc>
        <w:tc>
          <w:tcPr>
            <w:tcW w:w="1690" w:type="dxa"/>
          </w:tcPr>
          <w:p w14:paraId="63EBDAF6" w14:textId="77777777" w:rsidR="006B3BA0" w:rsidRPr="009057A6" w:rsidRDefault="006B3BA0" w:rsidP="007E30DA">
            <w:pPr>
              <w:tabs>
                <w:tab w:val="left" w:pos="5670"/>
              </w:tabs>
              <w:jc w:val="right"/>
              <w:rPr>
                <w:rFonts w:ascii="Arial Narrow" w:hAnsi="Arial Narrow"/>
                <w:i/>
              </w:rPr>
            </w:pPr>
            <w:r>
              <w:rPr>
                <w:rFonts w:ascii="Arial Narrow" w:hAnsi="Arial Narrow"/>
                <w:b/>
                <w:i/>
              </w:rPr>
              <w:t>320,12</w:t>
            </w:r>
            <w:r w:rsidRPr="009057A6">
              <w:rPr>
                <w:rFonts w:ascii="Arial Narrow" w:hAnsi="Arial Narrow"/>
                <w:b/>
                <w:i/>
              </w:rPr>
              <w:t xml:space="preserve"> €</w:t>
            </w:r>
          </w:p>
        </w:tc>
      </w:tr>
    </w:tbl>
    <w:p w14:paraId="19EC8B38" w14:textId="77777777" w:rsidR="006B3BA0" w:rsidRPr="009057A6" w:rsidRDefault="006B3BA0" w:rsidP="006B3BA0">
      <w:pPr>
        <w:tabs>
          <w:tab w:val="left" w:pos="5670"/>
        </w:tabs>
        <w:spacing w:after="0" w:line="240" w:lineRule="auto"/>
        <w:jc w:val="both"/>
        <w:rPr>
          <w:rFonts w:ascii="Arial Narrow" w:hAnsi="Arial Narrow"/>
          <w:i/>
        </w:rPr>
      </w:pPr>
      <w:r w:rsidRPr="009057A6">
        <w:rPr>
          <w:rFonts w:ascii="Arial Narrow" w:hAnsi="Arial Narrow"/>
          <w:i/>
        </w:rPr>
        <w:t xml:space="preserve">*suma daňového bonusu sa vypočíta pomernou časťou, a to pripadajúcou na tri mesiace </w:t>
      </w:r>
    </w:p>
    <w:p w14:paraId="095F4040" w14:textId="77777777" w:rsidR="007B2D19" w:rsidRDefault="007B2D19" w:rsidP="00152668">
      <w:pPr>
        <w:spacing w:after="0" w:line="240" w:lineRule="auto"/>
        <w:jc w:val="both"/>
        <w:rPr>
          <w:rFonts w:ascii="Times New Roman" w:hAnsi="Times New Roman"/>
          <w:sz w:val="24"/>
          <w:szCs w:val="24"/>
        </w:rPr>
      </w:pPr>
    </w:p>
    <w:p w14:paraId="02AE7810" w14:textId="00402F3E" w:rsidR="005B3524" w:rsidRDefault="005B3524" w:rsidP="00152668">
      <w:pPr>
        <w:spacing w:after="0" w:line="240" w:lineRule="auto"/>
        <w:jc w:val="both"/>
        <w:rPr>
          <w:rFonts w:ascii="Times New Roman" w:hAnsi="Times New Roman"/>
          <w:sz w:val="24"/>
          <w:szCs w:val="24"/>
        </w:rPr>
      </w:pPr>
    </w:p>
    <w:p w14:paraId="39610AA2" w14:textId="60C3D6BE" w:rsidR="003E4FDF" w:rsidRDefault="003E4FDF" w:rsidP="00152668">
      <w:pPr>
        <w:spacing w:after="0" w:line="240" w:lineRule="auto"/>
        <w:jc w:val="both"/>
        <w:rPr>
          <w:rFonts w:ascii="Times New Roman" w:hAnsi="Times New Roman"/>
          <w:b/>
          <w:sz w:val="24"/>
          <w:szCs w:val="24"/>
        </w:rPr>
      </w:pPr>
      <w:r w:rsidRPr="003E4FDF">
        <w:rPr>
          <w:rFonts w:ascii="Times New Roman" w:hAnsi="Times New Roman"/>
          <w:b/>
          <w:sz w:val="24"/>
          <w:szCs w:val="24"/>
        </w:rPr>
        <w:t>K bodu 39 - §52zzo ods. 2</w:t>
      </w:r>
    </w:p>
    <w:p w14:paraId="54122877" w14:textId="73DE9FC3" w:rsidR="003E4FDF" w:rsidRPr="003E4FDF" w:rsidRDefault="003E4FDF" w:rsidP="00152668">
      <w:pPr>
        <w:spacing w:after="0" w:line="240" w:lineRule="auto"/>
        <w:jc w:val="both"/>
        <w:rPr>
          <w:rFonts w:ascii="Times New Roman" w:hAnsi="Times New Roman"/>
          <w:sz w:val="24"/>
          <w:szCs w:val="24"/>
        </w:rPr>
      </w:pPr>
      <w:r w:rsidRPr="003E4FDF">
        <w:rPr>
          <w:rFonts w:ascii="Times New Roman" w:hAnsi="Times New Roman"/>
          <w:sz w:val="24"/>
          <w:szCs w:val="24"/>
        </w:rPr>
        <w:t>Ide o legislatívno-technické spresnenie z dôvodu právnej istoty, podľa ktorej už k valorizácii súm daňového bonusu pre príslušné vekové kategórie deti nebude dochádzať.</w:t>
      </w:r>
    </w:p>
    <w:p w14:paraId="57AE49CC" w14:textId="77777777" w:rsidR="003E4FDF" w:rsidRPr="003E4FDF" w:rsidRDefault="003E4FDF" w:rsidP="00152668">
      <w:pPr>
        <w:spacing w:after="0" w:line="240" w:lineRule="auto"/>
        <w:jc w:val="both"/>
        <w:rPr>
          <w:rFonts w:ascii="Times New Roman" w:hAnsi="Times New Roman"/>
          <w:b/>
          <w:sz w:val="24"/>
          <w:szCs w:val="24"/>
        </w:rPr>
      </w:pPr>
    </w:p>
    <w:p w14:paraId="7A40B1F6" w14:textId="0A7698A0" w:rsidR="005B3524" w:rsidRDefault="00BC5995" w:rsidP="005B3524">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 bodu </w:t>
      </w:r>
      <w:r w:rsidR="003E4FDF">
        <w:rPr>
          <w:rFonts w:ascii="Times New Roman" w:hAnsi="Times New Roman" w:cs="Times New Roman"/>
          <w:b/>
          <w:color w:val="000000" w:themeColor="text1"/>
          <w:sz w:val="24"/>
          <w:szCs w:val="24"/>
        </w:rPr>
        <w:t>40</w:t>
      </w:r>
      <w:r w:rsidR="00501454" w:rsidRPr="00501454">
        <w:rPr>
          <w:rFonts w:ascii="Times New Roman" w:hAnsi="Times New Roman" w:cs="Times New Roman"/>
          <w:b/>
          <w:color w:val="000000" w:themeColor="text1"/>
          <w:sz w:val="24"/>
          <w:szCs w:val="24"/>
        </w:rPr>
        <w:t xml:space="preserve"> - § 52zz</w:t>
      </w:r>
      <w:r w:rsidR="004C6E6A">
        <w:rPr>
          <w:rFonts w:ascii="Times New Roman" w:hAnsi="Times New Roman" w:cs="Times New Roman"/>
          <w:b/>
          <w:color w:val="000000" w:themeColor="text1"/>
          <w:sz w:val="24"/>
          <w:szCs w:val="24"/>
        </w:rPr>
        <w:t>p</w:t>
      </w:r>
      <w:r w:rsidR="005B3524" w:rsidRPr="00501454">
        <w:rPr>
          <w:rFonts w:ascii="Times New Roman" w:hAnsi="Times New Roman" w:cs="Times New Roman"/>
          <w:b/>
          <w:color w:val="000000" w:themeColor="text1"/>
          <w:sz w:val="24"/>
          <w:szCs w:val="24"/>
        </w:rPr>
        <w:t xml:space="preserve"> </w:t>
      </w:r>
      <w:r w:rsidR="00FC7D6F">
        <w:rPr>
          <w:rFonts w:ascii="Times New Roman" w:hAnsi="Times New Roman" w:cs="Times New Roman"/>
          <w:b/>
          <w:color w:val="000000" w:themeColor="text1"/>
          <w:sz w:val="24"/>
          <w:szCs w:val="24"/>
        </w:rPr>
        <w:t>a §52zz</w:t>
      </w:r>
      <w:r w:rsidR="004C6E6A">
        <w:rPr>
          <w:rFonts w:ascii="Times New Roman" w:hAnsi="Times New Roman" w:cs="Times New Roman"/>
          <w:b/>
          <w:color w:val="000000" w:themeColor="text1"/>
          <w:sz w:val="24"/>
          <w:szCs w:val="24"/>
        </w:rPr>
        <w:t>r</w:t>
      </w:r>
    </w:p>
    <w:p w14:paraId="7780DF19" w14:textId="6E8C4070" w:rsidR="007A3D90" w:rsidRDefault="00FC7D6F" w:rsidP="00FC7D6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52zz</w:t>
      </w:r>
      <w:r w:rsidR="004C6E6A">
        <w:rPr>
          <w:rFonts w:ascii="Times New Roman" w:hAnsi="Times New Roman" w:cs="Times New Roman"/>
          <w:color w:val="000000" w:themeColor="text1"/>
          <w:sz w:val="24"/>
          <w:szCs w:val="24"/>
          <w:u w:val="single"/>
        </w:rPr>
        <w:t>p</w:t>
      </w:r>
      <w:r>
        <w:rPr>
          <w:rFonts w:ascii="Times New Roman" w:hAnsi="Times New Roman" w:cs="Times New Roman"/>
          <w:color w:val="000000" w:themeColor="text1"/>
          <w:sz w:val="24"/>
          <w:szCs w:val="24"/>
        </w:rPr>
        <w:t xml:space="preserve"> </w:t>
      </w:r>
      <w:r w:rsidR="007A3D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7A3D90">
        <w:rPr>
          <w:rFonts w:ascii="Times New Roman" w:hAnsi="Times New Roman" w:cs="Times New Roman"/>
          <w:color w:val="000000" w:themeColor="text1"/>
          <w:sz w:val="24"/>
          <w:szCs w:val="24"/>
        </w:rPr>
        <w:t>Prechodné ustanovenia účinné od 1. 1. 2023</w:t>
      </w:r>
    </w:p>
    <w:p w14:paraId="1EF81465" w14:textId="3D904A58" w:rsidR="00FC7D6F" w:rsidRDefault="007A3D90" w:rsidP="00FC7D6F">
      <w:pPr>
        <w:spacing w:after="0" w:line="240" w:lineRule="auto"/>
        <w:jc w:val="both"/>
        <w:rPr>
          <w:rFonts w:ascii="Times New Roman" w:hAnsi="Times New Roman"/>
          <w:sz w:val="24"/>
          <w:szCs w:val="24"/>
        </w:rPr>
      </w:pPr>
      <w:r>
        <w:rPr>
          <w:rFonts w:ascii="Times New Roman" w:hAnsi="Times New Roman" w:cs="Times New Roman"/>
          <w:color w:val="000000" w:themeColor="text1"/>
          <w:sz w:val="24"/>
          <w:szCs w:val="24"/>
        </w:rPr>
        <w:t>V odseku 1 sa n</w:t>
      </w:r>
      <w:r w:rsidR="00FC7D6F">
        <w:rPr>
          <w:rFonts w:ascii="Times New Roman" w:hAnsi="Times New Roman"/>
          <w:sz w:val="24"/>
          <w:szCs w:val="24"/>
        </w:rPr>
        <w:t>avrhuje zahrnúť úpravu základu dane vyplývajúcu z implementácie IFRS 9 a</w:t>
      </w:r>
      <w:r>
        <w:rPr>
          <w:rFonts w:ascii="Times New Roman" w:hAnsi="Times New Roman"/>
          <w:sz w:val="24"/>
          <w:szCs w:val="24"/>
        </w:rPr>
        <w:t xml:space="preserve"> </w:t>
      </w:r>
      <w:r w:rsidR="00FC7D6F">
        <w:rPr>
          <w:rFonts w:ascii="Times New Roman" w:hAnsi="Times New Roman"/>
          <w:sz w:val="24"/>
          <w:szCs w:val="24"/>
        </w:rPr>
        <w:t xml:space="preserve">17 poisťovňami počas </w:t>
      </w:r>
      <w:r w:rsidR="008656BB">
        <w:rPr>
          <w:rFonts w:ascii="Times New Roman" w:hAnsi="Times New Roman"/>
          <w:sz w:val="24"/>
          <w:szCs w:val="24"/>
        </w:rPr>
        <w:t>troch</w:t>
      </w:r>
      <w:r w:rsidR="00FC7D6F">
        <w:rPr>
          <w:rFonts w:ascii="Times New Roman" w:hAnsi="Times New Roman"/>
          <w:sz w:val="24"/>
          <w:szCs w:val="24"/>
        </w:rPr>
        <w:t xml:space="preserve"> zdaňovacích období a to počnúc zdaňovacím obdobím začínajúcim najskôr 1. 1. 2023.</w:t>
      </w:r>
    </w:p>
    <w:p w14:paraId="0C55EEBA" w14:textId="7682BA47" w:rsidR="007A3D90" w:rsidRPr="007A3D90" w:rsidRDefault="007A3D90" w:rsidP="007A3D90">
      <w:pPr>
        <w:spacing w:after="0" w:line="240" w:lineRule="auto"/>
        <w:jc w:val="both"/>
        <w:rPr>
          <w:rFonts w:ascii="Times New Roman" w:hAnsi="Times New Roman"/>
          <w:sz w:val="24"/>
          <w:szCs w:val="24"/>
        </w:rPr>
      </w:pPr>
      <w:r>
        <w:rPr>
          <w:rFonts w:ascii="Times New Roman" w:hAnsi="Times New Roman"/>
          <w:sz w:val="24"/>
          <w:szCs w:val="24"/>
        </w:rPr>
        <w:t>Podľa odseku 2 bude možné p</w:t>
      </w:r>
      <w:r w:rsidRPr="007A3D90">
        <w:rPr>
          <w:rFonts w:ascii="Times New Roman" w:hAnsi="Times New Roman"/>
          <w:sz w:val="24"/>
          <w:szCs w:val="24"/>
        </w:rPr>
        <w:t>rvýkrát uplatniť sčítanie základov dane (čiastkových základov dane) z príjmov podľa § 5 alebo základov dane (čiastkových základov dane) z príjmov podľa § 6 ods. 1 a 2 alebo ich úhrnom</w:t>
      </w:r>
      <w:r>
        <w:rPr>
          <w:rFonts w:ascii="Times New Roman" w:hAnsi="Times New Roman"/>
          <w:sz w:val="24"/>
          <w:szCs w:val="24"/>
        </w:rPr>
        <w:t xml:space="preserve"> na účely uplatnenia daňového bonusu</w:t>
      </w:r>
      <w:r w:rsidRPr="007A3D90">
        <w:rPr>
          <w:rFonts w:ascii="Times New Roman" w:hAnsi="Times New Roman"/>
          <w:sz w:val="24"/>
          <w:szCs w:val="24"/>
        </w:rPr>
        <w:t xml:space="preserve"> pri podaní daňového priznania za zdaňovacie obdobie 2023.</w:t>
      </w:r>
    </w:p>
    <w:p w14:paraId="22A3DA51" w14:textId="78C72FBC" w:rsidR="007A3D90" w:rsidRPr="00FC7D6F" w:rsidRDefault="007A3D90" w:rsidP="00FC7D6F">
      <w:pPr>
        <w:spacing w:after="0" w:line="240" w:lineRule="auto"/>
        <w:jc w:val="both"/>
        <w:rPr>
          <w:rFonts w:ascii="Times New Roman" w:hAnsi="Times New Roman" w:cs="Times New Roman"/>
          <w:color w:val="000000" w:themeColor="text1"/>
          <w:sz w:val="24"/>
          <w:szCs w:val="24"/>
        </w:rPr>
      </w:pPr>
    </w:p>
    <w:p w14:paraId="2624CD93" w14:textId="67C00158" w:rsidR="007A3D90" w:rsidRDefault="00FC7D6F" w:rsidP="00FC7D6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52zz</w:t>
      </w:r>
      <w:r w:rsidR="004C6E6A">
        <w:rPr>
          <w:rFonts w:ascii="Times New Roman" w:hAnsi="Times New Roman" w:cs="Times New Roman"/>
          <w:color w:val="000000" w:themeColor="text1"/>
          <w:sz w:val="24"/>
          <w:szCs w:val="24"/>
          <w:u w:val="single"/>
        </w:rPr>
        <w:t>r</w:t>
      </w:r>
      <w:r w:rsidR="000F48FB">
        <w:rPr>
          <w:rFonts w:ascii="Times New Roman" w:hAnsi="Times New Roman" w:cs="Times New Roman"/>
          <w:color w:val="000000" w:themeColor="text1"/>
          <w:sz w:val="24"/>
          <w:szCs w:val="24"/>
        </w:rPr>
        <w:t xml:space="preserve"> </w:t>
      </w:r>
      <w:r w:rsidR="007A3D90">
        <w:rPr>
          <w:rFonts w:ascii="Times New Roman" w:hAnsi="Times New Roman" w:cs="Times New Roman"/>
          <w:color w:val="000000" w:themeColor="text1"/>
          <w:sz w:val="24"/>
          <w:szCs w:val="24"/>
        </w:rPr>
        <w:t>–</w:t>
      </w:r>
      <w:r w:rsidR="000F48FB">
        <w:rPr>
          <w:rFonts w:ascii="Times New Roman" w:hAnsi="Times New Roman" w:cs="Times New Roman"/>
          <w:color w:val="000000" w:themeColor="text1"/>
          <w:sz w:val="24"/>
          <w:szCs w:val="24"/>
        </w:rPr>
        <w:t xml:space="preserve"> </w:t>
      </w:r>
      <w:r w:rsidR="007A3D90">
        <w:rPr>
          <w:rFonts w:ascii="Times New Roman" w:hAnsi="Times New Roman" w:cs="Times New Roman"/>
          <w:color w:val="000000" w:themeColor="text1"/>
          <w:sz w:val="24"/>
          <w:szCs w:val="24"/>
        </w:rPr>
        <w:t>Prechodné ustanovenie účinné od 1. 1. 2024</w:t>
      </w:r>
    </w:p>
    <w:p w14:paraId="2E3331FF" w14:textId="69E38BB9" w:rsidR="00FC7D6F" w:rsidRPr="00FC7D6F" w:rsidRDefault="00FC7D6F" w:rsidP="00FC7D6F">
      <w:pPr>
        <w:spacing w:after="0" w:line="240" w:lineRule="auto"/>
        <w:jc w:val="both"/>
        <w:rPr>
          <w:rFonts w:ascii="Times New Roman" w:hAnsi="Times New Roman" w:cs="Times New Roman"/>
          <w:b/>
          <w:bCs/>
          <w:sz w:val="24"/>
          <w:szCs w:val="24"/>
          <w:lang w:eastAsia="sk-SK"/>
        </w:rPr>
      </w:pPr>
      <w:r w:rsidRPr="00FC7D6F">
        <w:rPr>
          <w:rFonts w:ascii="Times New Roman" w:hAnsi="Times New Roman" w:cs="Times New Roman"/>
          <w:sz w:val="24"/>
          <w:szCs w:val="24"/>
        </w:rPr>
        <w:t xml:space="preserve">Nové pravidlo pre obmedzenie čistých úrokových nákladov sa bude po prvýkrát aplikovať až na čisté úrokové náklady plynúce na základe zmlúv uzatvorených po 31. decembri 2023, t. j. limitácii nebudú podliehať čisté úrokové náklady plynúce zo zmlúv uzatvorených najneskôr 31. decembra 2023, resp. dodatkov k týmto zmluvám uzatvorených najneskôr 31. decembra 2023. </w:t>
      </w:r>
    </w:p>
    <w:p w14:paraId="7D11CC2A" w14:textId="77777777" w:rsidR="00FC7D6F" w:rsidRDefault="00FC7D6F" w:rsidP="00FC7D6F">
      <w:pPr>
        <w:autoSpaceDE w:val="0"/>
        <w:autoSpaceDN w:val="0"/>
        <w:spacing w:line="241" w:lineRule="atLeast"/>
        <w:rPr>
          <w:rFonts w:ascii="Arial Narrow" w:hAnsi="Arial Narrow" w:cs="Calibri"/>
          <w:lang w:eastAsia="sk-SK"/>
        </w:rPr>
      </w:pPr>
    </w:p>
    <w:p w14:paraId="32060BC3" w14:textId="77777777" w:rsidR="007418C6" w:rsidRDefault="007418C6" w:rsidP="007418C6">
      <w:pPr>
        <w:spacing w:after="0" w:line="240" w:lineRule="auto"/>
        <w:jc w:val="both"/>
        <w:rPr>
          <w:rFonts w:ascii="Times New Roman" w:hAnsi="Times New Roman" w:cs="Times New Roman"/>
          <w:b/>
          <w:sz w:val="24"/>
          <w:szCs w:val="24"/>
        </w:rPr>
      </w:pPr>
      <w:r w:rsidRPr="008151E0">
        <w:rPr>
          <w:rFonts w:ascii="Times New Roman" w:hAnsi="Times New Roman" w:cs="Times New Roman"/>
          <w:b/>
          <w:sz w:val="24"/>
          <w:szCs w:val="24"/>
        </w:rPr>
        <w:lastRenderedPageBreak/>
        <w:t>Čl. I</w:t>
      </w:r>
      <w:r>
        <w:rPr>
          <w:rFonts w:ascii="Times New Roman" w:hAnsi="Times New Roman" w:cs="Times New Roman"/>
          <w:b/>
          <w:sz w:val="24"/>
          <w:szCs w:val="24"/>
        </w:rPr>
        <w:t>I – Zákon č. 563/2009 Z. z. o správe daní (daňový poriadok) v znení neskorších predpisov</w:t>
      </w:r>
    </w:p>
    <w:p w14:paraId="2CFE076A" w14:textId="77777777" w:rsidR="007418C6" w:rsidRDefault="007418C6" w:rsidP="007418C6">
      <w:pPr>
        <w:spacing w:after="0" w:line="240" w:lineRule="auto"/>
        <w:jc w:val="both"/>
        <w:rPr>
          <w:rFonts w:ascii="Times New Roman" w:hAnsi="Times New Roman" w:cs="Times New Roman"/>
          <w:b/>
          <w:sz w:val="24"/>
          <w:szCs w:val="24"/>
        </w:rPr>
      </w:pPr>
    </w:p>
    <w:p w14:paraId="286F439A" w14:textId="77777777" w:rsidR="007418C6" w:rsidRPr="00EB20BF" w:rsidRDefault="007418C6" w:rsidP="007418C6">
      <w:pPr>
        <w:spacing w:after="0" w:line="240" w:lineRule="auto"/>
        <w:jc w:val="both"/>
        <w:rPr>
          <w:rFonts w:ascii="Times New Roman" w:hAnsi="Times New Roman" w:cs="Times New Roman"/>
          <w:b/>
          <w:color w:val="000000" w:themeColor="text1"/>
          <w:sz w:val="24"/>
          <w:szCs w:val="24"/>
        </w:rPr>
      </w:pPr>
      <w:r w:rsidRPr="00EB20BF">
        <w:rPr>
          <w:rFonts w:ascii="Times New Roman" w:hAnsi="Times New Roman" w:cs="Times New Roman"/>
          <w:b/>
          <w:color w:val="000000" w:themeColor="text1"/>
          <w:sz w:val="24"/>
          <w:szCs w:val="24"/>
        </w:rPr>
        <w:t>K bodom 1 a</w:t>
      </w:r>
      <w:r>
        <w:rPr>
          <w:rFonts w:ascii="Times New Roman" w:hAnsi="Times New Roman" w:cs="Times New Roman"/>
          <w:b/>
          <w:color w:val="000000" w:themeColor="text1"/>
          <w:sz w:val="24"/>
          <w:szCs w:val="24"/>
        </w:rPr>
        <w:t> 3 - § 1 a § 52</w:t>
      </w:r>
    </w:p>
    <w:p w14:paraId="4F813978" w14:textId="77777777" w:rsidR="007418C6" w:rsidRDefault="007418C6" w:rsidP="007418C6">
      <w:pPr>
        <w:spacing w:after="0" w:line="240" w:lineRule="auto"/>
        <w:jc w:val="both"/>
        <w:rPr>
          <w:rFonts w:ascii="Times New Roman" w:hAnsi="Times New Roman" w:cs="Times New Roman"/>
          <w:b/>
          <w:color w:val="000000" w:themeColor="text1"/>
          <w:sz w:val="24"/>
          <w:szCs w:val="24"/>
        </w:rPr>
      </w:pPr>
      <w:r w:rsidRPr="00EB20BF">
        <w:rPr>
          <w:rFonts w:ascii="Times New Roman" w:hAnsi="Times New Roman" w:cs="Times New Roman"/>
          <w:color w:val="000000" w:themeColor="text1"/>
          <w:sz w:val="24"/>
          <w:szCs w:val="24"/>
        </w:rPr>
        <w:t>Nadväzne na to, že zákon o osobitnom odvode vybraných finančných inštitúcií a o doplnení niektorých zákonov bol zrušený, vypúšťa sa z rozsahu pôsobnosti daňového poriadku a zároveň finančné riaditeľstvo nebude zverejňovať zoznam vybraných finančných inštitúcií.</w:t>
      </w:r>
      <w:r w:rsidRPr="00EB20BF">
        <w:rPr>
          <w:rFonts w:ascii="Times New Roman" w:hAnsi="Times New Roman" w:cs="Times New Roman"/>
          <w:b/>
          <w:color w:val="000000" w:themeColor="text1"/>
          <w:sz w:val="24"/>
          <w:szCs w:val="24"/>
        </w:rPr>
        <w:t xml:space="preserve"> </w:t>
      </w:r>
    </w:p>
    <w:p w14:paraId="2B869839" w14:textId="77777777" w:rsidR="007418C6" w:rsidRPr="00EB20BF" w:rsidRDefault="007418C6" w:rsidP="007418C6">
      <w:pPr>
        <w:spacing w:after="0" w:line="240" w:lineRule="auto"/>
        <w:jc w:val="both"/>
        <w:rPr>
          <w:rFonts w:ascii="Times New Roman" w:hAnsi="Times New Roman" w:cs="Times New Roman"/>
          <w:b/>
          <w:color w:val="000000" w:themeColor="text1"/>
          <w:sz w:val="24"/>
          <w:szCs w:val="24"/>
        </w:rPr>
      </w:pPr>
    </w:p>
    <w:p w14:paraId="658A7E33" w14:textId="77777777" w:rsidR="007418C6" w:rsidRDefault="007418C6" w:rsidP="007418C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 bodu 2 - § 47 písm. k)</w:t>
      </w:r>
    </w:p>
    <w:p w14:paraId="0D184CE9" w14:textId="77777777" w:rsidR="007418C6" w:rsidRDefault="007418C6" w:rsidP="007418C6">
      <w:pPr>
        <w:spacing w:after="0" w:line="240" w:lineRule="auto"/>
        <w:jc w:val="both"/>
        <w:rPr>
          <w:rFonts w:ascii="Times New Roman" w:hAnsi="Times New Roman" w:cs="Times New Roman"/>
          <w:color w:val="000000" w:themeColor="text1"/>
          <w:sz w:val="24"/>
          <w:szCs w:val="24"/>
        </w:rPr>
      </w:pPr>
      <w:r w:rsidRPr="000D02FB">
        <w:rPr>
          <w:rFonts w:ascii="Times New Roman" w:hAnsi="Times New Roman" w:cs="Times New Roman"/>
          <w:color w:val="000000" w:themeColor="text1"/>
          <w:sz w:val="24"/>
          <w:szCs w:val="24"/>
        </w:rPr>
        <w:t xml:space="preserve">Ide  </w:t>
      </w:r>
      <w:r>
        <w:rPr>
          <w:rFonts w:ascii="Times New Roman" w:hAnsi="Times New Roman" w:cs="Times New Roman"/>
          <w:color w:val="000000" w:themeColor="text1"/>
          <w:sz w:val="24"/>
          <w:szCs w:val="24"/>
        </w:rPr>
        <w:t xml:space="preserve">o </w:t>
      </w:r>
      <w:r w:rsidRPr="000D02FB">
        <w:rPr>
          <w:rFonts w:ascii="Times New Roman" w:hAnsi="Times New Roman" w:cs="Times New Roman"/>
          <w:color w:val="000000" w:themeColor="text1"/>
          <w:sz w:val="24"/>
          <w:szCs w:val="24"/>
        </w:rPr>
        <w:t>legislatívno</w:t>
      </w:r>
      <w:r>
        <w:rPr>
          <w:rFonts w:ascii="Times New Roman" w:hAnsi="Times New Roman" w:cs="Times New Roman"/>
          <w:color w:val="000000" w:themeColor="text1"/>
          <w:sz w:val="24"/>
          <w:szCs w:val="24"/>
        </w:rPr>
        <w:t>-</w:t>
      </w:r>
      <w:r w:rsidRPr="000D02FB">
        <w:rPr>
          <w:rFonts w:ascii="Times New Roman" w:hAnsi="Times New Roman" w:cs="Times New Roman"/>
          <w:color w:val="000000" w:themeColor="text1"/>
          <w:sz w:val="24"/>
          <w:szCs w:val="24"/>
        </w:rPr>
        <w:t xml:space="preserve">technickú úpravu </w:t>
      </w:r>
      <w:r>
        <w:rPr>
          <w:rFonts w:ascii="Times New Roman" w:hAnsi="Times New Roman" w:cs="Times New Roman"/>
          <w:color w:val="000000" w:themeColor="text1"/>
          <w:sz w:val="24"/>
          <w:szCs w:val="24"/>
        </w:rPr>
        <w:t>súvisiacu s </w:t>
      </w:r>
      <w:r w:rsidRPr="000D02FB">
        <w:rPr>
          <w:rFonts w:ascii="Times New Roman" w:hAnsi="Times New Roman" w:cs="Times New Roman"/>
          <w:color w:val="000000" w:themeColor="text1"/>
          <w:sz w:val="24"/>
          <w:szCs w:val="24"/>
        </w:rPr>
        <w:t>elektronick</w:t>
      </w:r>
      <w:r>
        <w:rPr>
          <w:rFonts w:ascii="Times New Roman" w:hAnsi="Times New Roman" w:cs="Times New Roman"/>
          <w:color w:val="000000" w:themeColor="text1"/>
          <w:sz w:val="24"/>
          <w:szCs w:val="24"/>
        </w:rPr>
        <w:t xml:space="preserve">ým </w:t>
      </w:r>
      <w:r w:rsidRPr="000D02FB">
        <w:rPr>
          <w:rFonts w:ascii="Times New Roman" w:hAnsi="Times New Roman" w:cs="Times New Roman"/>
          <w:color w:val="000000" w:themeColor="text1"/>
          <w:sz w:val="24"/>
          <w:szCs w:val="24"/>
        </w:rPr>
        <w:t xml:space="preserve">doručovaní </w:t>
      </w:r>
      <w:r>
        <w:rPr>
          <w:rFonts w:ascii="Times New Roman" w:hAnsi="Times New Roman" w:cs="Times New Roman"/>
          <w:color w:val="000000" w:themeColor="text1"/>
          <w:sz w:val="24"/>
          <w:szCs w:val="24"/>
        </w:rPr>
        <w:t xml:space="preserve">písomností a tiež s </w:t>
      </w:r>
      <w:r w:rsidRPr="000D02FB">
        <w:rPr>
          <w:rFonts w:ascii="Times New Roman" w:hAnsi="Times New Roman" w:cs="Times New Roman"/>
          <w:color w:val="000000" w:themeColor="text1"/>
          <w:sz w:val="24"/>
          <w:szCs w:val="24"/>
        </w:rPr>
        <w:t>úprav</w:t>
      </w:r>
      <w:r>
        <w:rPr>
          <w:rFonts w:ascii="Times New Roman" w:hAnsi="Times New Roman" w:cs="Times New Roman"/>
          <w:color w:val="000000" w:themeColor="text1"/>
          <w:sz w:val="24"/>
          <w:szCs w:val="24"/>
        </w:rPr>
        <w:t>o</w:t>
      </w:r>
      <w:r w:rsidRPr="000D02FB">
        <w:rPr>
          <w:rFonts w:ascii="Times New Roman" w:hAnsi="Times New Roman" w:cs="Times New Roman"/>
          <w:color w:val="000000" w:themeColor="text1"/>
          <w:sz w:val="24"/>
          <w:szCs w:val="24"/>
        </w:rPr>
        <w:t>u § 32</w:t>
      </w:r>
      <w:r>
        <w:rPr>
          <w:rFonts w:ascii="Times New Roman" w:hAnsi="Times New Roman" w:cs="Times New Roman"/>
          <w:color w:val="000000" w:themeColor="text1"/>
          <w:sz w:val="24"/>
          <w:szCs w:val="24"/>
        </w:rPr>
        <w:t xml:space="preserve"> a 33 v novele zákona o e-</w:t>
      </w:r>
      <w:proofErr w:type="spellStart"/>
      <w:r>
        <w:rPr>
          <w:rFonts w:ascii="Times New Roman" w:hAnsi="Times New Roman" w:cs="Times New Roman"/>
          <w:color w:val="000000" w:themeColor="text1"/>
          <w:sz w:val="24"/>
          <w:szCs w:val="24"/>
        </w:rPr>
        <w:t>Governmente</w:t>
      </w:r>
      <w:proofErr w:type="spellEnd"/>
      <w:r>
        <w:rPr>
          <w:rFonts w:ascii="Times New Roman" w:hAnsi="Times New Roman" w:cs="Times New Roman"/>
          <w:color w:val="000000" w:themeColor="text1"/>
          <w:sz w:val="24"/>
          <w:szCs w:val="24"/>
        </w:rPr>
        <w:t>.</w:t>
      </w:r>
      <w:r w:rsidRPr="000D02FB">
        <w:rPr>
          <w:rFonts w:ascii="Times New Roman" w:hAnsi="Times New Roman" w:cs="Times New Roman"/>
          <w:color w:val="000000" w:themeColor="text1"/>
          <w:sz w:val="24"/>
          <w:szCs w:val="24"/>
        </w:rPr>
        <w:t xml:space="preserve"> </w:t>
      </w:r>
    </w:p>
    <w:p w14:paraId="784B4D13" w14:textId="77777777" w:rsidR="007418C6" w:rsidRPr="000D02FB" w:rsidRDefault="007418C6" w:rsidP="007418C6">
      <w:pPr>
        <w:spacing w:after="0" w:line="240" w:lineRule="auto"/>
        <w:jc w:val="both"/>
        <w:rPr>
          <w:rFonts w:ascii="Times New Roman" w:hAnsi="Times New Roman" w:cs="Times New Roman"/>
          <w:color w:val="000000" w:themeColor="text1"/>
          <w:sz w:val="24"/>
          <w:szCs w:val="24"/>
        </w:rPr>
      </w:pPr>
    </w:p>
    <w:p w14:paraId="7BD8C836" w14:textId="77777777" w:rsidR="007418C6" w:rsidRPr="00EB20BF" w:rsidRDefault="007418C6" w:rsidP="007418C6">
      <w:pPr>
        <w:spacing w:after="0" w:line="240" w:lineRule="auto"/>
        <w:jc w:val="both"/>
        <w:rPr>
          <w:rFonts w:ascii="Times New Roman" w:hAnsi="Times New Roman" w:cs="Times New Roman"/>
          <w:b/>
          <w:color w:val="000000" w:themeColor="text1"/>
          <w:sz w:val="24"/>
          <w:szCs w:val="24"/>
        </w:rPr>
      </w:pPr>
      <w:r w:rsidRPr="00EB20BF">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4 - § 60 ods. 6</w:t>
      </w:r>
    </w:p>
    <w:p w14:paraId="4685B8A0" w14:textId="77777777" w:rsidR="007418C6" w:rsidRDefault="007418C6" w:rsidP="007418C6">
      <w:pPr>
        <w:spacing w:after="0" w:line="240" w:lineRule="auto"/>
        <w:jc w:val="both"/>
        <w:rPr>
          <w:rFonts w:ascii="Times New Roman" w:hAnsi="Times New Roman" w:cs="Times New Roman"/>
          <w:color w:val="000000" w:themeColor="text1"/>
          <w:sz w:val="24"/>
          <w:szCs w:val="24"/>
        </w:rPr>
      </w:pPr>
      <w:r w:rsidRPr="00EB20BF">
        <w:rPr>
          <w:rFonts w:ascii="Times New Roman" w:hAnsi="Times New Roman" w:cs="Times New Roman"/>
          <w:color w:val="000000" w:themeColor="text1"/>
          <w:sz w:val="24"/>
          <w:szCs w:val="24"/>
        </w:rPr>
        <w:t>Do ustanovenia námietke sa dopĺňa, že námietku zaujatosti nie je možné podať ani voči starostovi obce, tak ako je to v prípade riaditeľa daňového úradu</w:t>
      </w:r>
      <w:r>
        <w:rPr>
          <w:rFonts w:ascii="Times New Roman" w:hAnsi="Times New Roman" w:cs="Times New Roman"/>
          <w:color w:val="000000" w:themeColor="text1"/>
          <w:sz w:val="24"/>
          <w:szCs w:val="24"/>
        </w:rPr>
        <w:t xml:space="preserve"> alebo colného úradu</w:t>
      </w:r>
      <w:r w:rsidRPr="00EB20BF">
        <w:rPr>
          <w:rFonts w:ascii="Times New Roman" w:hAnsi="Times New Roman" w:cs="Times New Roman"/>
          <w:color w:val="000000" w:themeColor="text1"/>
          <w:sz w:val="24"/>
          <w:szCs w:val="24"/>
        </w:rPr>
        <w:t xml:space="preserve">. </w:t>
      </w:r>
    </w:p>
    <w:p w14:paraId="1308B974" w14:textId="77777777" w:rsidR="007418C6" w:rsidRPr="00EB20BF" w:rsidRDefault="007418C6" w:rsidP="007418C6">
      <w:pPr>
        <w:spacing w:after="0" w:line="240" w:lineRule="auto"/>
        <w:jc w:val="both"/>
        <w:rPr>
          <w:rFonts w:ascii="Times New Roman" w:hAnsi="Times New Roman" w:cs="Times New Roman"/>
          <w:color w:val="000000" w:themeColor="text1"/>
          <w:sz w:val="24"/>
          <w:szCs w:val="24"/>
        </w:rPr>
      </w:pPr>
    </w:p>
    <w:p w14:paraId="50BF5D1F" w14:textId="77777777" w:rsidR="007418C6" w:rsidRPr="00EB20BF" w:rsidRDefault="007418C6" w:rsidP="007418C6">
      <w:pPr>
        <w:spacing w:after="0" w:line="240" w:lineRule="auto"/>
        <w:jc w:val="both"/>
        <w:rPr>
          <w:rFonts w:ascii="Times New Roman" w:hAnsi="Times New Roman" w:cs="Times New Roman"/>
          <w:b/>
          <w:color w:val="000000" w:themeColor="text1"/>
          <w:sz w:val="24"/>
          <w:szCs w:val="24"/>
        </w:rPr>
      </w:pPr>
      <w:r w:rsidRPr="00EB20BF">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5 - § 67 ods. 11</w:t>
      </w:r>
    </w:p>
    <w:p w14:paraId="58646120" w14:textId="77777777" w:rsidR="007418C6" w:rsidRPr="0039538E" w:rsidRDefault="007418C6" w:rsidP="007418C6">
      <w:pPr>
        <w:spacing w:after="0" w:line="240" w:lineRule="auto"/>
        <w:jc w:val="both"/>
        <w:rPr>
          <w:rFonts w:ascii="Times New Roman" w:hAnsi="Times New Roman" w:cs="Times New Roman"/>
          <w:color w:val="000000" w:themeColor="text1"/>
          <w:sz w:val="24"/>
          <w:szCs w:val="24"/>
        </w:rPr>
      </w:pPr>
      <w:r w:rsidRPr="0039538E">
        <w:rPr>
          <w:rFonts w:ascii="Times New Roman" w:hAnsi="Times New Roman" w:cs="Times New Roman"/>
          <w:color w:val="000000" w:themeColor="text1"/>
          <w:sz w:val="24"/>
          <w:szCs w:val="24"/>
        </w:rPr>
        <w:t xml:space="preserve">Nakoľko v registri právnických osôb podnikateľov a orgánov verejnej moci (RPO) nie je informácia, kedy bol údaj do registra zapísaný, spresňuje sa ustanovenie tak, že správca dane zaregistruje daňový subjekt, až keď prevezme údaje z tohto registra. Údaje sa preberajú na dennej báze a tento údaj je možné dohľadať. Vypúšťa sa registrácia na základe podaných daňových priznaní. </w:t>
      </w:r>
    </w:p>
    <w:p w14:paraId="1DEEF3ED" w14:textId="77777777" w:rsidR="007418C6" w:rsidRPr="0039538E" w:rsidRDefault="007418C6" w:rsidP="007418C6">
      <w:pPr>
        <w:spacing w:after="0" w:line="240" w:lineRule="auto"/>
        <w:jc w:val="both"/>
        <w:rPr>
          <w:rFonts w:ascii="Times New Roman" w:hAnsi="Times New Roman" w:cs="Times New Roman"/>
          <w:sz w:val="24"/>
          <w:szCs w:val="24"/>
        </w:rPr>
      </w:pPr>
    </w:p>
    <w:p w14:paraId="731082C4" w14:textId="0C5CF023" w:rsidR="007418C6" w:rsidRPr="0039538E" w:rsidRDefault="007418C6" w:rsidP="007418C6">
      <w:pPr>
        <w:spacing w:after="0" w:line="240" w:lineRule="auto"/>
        <w:jc w:val="both"/>
        <w:rPr>
          <w:rFonts w:ascii="Times New Roman" w:hAnsi="Times New Roman" w:cs="Times New Roman"/>
          <w:b/>
          <w:sz w:val="24"/>
          <w:szCs w:val="24"/>
        </w:rPr>
      </w:pPr>
      <w:r w:rsidRPr="0039538E">
        <w:rPr>
          <w:rFonts w:ascii="Times New Roman" w:hAnsi="Times New Roman" w:cs="Times New Roman"/>
          <w:b/>
          <w:sz w:val="24"/>
          <w:szCs w:val="24"/>
        </w:rPr>
        <w:t>K bodu 6</w:t>
      </w:r>
      <w:r>
        <w:rPr>
          <w:rFonts w:ascii="Times New Roman" w:hAnsi="Times New Roman" w:cs="Times New Roman"/>
          <w:b/>
          <w:sz w:val="24"/>
          <w:szCs w:val="24"/>
        </w:rPr>
        <w:t xml:space="preserve"> - § 68 ods. 4 písm. </w:t>
      </w:r>
      <w:r w:rsidR="00131911">
        <w:rPr>
          <w:rFonts w:ascii="Times New Roman" w:hAnsi="Times New Roman" w:cs="Times New Roman"/>
          <w:b/>
          <w:sz w:val="24"/>
          <w:szCs w:val="24"/>
        </w:rPr>
        <w:t>c</w:t>
      </w:r>
      <w:bookmarkStart w:id="0" w:name="_GoBack"/>
      <w:bookmarkEnd w:id="0"/>
      <w:r>
        <w:rPr>
          <w:rFonts w:ascii="Times New Roman" w:hAnsi="Times New Roman" w:cs="Times New Roman"/>
          <w:b/>
          <w:sz w:val="24"/>
          <w:szCs w:val="24"/>
        </w:rPr>
        <w:t>)</w:t>
      </w:r>
    </w:p>
    <w:p w14:paraId="5B7597D5" w14:textId="77777777" w:rsidR="007418C6" w:rsidRPr="00432F3C" w:rsidRDefault="007418C6" w:rsidP="007418C6">
      <w:pPr>
        <w:spacing w:after="0" w:line="240" w:lineRule="auto"/>
        <w:jc w:val="both"/>
        <w:rPr>
          <w:rFonts w:ascii="Times New Roman" w:hAnsi="Times New Roman" w:cs="Times New Roman"/>
          <w:color w:val="000000" w:themeColor="text1"/>
          <w:sz w:val="24"/>
          <w:szCs w:val="24"/>
        </w:rPr>
      </w:pPr>
      <w:r w:rsidRPr="0039538E">
        <w:rPr>
          <w:rFonts w:ascii="Times New Roman" w:hAnsi="Times New Roman" w:cs="Times New Roman"/>
          <w:color w:val="000000" w:themeColor="text1"/>
          <w:sz w:val="24"/>
          <w:szCs w:val="24"/>
        </w:rPr>
        <w:t>Nadväzne na  nový § 157b o účinnej ľútosti, sa navrhuje ďalší spôsob vyrubenia dane.</w:t>
      </w:r>
    </w:p>
    <w:p w14:paraId="494E9F52" w14:textId="77777777" w:rsidR="007418C6" w:rsidRDefault="007418C6" w:rsidP="007418C6">
      <w:pPr>
        <w:spacing w:after="0" w:line="240" w:lineRule="auto"/>
        <w:jc w:val="both"/>
        <w:rPr>
          <w:rFonts w:ascii="Times New Roman" w:hAnsi="Times New Roman" w:cs="Times New Roman"/>
          <w:sz w:val="24"/>
          <w:szCs w:val="24"/>
        </w:rPr>
      </w:pPr>
    </w:p>
    <w:p w14:paraId="6842D791" w14:textId="77777777" w:rsidR="007418C6" w:rsidRPr="00EB20BF" w:rsidRDefault="007418C6" w:rsidP="007418C6">
      <w:pPr>
        <w:spacing w:after="0" w:line="240" w:lineRule="auto"/>
        <w:jc w:val="both"/>
        <w:rPr>
          <w:rFonts w:ascii="Times New Roman" w:hAnsi="Times New Roman" w:cs="Times New Roman"/>
          <w:b/>
          <w:color w:val="000000" w:themeColor="text1"/>
          <w:sz w:val="24"/>
          <w:szCs w:val="24"/>
        </w:rPr>
      </w:pPr>
      <w:r w:rsidRPr="00EB20BF">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7 - § 148 ods. 3</w:t>
      </w:r>
    </w:p>
    <w:p w14:paraId="6754BA27" w14:textId="77777777" w:rsidR="007418C6" w:rsidRDefault="007418C6" w:rsidP="007418C6">
      <w:pPr>
        <w:spacing w:after="0" w:line="240" w:lineRule="auto"/>
        <w:jc w:val="both"/>
        <w:rPr>
          <w:rFonts w:ascii="Times New Roman" w:hAnsi="Times New Roman" w:cs="Times New Roman"/>
          <w:color w:val="000000" w:themeColor="text1"/>
          <w:sz w:val="24"/>
          <w:szCs w:val="24"/>
        </w:rPr>
      </w:pPr>
      <w:r w:rsidRPr="00EB20BF">
        <w:rPr>
          <w:rFonts w:ascii="Times New Roman" w:hAnsi="Times New Roman" w:cs="Times New Roman"/>
          <w:color w:val="000000" w:themeColor="text1"/>
          <w:sz w:val="24"/>
          <w:szCs w:val="24"/>
        </w:rPr>
        <w:t>Navrhuje sa zrýchliť postup pri vrátení vodičského preukazu, ak je zastavené exekučné konanie, a to tak, že rozhodnutie sa bezodkladne doručí Policajnému zboru, pričom sa nemusí čakať na jeho právoplatnosť.</w:t>
      </w:r>
    </w:p>
    <w:p w14:paraId="38765A43" w14:textId="77777777" w:rsidR="007418C6" w:rsidRPr="00EB20BF" w:rsidRDefault="007418C6" w:rsidP="007418C6">
      <w:pPr>
        <w:spacing w:after="0" w:line="240" w:lineRule="auto"/>
        <w:jc w:val="both"/>
        <w:rPr>
          <w:rFonts w:ascii="Times New Roman" w:hAnsi="Times New Roman" w:cs="Times New Roman"/>
          <w:color w:val="000000" w:themeColor="text1"/>
          <w:sz w:val="24"/>
          <w:szCs w:val="24"/>
        </w:rPr>
      </w:pPr>
    </w:p>
    <w:p w14:paraId="2F718BFD" w14:textId="77777777" w:rsidR="007418C6" w:rsidRPr="00EB20BF" w:rsidRDefault="007418C6" w:rsidP="007418C6">
      <w:pPr>
        <w:spacing w:after="0" w:line="240" w:lineRule="auto"/>
        <w:jc w:val="both"/>
        <w:rPr>
          <w:rFonts w:ascii="Times New Roman" w:eastAsia="Times New Roman" w:hAnsi="Times New Roman" w:cs="Times New Roman"/>
          <w:b/>
          <w:color w:val="000000" w:themeColor="text1"/>
          <w:sz w:val="24"/>
          <w:szCs w:val="24"/>
          <w:lang w:eastAsia="sk-SK"/>
        </w:rPr>
      </w:pPr>
      <w:r w:rsidRPr="00EB20BF">
        <w:rPr>
          <w:rFonts w:ascii="Times New Roman" w:eastAsia="Times New Roman" w:hAnsi="Times New Roman" w:cs="Times New Roman"/>
          <w:b/>
          <w:color w:val="000000" w:themeColor="text1"/>
          <w:sz w:val="24"/>
          <w:szCs w:val="24"/>
          <w:lang w:eastAsia="sk-SK"/>
        </w:rPr>
        <w:t>K bod</w:t>
      </w:r>
      <w:r>
        <w:rPr>
          <w:rFonts w:ascii="Times New Roman" w:eastAsia="Times New Roman" w:hAnsi="Times New Roman" w:cs="Times New Roman"/>
          <w:b/>
          <w:color w:val="000000" w:themeColor="text1"/>
          <w:sz w:val="24"/>
          <w:szCs w:val="24"/>
          <w:lang w:eastAsia="sk-SK"/>
        </w:rPr>
        <w:t>u</w:t>
      </w:r>
      <w:r w:rsidRPr="00EB20BF">
        <w:rPr>
          <w:rFonts w:ascii="Times New Roman" w:eastAsia="Times New Roman" w:hAnsi="Times New Roman" w:cs="Times New Roman"/>
          <w:b/>
          <w:color w:val="000000" w:themeColor="text1"/>
          <w:sz w:val="24"/>
          <w:szCs w:val="24"/>
          <w:lang w:eastAsia="sk-SK"/>
        </w:rPr>
        <w:t xml:space="preserve">  </w:t>
      </w:r>
      <w:r>
        <w:rPr>
          <w:rFonts w:ascii="Times New Roman" w:eastAsia="Times New Roman" w:hAnsi="Times New Roman" w:cs="Times New Roman"/>
          <w:b/>
          <w:color w:val="000000" w:themeColor="text1"/>
          <w:sz w:val="24"/>
          <w:szCs w:val="24"/>
          <w:lang w:eastAsia="sk-SK"/>
        </w:rPr>
        <w:t>8</w:t>
      </w:r>
      <w:r w:rsidRPr="00EB20BF">
        <w:rPr>
          <w:rFonts w:ascii="Times New Roman" w:eastAsia="Times New Roman" w:hAnsi="Times New Roman" w:cs="Times New Roman"/>
          <w:b/>
          <w:color w:val="000000" w:themeColor="text1"/>
          <w:sz w:val="24"/>
          <w:szCs w:val="24"/>
          <w:lang w:eastAsia="sk-SK"/>
        </w:rPr>
        <w:t xml:space="preserve"> </w:t>
      </w:r>
      <w:r>
        <w:rPr>
          <w:rFonts w:ascii="Times New Roman" w:eastAsia="Times New Roman" w:hAnsi="Times New Roman" w:cs="Times New Roman"/>
          <w:b/>
          <w:color w:val="000000" w:themeColor="text1"/>
          <w:sz w:val="24"/>
          <w:szCs w:val="24"/>
          <w:lang w:eastAsia="sk-SK"/>
        </w:rPr>
        <w:t xml:space="preserve"> - § 155 ods. 4</w:t>
      </w:r>
    </w:p>
    <w:p w14:paraId="321445F9" w14:textId="77777777" w:rsidR="007418C6" w:rsidRPr="0039538E" w:rsidRDefault="007418C6" w:rsidP="007418C6">
      <w:pPr>
        <w:spacing w:after="0" w:line="240" w:lineRule="auto"/>
        <w:jc w:val="both"/>
        <w:rPr>
          <w:rFonts w:ascii="Times New Roman" w:hAnsi="Times New Roman" w:cs="Times New Roman"/>
          <w:color w:val="000000" w:themeColor="text1"/>
          <w:sz w:val="24"/>
          <w:szCs w:val="24"/>
        </w:rPr>
      </w:pPr>
      <w:r w:rsidRPr="00EB20BF">
        <w:rPr>
          <w:rFonts w:ascii="Times New Roman" w:hAnsi="Times New Roman" w:cs="Times New Roman"/>
          <w:color w:val="000000" w:themeColor="text1"/>
          <w:sz w:val="24"/>
          <w:szCs w:val="24"/>
        </w:rPr>
        <w:t xml:space="preserve">Ustanovuje sa, aby pri prvom zistení porušenia, </w:t>
      </w:r>
      <w:r>
        <w:rPr>
          <w:rFonts w:ascii="Times New Roman" w:hAnsi="Times New Roman" w:cs="Times New Roman"/>
          <w:color w:val="000000" w:themeColor="text1"/>
          <w:sz w:val="24"/>
          <w:szCs w:val="24"/>
        </w:rPr>
        <w:t>daňový úrad a colný úrad</w:t>
      </w:r>
      <w:r w:rsidRPr="00EB20BF">
        <w:rPr>
          <w:rFonts w:ascii="Times New Roman" w:hAnsi="Times New Roman" w:cs="Times New Roman"/>
          <w:color w:val="000000" w:themeColor="text1"/>
          <w:sz w:val="24"/>
          <w:szCs w:val="24"/>
        </w:rPr>
        <w:t xml:space="preserve"> pokutu, ktorú je možné určiť v rámci intervalového rozpätia, neuložil, ale aby </w:t>
      </w:r>
      <w:r>
        <w:rPr>
          <w:rFonts w:ascii="Times New Roman" w:hAnsi="Times New Roman" w:cs="Times New Roman"/>
          <w:color w:val="000000" w:themeColor="text1"/>
          <w:sz w:val="24"/>
          <w:szCs w:val="24"/>
        </w:rPr>
        <w:t xml:space="preserve">upozornil </w:t>
      </w:r>
      <w:r w:rsidRPr="00EB20BF">
        <w:rPr>
          <w:rFonts w:ascii="Times New Roman" w:hAnsi="Times New Roman" w:cs="Times New Roman"/>
          <w:color w:val="000000" w:themeColor="text1"/>
          <w:sz w:val="24"/>
          <w:szCs w:val="24"/>
        </w:rPr>
        <w:t xml:space="preserve">na splnenie povinnosti, a ak bola povinnosť splnená </w:t>
      </w:r>
      <w:r w:rsidRPr="0039538E">
        <w:rPr>
          <w:rFonts w:ascii="Times New Roman" w:hAnsi="Times New Roman" w:cs="Times New Roman"/>
          <w:color w:val="000000" w:themeColor="text1"/>
          <w:sz w:val="24"/>
          <w:szCs w:val="24"/>
        </w:rPr>
        <w:t xml:space="preserve">oneskorene, aby upozornil daňový subjekt, že pri ďalšom porušení mu už bude uložená pokuta. Porušenie bude posudzované podľa skutkovej podstaty správneho deliktu a to osobitne daňovým úradom a colným úradom. </w:t>
      </w:r>
    </w:p>
    <w:p w14:paraId="4ECD2BDC" w14:textId="77777777" w:rsidR="007418C6" w:rsidRPr="0039538E" w:rsidRDefault="007418C6" w:rsidP="007418C6">
      <w:pPr>
        <w:spacing w:after="0" w:line="240" w:lineRule="auto"/>
        <w:jc w:val="both"/>
        <w:rPr>
          <w:rFonts w:ascii="Times New Roman" w:hAnsi="Times New Roman" w:cs="Times New Roman"/>
          <w:b/>
          <w:i/>
          <w:color w:val="000000" w:themeColor="text1"/>
          <w:sz w:val="24"/>
          <w:szCs w:val="24"/>
        </w:rPr>
      </w:pPr>
      <w:r w:rsidRPr="0039538E">
        <w:rPr>
          <w:rFonts w:ascii="Times New Roman" w:hAnsi="Times New Roman" w:cs="Times New Roman"/>
          <w:b/>
          <w:i/>
          <w:color w:val="000000" w:themeColor="text1"/>
          <w:sz w:val="24"/>
          <w:szCs w:val="24"/>
        </w:rPr>
        <w:t>Pr</w:t>
      </w:r>
      <w:r>
        <w:rPr>
          <w:rFonts w:ascii="Times New Roman" w:hAnsi="Times New Roman" w:cs="Times New Roman"/>
          <w:b/>
          <w:i/>
          <w:color w:val="000000" w:themeColor="text1"/>
          <w:sz w:val="24"/>
          <w:szCs w:val="24"/>
        </w:rPr>
        <w:t>íklad</w:t>
      </w:r>
    </w:p>
    <w:p w14:paraId="30187EEC" w14:textId="77777777" w:rsidR="007418C6" w:rsidRPr="0039538E" w:rsidRDefault="007418C6" w:rsidP="007418C6">
      <w:pPr>
        <w:spacing w:after="0" w:line="240" w:lineRule="auto"/>
        <w:jc w:val="both"/>
        <w:rPr>
          <w:rFonts w:ascii="Times New Roman" w:hAnsi="Times New Roman" w:cs="Times New Roman"/>
          <w:i/>
          <w:color w:val="000000" w:themeColor="text1"/>
          <w:sz w:val="24"/>
          <w:szCs w:val="24"/>
        </w:rPr>
      </w:pPr>
      <w:r w:rsidRPr="0039538E">
        <w:rPr>
          <w:rFonts w:ascii="Times New Roman" w:hAnsi="Times New Roman" w:cs="Times New Roman"/>
          <w:i/>
          <w:color w:val="000000" w:themeColor="text1"/>
          <w:sz w:val="24"/>
          <w:szCs w:val="24"/>
        </w:rPr>
        <w:t xml:space="preserve">Skutková podstata – oneskorené podanie DP. </w:t>
      </w:r>
    </w:p>
    <w:p w14:paraId="36CA0212" w14:textId="77777777" w:rsidR="007418C6" w:rsidRPr="00B3024E" w:rsidRDefault="007418C6" w:rsidP="007418C6">
      <w:pPr>
        <w:spacing w:after="0" w:line="240" w:lineRule="auto"/>
        <w:jc w:val="both"/>
        <w:rPr>
          <w:rFonts w:ascii="Times New Roman" w:hAnsi="Times New Roman" w:cs="Times New Roman"/>
          <w:i/>
          <w:color w:val="000000" w:themeColor="text1"/>
          <w:sz w:val="24"/>
          <w:szCs w:val="24"/>
        </w:rPr>
      </w:pPr>
      <w:r w:rsidRPr="0039538E">
        <w:rPr>
          <w:rFonts w:ascii="Times New Roman" w:hAnsi="Times New Roman" w:cs="Times New Roman"/>
          <w:i/>
          <w:color w:val="000000" w:themeColor="text1"/>
          <w:sz w:val="24"/>
          <w:szCs w:val="24"/>
        </w:rPr>
        <w:t>Daňový subjekt podá oneskorene daňové priznanie k dani z motorových vozidiel, pokuta mu uložená nebude. Následne oneskorene podá aj daňové priznanie k dani z príjmov, daňový úrad už pokutu uloží. Tento daňový subjekt taktiež podá oneskorene DP k spotrebnej dani z liehu, colný úrad pokutu neuloží.</w:t>
      </w:r>
      <w:r>
        <w:rPr>
          <w:rFonts w:ascii="Times New Roman" w:hAnsi="Times New Roman" w:cs="Times New Roman"/>
          <w:i/>
          <w:color w:val="000000" w:themeColor="text1"/>
          <w:sz w:val="24"/>
          <w:szCs w:val="24"/>
        </w:rPr>
        <w:t xml:space="preserve"> </w:t>
      </w:r>
    </w:p>
    <w:p w14:paraId="7EBE3A50" w14:textId="77777777" w:rsidR="007418C6" w:rsidRDefault="007418C6" w:rsidP="007418C6">
      <w:pPr>
        <w:spacing w:after="0" w:line="240" w:lineRule="auto"/>
        <w:jc w:val="both"/>
        <w:rPr>
          <w:rFonts w:ascii="Times New Roman" w:hAnsi="Times New Roman" w:cs="Times New Roman"/>
          <w:color w:val="000000" w:themeColor="text1"/>
          <w:sz w:val="24"/>
          <w:szCs w:val="24"/>
        </w:rPr>
      </w:pPr>
    </w:p>
    <w:p w14:paraId="62CFFDBB" w14:textId="77777777" w:rsidR="007418C6" w:rsidRPr="00EB20BF" w:rsidRDefault="007418C6" w:rsidP="007418C6">
      <w:pPr>
        <w:spacing w:after="0" w:line="240" w:lineRule="auto"/>
        <w:jc w:val="both"/>
        <w:rPr>
          <w:rFonts w:ascii="Times New Roman" w:hAnsi="Times New Roman" w:cs="Times New Roman"/>
          <w:b/>
          <w:color w:val="000000" w:themeColor="text1"/>
          <w:sz w:val="24"/>
          <w:szCs w:val="24"/>
        </w:rPr>
      </w:pPr>
      <w:r w:rsidRPr="00EB20BF">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9 - § 156 ods. 8</w:t>
      </w:r>
    </w:p>
    <w:p w14:paraId="6045D3B6" w14:textId="77777777" w:rsidR="007418C6" w:rsidRDefault="007418C6" w:rsidP="007418C6">
      <w:pPr>
        <w:spacing w:after="0" w:line="240" w:lineRule="auto"/>
        <w:jc w:val="both"/>
        <w:rPr>
          <w:rFonts w:ascii="Times New Roman" w:hAnsi="Times New Roman" w:cs="Times New Roman"/>
          <w:color w:val="000000" w:themeColor="text1"/>
          <w:sz w:val="24"/>
          <w:szCs w:val="24"/>
        </w:rPr>
      </w:pPr>
      <w:r w:rsidRPr="00EB20BF">
        <w:rPr>
          <w:rFonts w:ascii="Times New Roman" w:hAnsi="Times New Roman" w:cs="Times New Roman"/>
          <w:color w:val="000000" w:themeColor="text1"/>
          <w:sz w:val="24"/>
          <w:szCs w:val="24"/>
        </w:rPr>
        <w:t xml:space="preserve">Navrhuje sa, aby sa v prípade oneskorenej platby dane, preddavku na daň, splátky dane, sumy na zabezpečenie dane alebo pri oneskorenom odvedení vybraného preddavku na daň alebo zrazenej dane, úrok z omeškania vyrubil do jedného roka od konca roka, v ktorom </w:t>
      </w:r>
      <w:r>
        <w:rPr>
          <w:rFonts w:ascii="Times New Roman" w:hAnsi="Times New Roman" w:cs="Times New Roman"/>
          <w:color w:val="000000" w:themeColor="text1"/>
          <w:sz w:val="24"/>
          <w:szCs w:val="24"/>
        </w:rPr>
        <w:t>došlo k úplnej úhrade</w:t>
      </w:r>
      <w:r w:rsidRPr="00EB20BF">
        <w:rPr>
          <w:rFonts w:ascii="Times New Roman" w:hAnsi="Times New Roman" w:cs="Times New Roman"/>
          <w:color w:val="000000" w:themeColor="text1"/>
          <w:sz w:val="24"/>
          <w:szCs w:val="24"/>
        </w:rPr>
        <w:t xml:space="preserve"> t</w:t>
      </w:r>
      <w:r>
        <w:rPr>
          <w:rFonts w:ascii="Times New Roman" w:hAnsi="Times New Roman" w:cs="Times New Roman"/>
          <w:color w:val="000000" w:themeColor="text1"/>
          <w:sz w:val="24"/>
          <w:szCs w:val="24"/>
        </w:rPr>
        <w:t>ejto</w:t>
      </w:r>
      <w:r w:rsidRPr="00EB20BF">
        <w:rPr>
          <w:rFonts w:ascii="Times New Roman" w:hAnsi="Times New Roman" w:cs="Times New Roman"/>
          <w:color w:val="000000" w:themeColor="text1"/>
          <w:sz w:val="24"/>
          <w:szCs w:val="24"/>
        </w:rPr>
        <w:t xml:space="preserve"> sum</w:t>
      </w:r>
      <w:r>
        <w:rPr>
          <w:rFonts w:ascii="Times New Roman" w:hAnsi="Times New Roman" w:cs="Times New Roman"/>
          <w:color w:val="000000" w:themeColor="text1"/>
          <w:sz w:val="24"/>
          <w:szCs w:val="24"/>
        </w:rPr>
        <w:t xml:space="preserve">y. Prekluzívna lehota piatich rokov sa uplatní rovnako v prípade, ak </w:t>
      </w:r>
      <w:r>
        <w:rPr>
          <w:rFonts w:ascii="Times New Roman" w:hAnsi="Times New Roman" w:cs="Times New Roman"/>
          <w:color w:val="000000" w:themeColor="text1"/>
          <w:sz w:val="24"/>
          <w:szCs w:val="24"/>
        </w:rPr>
        <w:lastRenderedPageBreak/>
        <w:t>by k úhrade došlo v piatom roku od konca roka, v ktorom došlo k omeškaniu s platbou; v takomto prípade je potrebné úrok vyrubiť do konca tohto roka.</w:t>
      </w:r>
      <w:r w:rsidRPr="00EB20BF">
        <w:rPr>
          <w:rFonts w:ascii="Times New Roman" w:hAnsi="Times New Roman" w:cs="Times New Roman"/>
          <w:color w:val="000000" w:themeColor="text1"/>
          <w:sz w:val="24"/>
          <w:szCs w:val="24"/>
        </w:rPr>
        <w:t xml:space="preserve"> </w:t>
      </w:r>
    </w:p>
    <w:p w14:paraId="71D7D2B8" w14:textId="77777777" w:rsidR="007418C6" w:rsidRDefault="007418C6" w:rsidP="007418C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 úhrade nedošlo vôbec, alebo v </w:t>
      </w:r>
      <w:r w:rsidRPr="00EB20BF">
        <w:rPr>
          <w:rFonts w:ascii="Times New Roman" w:hAnsi="Times New Roman" w:cs="Times New Roman"/>
          <w:color w:val="000000" w:themeColor="text1"/>
          <w:sz w:val="24"/>
          <w:szCs w:val="24"/>
        </w:rPr>
        <w:t>prípade čiastočn</w:t>
      </w:r>
      <w:r>
        <w:rPr>
          <w:rFonts w:ascii="Times New Roman" w:hAnsi="Times New Roman" w:cs="Times New Roman"/>
          <w:color w:val="000000" w:themeColor="text1"/>
          <w:sz w:val="24"/>
          <w:szCs w:val="24"/>
        </w:rPr>
        <w:t>ej úhrady sa úrok tak ako doteraz</w:t>
      </w:r>
      <w:r w:rsidRPr="00EB20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EB20BF">
        <w:rPr>
          <w:rFonts w:ascii="Times New Roman" w:hAnsi="Times New Roman" w:cs="Times New Roman"/>
          <w:color w:val="000000" w:themeColor="text1"/>
          <w:sz w:val="24"/>
          <w:szCs w:val="24"/>
        </w:rPr>
        <w:t>očíta za štyri roky omeškania</w:t>
      </w:r>
      <w:r>
        <w:rPr>
          <w:rFonts w:ascii="Times New Roman" w:hAnsi="Times New Roman" w:cs="Times New Roman"/>
          <w:color w:val="000000" w:themeColor="text1"/>
          <w:sz w:val="24"/>
          <w:szCs w:val="24"/>
        </w:rPr>
        <w:t xml:space="preserve"> a </w:t>
      </w:r>
      <w:r w:rsidRPr="00EB20BF">
        <w:rPr>
          <w:rFonts w:ascii="Times New Roman" w:hAnsi="Times New Roman" w:cs="Times New Roman"/>
          <w:color w:val="000000" w:themeColor="text1"/>
          <w:sz w:val="24"/>
          <w:szCs w:val="24"/>
        </w:rPr>
        <w:t>vyrubiť</w:t>
      </w:r>
      <w:r>
        <w:rPr>
          <w:rFonts w:ascii="Times New Roman" w:hAnsi="Times New Roman" w:cs="Times New Roman"/>
          <w:color w:val="000000" w:themeColor="text1"/>
          <w:sz w:val="24"/>
          <w:szCs w:val="24"/>
        </w:rPr>
        <w:t xml:space="preserve"> ho možno najneskôr v lehote</w:t>
      </w:r>
      <w:r w:rsidRPr="00EB20BF">
        <w:rPr>
          <w:rFonts w:ascii="Times New Roman" w:hAnsi="Times New Roman" w:cs="Times New Roman"/>
          <w:color w:val="000000" w:themeColor="text1"/>
          <w:sz w:val="24"/>
          <w:szCs w:val="24"/>
        </w:rPr>
        <w:t xml:space="preserve"> päť rokov od konca roka, v ktorom došlo k omeškaniu s</w:t>
      </w:r>
      <w:r>
        <w:rPr>
          <w:rFonts w:ascii="Times New Roman" w:hAnsi="Times New Roman" w:cs="Times New Roman"/>
          <w:color w:val="000000" w:themeColor="text1"/>
          <w:sz w:val="24"/>
          <w:szCs w:val="24"/>
        </w:rPr>
        <w:t> </w:t>
      </w:r>
      <w:r w:rsidRPr="00EB20BF">
        <w:rPr>
          <w:rFonts w:ascii="Times New Roman" w:hAnsi="Times New Roman" w:cs="Times New Roman"/>
          <w:color w:val="000000" w:themeColor="text1"/>
          <w:sz w:val="24"/>
          <w:szCs w:val="24"/>
        </w:rPr>
        <w:t>platbou</w:t>
      </w:r>
      <w:r>
        <w:rPr>
          <w:rFonts w:ascii="Times New Roman" w:hAnsi="Times New Roman" w:cs="Times New Roman"/>
          <w:color w:val="000000" w:themeColor="text1"/>
          <w:sz w:val="24"/>
          <w:szCs w:val="24"/>
        </w:rPr>
        <w:t xml:space="preserve">. </w:t>
      </w:r>
    </w:p>
    <w:p w14:paraId="7FBBC25E" w14:textId="77777777" w:rsidR="007418C6" w:rsidRPr="00EB20BF" w:rsidRDefault="007418C6" w:rsidP="007418C6">
      <w:pPr>
        <w:spacing w:after="0" w:line="240" w:lineRule="auto"/>
        <w:jc w:val="both"/>
        <w:rPr>
          <w:rFonts w:ascii="Times New Roman" w:hAnsi="Times New Roman" w:cs="Times New Roman"/>
          <w:color w:val="000000" w:themeColor="text1"/>
          <w:sz w:val="24"/>
          <w:szCs w:val="24"/>
        </w:rPr>
      </w:pPr>
    </w:p>
    <w:p w14:paraId="611C9525" w14:textId="77777777" w:rsidR="007418C6" w:rsidRPr="00EB20BF" w:rsidRDefault="007418C6" w:rsidP="007418C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 bodu 10 - § 157b</w:t>
      </w:r>
    </w:p>
    <w:p w14:paraId="2092962B" w14:textId="77777777" w:rsidR="007418C6" w:rsidRDefault="007418C6" w:rsidP="007418C6">
      <w:pPr>
        <w:spacing w:after="0" w:line="240" w:lineRule="auto"/>
        <w:jc w:val="both"/>
        <w:rPr>
          <w:rFonts w:ascii="Times New Roman" w:eastAsia="Times New Roman" w:hAnsi="Times New Roman" w:cs="Times New Roman"/>
          <w:color w:val="000000" w:themeColor="text1"/>
          <w:sz w:val="24"/>
          <w:szCs w:val="24"/>
          <w:lang w:eastAsia="sk-SK"/>
        </w:rPr>
      </w:pPr>
      <w:r w:rsidRPr="00EB20BF">
        <w:rPr>
          <w:rFonts w:ascii="Times New Roman" w:eastAsia="Times New Roman" w:hAnsi="Times New Roman" w:cs="Times New Roman"/>
          <w:color w:val="000000" w:themeColor="text1"/>
          <w:sz w:val="24"/>
          <w:szCs w:val="24"/>
          <w:lang w:eastAsia="sk-SK"/>
        </w:rPr>
        <w:t xml:space="preserve">Navrhovanou úpravou sa umožní, aby v prípade účinnej ľútosti, pri daňových trestných činoch, ktoré sú vymenované v Trestnom zákone, bolo možné vyrubiť daň jej zaplatením, a to aj po prekluzívnej lehote. Zároveň sa navrhuje, aby táto daň bola splatná v deň jej úhrady. </w:t>
      </w:r>
    </w:p>
    <w:p w14:paraId="3297AE6A" w14:textId="77777777" w:rsidR="007418C6" w:rsidRPr="00EB20BF" w:rsidRDefault="007418C6" w:rsidP="007418C6">
      <w:pPr>
        <w:spacing w:after="0" w:line="240" w:lineRule="auto"/>
        <w:jc w:val="both"/>
        <w:rPr>
          <w:rFonts w:ascii="Times New Roman" w:eastAsia="Times New Roman" w:hAnsi="Times New Roman" w:cs="Times New Roman"/>
          <w:color w:val="000000" w:themeColor="text1"/>
          <w:sz w:val="24"/>
          <w:szCs w:val="24"/>
          <w:lang w:eastAsia="sk-SK"/>
        </w:rPr>
      </w:pPr>
    </w:p>
    <w:p w14:paraId="000AD43B" w14:textId="1E63DF93" w:rsidR="007418C6" w:rsidRDefault="007418C6" w:rsidP="007418C6">
      <w:pPr>
        <w:spacing w:after="0" w:line="240" w:lineRule="auto"/>
        <w:jc w:val="both"/>
        <w:rPr>
          <w:rFonts w:ascii="Times New Roman" w:hAnsi="Times New Roman" w:cs="Times New Roman"/>
          <w:b/>
          <w:color w:val="000000" w:themeColor="text1"/>
          <w:sz w:val="24"/>
          <w:szCs w:val="24"/>
        </w:rPr>
      </w:pPr>
      <w:r w:rsidRPr="00EB20BF">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11 - § 165n a § 165o</w:t>
      </w:r>
    </w:p>
    <w:p w14:paraId="3A7C85FE" w14:textId="77777777" w:rsidR="007418C6" w:rsidRPr="00F36B14" w:rsidRDefault="007418C6" w:rsidP="007418C6">
      <w:pPr>
        <w:spacing w:after="0" w:line="240" w:lineRule="auto"/>
        <w:jc w:val="both"/>
        <w:rPr>
          <w:rFonts w:ascii="Times New Roman" w:hAnsi="Times New Roman" w:cs="Times New Roman"/>
          <w:b/>
          <w:color w:val="000000" w:themeColor="text1"/>
          <w:sz w:val="24"/>
          <w:szCs w:val="24"/>
        </w:rPr>
      </w:pPr>
      <w:r w:rsidRPr="00F36B14">
        <w:rPr>
          <w:rFonts w:ascii="Times New Roman" w:hAnsi="Times New Roman" w:cs="Times New Roman"/>
          <w:b/>
          <w:color w:val="000000" w:themeColor="text1"/>
          <w:sz w:val="24"/>
          <w:szCs w:val="24"/>
        </w:rPr>
        <w:t>§ 165n</w:t>
      </w:r>
    </w:p>
    <w:p w14:paraId="562D41B5" w14:textId="77777777" w:rsidR="007418C6" w:rsidRPr="00EB20BF" w:rsidRDefault="007418C6" w:rsidP="007418C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Nadväzne na úpravu registračného konania sa </w:t>
      </w:r>
      <w:r w:rsidRPr="00EB20BF">
        <w:rPr>
          <w:rFonts w:ascii="Times New Roman" w:hAnsi="Times New Roman" w:cs="Times New Roman"/>
          <w:color w:val="000000" w:themeColor="text1"/>
          <w:sz w:val="24"/>
          <w:szCs w:val="24"/>
        </w:rPr>
        <w:t>ustanovuje, že prechodné ustanoveni</w:t>
      </w:r>
      <w:r>
        <w:rPr>
          <w:rFonts w:ascii="Times New Roman" w:hAnsi="Times New Roman" w:cs="Times New Roman"/>
          <w:color w:val="000000" w:themeColor="text1"/>
          <w:sz w:val="24"/>
          <w:szCs w:val="24"/>
        </w:rPr>
        <w:t>e</w:t>
      </w:r>
      <w:r w:rsidRPr="00EB20BF">
        <w:rPr>
          <w:rFonts w:ascii="Times New Roman" w:hAnsi="Times New Roman" w:cs="Times New Roman"/>
          <w:color w:val="000000" w:themeColor="text1"/>
          <w:sz w:val="24"/>
          <w:szCs w:val="24"/>
        </w:rPr>
        <w:t xml:space="preserve"> k</w:t>
      </w:r>
      <w:r>
        <w:rPr>
          <w:rFonts w:ascii="Times New Roman" w:hAnsi="Times New Roman" w:cs="Times New Roman"/>
          <w:color w:val="000000" w:themeColor="text1"/>
          <w:sz w:val="24"/>
          <w:szCs w:val="24"/>
        </w:rPr>
        <w:t> </w:t>
      </w:r>
      <w:r w:rsidRPr="00EB20BF">
        <w:rPr>
          <w:rFonts w:ascii="Times New Roman" w:hAnsi="Times New Roman" w:cs="Times New Roman"/>
          <w:color w:val="000000" w:themeColor="text1"/>
          <w:sz w:val="24"/>
          <w:szCs w:val="24"/>
        </w:rPr>
        <w:t>registráci</w:t>
      </w:r>
      <w:r>
        <w:rPr>
          <w:rFonts w:ascii="Times New Roman" w:hAnsi="Times New Roman" w:cs="Times New Roman"/>
          <w:color w:val="000000" w:themeColor="text1"/>
          <w:sz w:val="24"/>
          <w:szCs w:val="24"/>
        </w:rPr>
        <w:t xml:space="preserve">i </w:t>
      </w:r>
      <w:r w:rsidRPr="00EB20BF">
        <w:rPr>
          <w:rFonts w:ascii="Times New Roman" w:hAnsi="Times New Roman" w:cs="Times New Roman"/>
          <w:color w:val="000000" w:themeColor="text1"/>
          <w:sz w:val="24"/>
          <w:szCs w:val="24"/>
        </w:rPr>
        <w:t xml:space="preserve">účinnej od 1. januára 2021, sa </w:t>
      </w:r>
      <w:r>
        <w:rPr>
          <w:rFonts w:ascii="Times New Roman" w:hAnsi="Times New Roman" w:cs="Times New Roman"/>
          <w:color w:val="000000" w:themeColor="text1"/>
          <w:sz w:val="24"/>
          <w:szCs w:val="24"/>
        </w:rPr>
        <w:t xml:space="preserve">od 1. januára 2023 </w:t>
      </w:r>
      <w:r w:rsidRPr="00EB20BF">
        <w:rPr>
          <w:rFonts w:ascii="Times New Roman" w:hAnsi="Times New Roman" w:cs="Times New Roman"/>
          <w:color w:val="000000" w:themeColor="text1"/>
          <w:sz w:val="24"/>
          <w:szCs w:val="24"/>
        </w:rPr>
        <w:t xml:space="preserve">neuplatnia. </w:t>
      </w:r>
    </w:p>
    <w:p w14:paraId="213E9B77" w14:textId="77777777" w:rsidR="007418C6" w:rsidRDefault="007418C6" w:rsidP="007418C6">
      <w:pPr>
        <w:spacing w:after="0" w:line="240" w:lineRule="auto"/>
        <w:jc w:val="both"/>
        <w:rPr>
          <w:rFonts w:ascii="Times New Roman" w:hAnsi="Times New Roman" w:cs="Times New Roman"/>
          <w:color w:val="000000" w:themeColor="text1"/>
          <w:sz w:val="24"/>
          <w:szCs w:val="24"/>
        </w:rPr>
      </w:pPr>
    </w:p>
    <w:p w14:paraId="786FE51C" w14:textId="77777777" w:rsidR="007418C6" w:rsidRPr="00F36B14" w:rsidRDefault="007418C6" w:rsidP="007418C6">
      <w:pPr>
        <w:spacing w:after="0" w:line="240" w:lineRule="auto"/>
        <w:jc w:val="both"/>
        <w:rPr>
          <w:rFonts w:ascii="Times New Roman" w:hAnsi="Times New Roman" w:cs="Times New Roman"/>
          <w:b/>
          <w:color w:val="000000" w:themeColor="text1"/>
          <w:sz w:val="24"/>
          <w:szCs w:val="24"/>
        </w:rPr>
      </w:pPr>
      <w:r w:rsidRPr="00F36B14">
        <w:rPr>
          <w:rFonts w:ascii="Times New Roman" w:hAnsi="Times New Roman" w:cs="Times New Roman"/>
          <w:b/>
          <w:color w:val="000000" w:themeColor="text1"/>
          <w:sz w:val="24"/>
          <w:szCs w:val="24"/>
        </w:rPr>
        <w:t>§ 165o</w:t>
      </w:r>
    </w:p>
    <w:p w14:paraId="77B549E5" w14:textId="77777777" w:rsidR="007418C6" w:rsidRPr="00EB20BF" w:rsidRDefault="007418C6" w:rsidP="007418C6">
      <w:pPr>
        <w:spacing w:after="0" w:line="240" w:lineRule="auto"/>
        <w:jc w:val="both"/>
        <w:rPr>
          <w:rFonts w:ascii="Times New Roman" w:hAnsi="Times New Roman" w:cs="Times New Roman"/>
          <w:color w:val="000000" w:themeColor="text1"/>
          <w:sz w:val="24"/>
          <w:szCs w:val="24"/>
        </w:rPr>
      </w:pPr>
      <w:r w:rsidRPr="00EB20BF">
        <w:rPr>
          <w:rFonts w:ascii="Times New Roman" w:hAnsi="Times New Roman" w:cs="Times New Roman"/>
          <w:color w:val="000000" w:themeColor="text1"/>
          <w:sz w:val="24"/>
          <w:szCs w:val="24"/>
        </w:rPr>
        <w:t>Podľa navrhovanej úpravy ukladania sankcií, tzv. „druhá šanca“, bude správca dane postupovať, ak skutočnosť rozhodujúca pre uloženie sankcie nastala po 31. decembri 2023.  To znamená, že ak daňový subjekt podá v roku 2024 daňové priznanie oneskorene, správca dane neuloží za toto porušenie pokutu, ale upozorní daňový subjekt, že pri ďalšom podaní daňového priznania oneskorene, už pokuta uložená bude.</w:t>
      </w:r>
    </w:p>
    <w:p w14:paraId="00E0D799" w14:textId="77777777" w:rsidR="007418C6" w:rsidRPr="00EB20BF" w:rsidRDefault="007418C6" w:rsidP="007418C6">
      <w:pPr>
        <w:spacing w:after="0" w:line="240" w:lineRule="auto"/>
        <w:jc w:val="both"/>
        <w:rPr>
          <w:rFonts w:ascii="Times New Roman" w:hAnsi="Times New Roman" w:cs="Times New Roman"/>
          <w:color w:val="000000" w:themeColor="text1"/>
          <w:sz w:val="24"/>
          <w:szCs w:val="24"/>
        </w:rPr>
      </w:pPr>
      <w:r w:rsidRPr="00EB20BF">
        <w:rPr>
          <w:rFonts w:ascii="Times New Roman" w:hAnsi="Times New Roman" w:cs="Times New Roman"/>
          <w:color w:val="000000" w:themeColor="text1"/>
          <w:sz w:val="24"/>
          <w:szCs w:val="24"/>
        </w:rPr>
        <w:t xml:space="preserve">Nadväzne na úpravu lehoty na vyrubenie úroku z omeškania sa ustanovuje, že úrok z omeškania za oneskorené zaplatenie, ak k úplnej úhrade nedoplatku došlo do 31.decembra 2023, je potrebné vyrubiť najneskôr do 31. decembra 2024. To znamená, že ak úplnej úhrade nedoplatku došlo napr. 10. mája 2023, úrok z omeškania je potrebné vyrubiť najneskôr do 31.12.2024. </w:t>
      </w:r>
    </w:p>
    <w:p w14:paraId="0E98BE92" w14:textId="77777777" w:rsidR="00152668" w:rsidRPr="00152668" w:rsidRDefault="00AE16F3" w:rsidP="00AE16F3">
      <w:pPr>
        <w:spacing w:after="0" w:line="240" w:lineRule="auto"/>
        <w:jc w:val="both"/>
        <w:rPr>
          <w:rFonts w:ascii="Times New Roman" w:hAnsi="Times New Roman"/>
          <w:b/>
          <w:sz w:val="24"/>
          <w:szCs w:val="24"/>
        </w:rPr>
      </w:pPr>
      <w:r w:rsidRPr="008151E0">
        <w:rPr>
          <w:rFonts w:ascii="Times New Roman" w:hAnsi="Times New Roman" w:cs="Times New Roman"/>
          <w:b/>
          <w:sz w:val="24"/>
          <w:szCs w:val="24"/>
        </w:rPr>
        <w:t> </w:t>
      </w:r>
    </w:p>
    <w:p w14:paraId="14D38E74" w14:textId="77777777" w:rsidR="000E2B6A" w:rsidRDefault="00C64CFA" w:rsidP="000E2B6A">
      <w:pPr>
        <w:shd w:val="clear" w:color="auto" w:fill="FFFFFF"/>
        <w:spacing w:after="0" w:line="240" w:lineRule="auto"/>
        <w:jc w:val="both"/>
        <w:rPr>
          <w:rFonts w:ascii="Times New Roman" w:hAnsi="Times New Roman" w:cs="Times New Roman"/>
          <w:b/>
          <w:sz w:val="24"/>
          <w:szCs w:val="24"/>
        </w:rPr>
      </w:pPr>
      <w:r w:rsidRPr="008151E0">
        <w:rPr>
          <w:rFonts w:ascii="Times New Roman" w:hAnsi="Times New Roman" w:cs="Times New Roman"/>
          <w:b/>
          <w:sz w:val="24"/>
          <w:szCs w:val="24"/>
        </w:rPr>
        <w:t>Čl. I</w:t>
      </w:r>
      <w:r>
        <w:rPr>
          <w:rFonts w:ascii="Times New Roman" w:hAnsi="Times New Roman" w:cs="Times New Roman"/>
          <w:b/>
          <w:sz w:val="24"/>
          <w:szCs w:val="24"/>
        </w:rPr>
        <w:t>II</w:t>
      </w:r>
    </w:p>
    <w:p w14:paraId="130CC073" w14:textId="71B5D7CF" w:rsidR="00C64CFA" w:rsidRPr="001A3914" w:rsidRDefault="00C64CFA" w:rsidP="000E2B6A">
      <w:pPr>
        <w:shd w:val="clear" w:color="auto" w:fill="FFFFFF"/>
        <w:spacing w:after="0" w:line="240" w:lineRule="auto"/>
        <w:jc w:val="both"/>
        <w:rPr>
          <w:rFonts w:ascii="Times New Roman" w:hAnsi="Times New Roman" w:cs="Times New Roman"/>
          <w:sz w:val="24"/>
          <w:szCs w:val="24"/>
        </w:rPr>
      </w:pPr>
      <w:r w:rsidRPr="001A3914">
        <w:rPr>
          <w:rFonts w:ascii="Times New Roman" w:hAnsi="Times New Roman" w:cs="Times New Roman"/>
          <w:sz w:val="24"/>
          <w:szCs w:val="24"/>
        </w:rPr>
        <w:t>Navrhuje sa účinnosť zákona od 1. 1. 2023, okrem</w:t>
      </w:r>
      <w:r w:rsidR="001A3914">
        <w:rPr>
          <w:rFonts w:ascii="Times New Roman" w:hAnsi="Times New Roman" w:cs="Times New Roman"/>
          <w:sz w:val="24"/>
          <w:szCs w:val="24"/>
        </w:rPr>
        <w:t xml:space="preserve"> čl. I</w:t>
      </w:r>
      <w:r w:rsidR="00C578F1">
        <w:rPr>
          <w:rFonts w:ascii="Times New Roman" w:hAnsi="Times New Roman" w:cs="Times New Roman"/>
          <w:sz w:val="24"/>
          <w:szCs w:val="24"/>
        </w:rPr>
        <w:t> </w:t>
      </w:r>
      <w:r w:rsidR="001A3914" w:rsidRPr="001A3914">
        <w:rPr>
          <w:rFonts w:ascii="Times New Roman" w:hAnsi="Times New Roman" w:cs="Times New Roman"/>
          <w:sz w:val="24"/>
          <w:szCs w:val="24"/>
        </w:rPr>
        <w:t>bodov</w:t>
      </w:r>
      <w:r w:rsidR="00C578F1">
        <w:rPr>
          <w:rFonts w:ascii="Times New Roman" w:hAnsi="Times New Roman" w:cs="Times New Roman"/>
          <w:sz w:val="24"/>
          <w:szCs w:val="24"/>
        </w:rPr>
        <w:t xml:space="preserve"> </w:t>
      </w:r>
      <w:r w:rsidR="002B11D2">
        <w:rPr>
          <w:rFonts w:ascii="Times New Roman" w:hAnsi="Times New Roman" w:cs="Times New Roman"/>
          <w:sz w:val="24"/>
          <w:szCs w:val="24"/>
        </w:rPr>
        <w:t>10, 1</w:t>
      </w:r>
      <w:r w:rsidR="00C578F1">
        <w:rPr>
          <w:rFonts w:ascii="Times New Roman" w:hAnsi="Times New Roman" w:cs="Times New Roman"/>
          <w:sz w:val="24"/>
          <w:szCs w:val="24"/>
        </w:rPr>
        <w:t>2</w:t>
      </w:r>
      <w:r w:rsidR="002B11D2">
        <w:rPr>
          <w:rFonts w:ascii="Times New Roman" w:hAnsi="Times New Roman" w:cs="Times New Roman"/>
          <w:sz w:val="24"/>
          <w:szCs w:val="24"/>
        </w:rPr>
        <w:t xml:space="preserve">, 28 a § 52zzo v bode </w:t>
      </w:r>
      <w:r w:rsidR="005C615D">
        <w:rPr>
          <w:rFonts w:ascii="Times New Roman" w:hAnsi="Times New Roman" w:cs="Times New Roman"/>
          <w:sz w:val="24"/>
          <w:szCs w:val="24"/>
        </w:rPr>
        <w:t>40</w:t>
      </w:r>
      <w:r w:rsidR="002B11D2">
        <w:rPr>
          <w:rFonts w:ascii="Times New Roman" w:hAnsi="Times New Roman" w:cs="Times New Roman"/>
          <w:sz w:val="24"/>
          <w:szCs w:val="24"/>
        </w:rPr>
        <w:t xml:space="preserve"> a</w:t>
      </w:r>
      <w:r w:rsidR="001A3914" w:rsidRPr="001A3914">
        <w:rPr>
          <w:rFonts w:ascii="Times New Roman" w:hAnsi="Times New Roman" w:cs="Times New Roman"/>
          <w:sz w:val="24"/>
          <w:szCs w:val="24"/>
        </w:rPr>
        <w:t xml:space="preserve"> čl. II</w:t>
      </w:r>
      <w:r w:rsidR="002B11D2">
        <w:rPr>
          <w:rFonts w:ascii="Times New Roman" w:hAnsi="Times New Roman" w:cs="Times New Roman"/>
          <w:sz w:val="24"/>
          <w:szCs w:val="24"/>
        </w:rPr>
        <w:t xml:space="preserve"> bodov </w:t>
      </w:r>
      <w:r w:rsidR="005C615D">
        <w:rPr>
          <w:rFonts w:ascii="Times New Roman" w:hAnsi="Times New Roman" w:cs="Times New Roman"/>
          <w:sz w:val="24"/>
          <w:szCs w:val="24"/>
        </w:rPr>
        <w:t>8</w:t>
      </w:r>
      <w:r w:rsidR="002B11D2">
        <w:rPr>
          <w:rFonts w:ascii="Times New Roman" w:hAnsi="Times New Roman" w:cs="Times New Roman"/>
          <w:sz w:val="24"/>
          <w:szCs w:val="24"/>
        </w:rPr>
        <w:t xml:space="preserve"> a </w:t>
      </w:r>
      <w:r w:rsidR="00732399">
        <w:rPr>
          <w:rFonts w:ascii="Times New Roman" w:hAnsi="Times New Roman" w:cs="Times New Roman"/>
          <w:sz w:val="24"/>
          <w:szCs w:val="24"/>
        </w:rPr>
        <w:t>9</w:t>
      </w:r>
      <w:r w:rsidR="00C070D2">
        <w:rPr>
          <w:rFonts w:ascii="Times New Roman" w:hAnsi="Times New Roman" w:cs="Times New Roman"/>
          <w:sz w:val="24"/>
          <w:szCs w:val="24"/>
        </w:rPr>
        <w:t xml:space="preserve"> a § 165o v bode 11</w:t>
      </w:r>
      <w:r w:rsidR="001A3914" w:rsidRPr="001A3914">
        <w:rPr>
          <w:rFonts w:ascii="Times New Roman" w:hAnsi="Times New Roman" w:cs="Times New Roman"/>
          <w:sz w:val="24"/>
          <w:szCs w:val="24"/>
        </w:rPr>
        <w:t>, ktoré nadobúdajú účinnosť od 1. 1. 2024.</w:t>
      </w:r>
    </w:p>
    <w:p w14:paraId="6B3FBA1E" w14:textId="77777777" w:rsidR="00C64CFA" w:rsidRPr="001A3914" w:rsidRDefault="00C64CFA" w:rsidP="000E2B6A">
      <w:pPr>
        <w:shd w:val="clear" w:color="auto" w:fill="FFFFFF"/>
        <w:spacing w:after="0" w:line="240" w:lineRule="auto"/>
        <w:jc w:val="both"/>
        <w:rPr>
          <w:rFonts w:ascii="Times New Roman" w:eastAsia="Times New Roman" w:hAnsi="Times New Roman" w:cs="Times New Roman"/>
          <w:bCs/>
          <w:kern w:val="36"/>
          <w:sz w:val="24"/>
          <w:szCs w:val="24"/>
          <w:lang w:eastAsia="cs-CZ"/>
        </w:rPr>
      </w:pPr>
    </w:p>
    <w:p w14:paraId="06D3EF89" w14:textId="77777777" w:rsidR="000E2B6A" w:rsidRDefault="000E2B6A" w:rsidP="00AC01AC">
      <w:pPr>
        <w:keepNext/>
        <w:spacing w:after="0" w:line="240" w:lineRule="auto"/>
        <w:jc w:val="both"/>
        <w:rPr>
          <w:rFonts w:ascii="Times New Roman" w:hAnsi="Times New Roman" w:cs="Times New Roman"/>
          <w:sz w:val="24"/>
          <w:szCs w:val="24"/>
        </w:rPr>
      </w:pPr>
    </w:p>
    <w:p w14:paraId="0B991E22" w14:textId="77777777" w:rsidR="00AC01AC" w:rsidRDefault="00AC01AC" w:rsidP="00AC01AC">
      <w:pPr>
        <w:spacing w:after="0" w:line="240" w:lineRule="auto"/>
        <w:jc w:val="both"/>
        <w:rPr>
          <w:rFonts w:ascii="Times New Roman" w:hAnsi="Times New Roman"/>
          <w:sz w:val="24"/>
          <w:szCs w:val="24"/>
        </w:rPr>
      </w:pPr>
    </w:p>
    <w:p w14:paraId="0C25BD25" w14:textId="77777777" w:rsidR="0085550D" w:rsidRPr="0085550D" w:rsidRDefault="0085550D" w:rsidP="00AC01AC">
      <w:pPr>
        <w:keepNext/>
        <w:spacing w:after="0" w:line="240" w:lineRule="auto"/>
        <w:jc w:val="both"/>
        <w:rPr>
          <w:rFonts w:ascii="Times New Roman" w:hAnsi="Times New Roman" w:cs="Times New Roman"/>
          <w:b/>
          <w:sz w:val="24"/>
          <w:szCs w:val="24"/>
        </w:rPr>
      </w:pPr>
    </w:p>
    <w:p w14:paraId="1ED5F029" w14:textId="77777777" w:rsidR="00FE1DD2" w:rsidRDefault="00FE1DD2" w:rsidP="00AC01AC">
      <w:pPr>
        <w:spacing w:after="0" w:line="240" w:lineRule="auto"/>
      </w:pPr>
    </w:p>
    <w:sectPr w:rsidR="00FE1DD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FAC09" w14:textId="77777777" w:rsidR="00765098" w:rsidRDefault="00765098" w:rsidP="00AC01AC">
      <w:pPr>
        <w:spacing w:after="0" w:line="240" w:lineRule="auto"/>
      </w:pPr>
      <w:r>
        <w:separator/>
      </w:r>
    </w:p>
  </w:endnote>
  <w:endnote w:type="continuationSeparator" w:id="0">
    <w:p w14:paraId="06A4D854" w14:textId="77777777" w:rsidR="00765098" w:rsidRDefault="00765098" w:rsidP="00AC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2E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717406"/>
      <w:docPartObj>
        <w:docPartGallery w:val="Page Numbers (Bottom of Page)"/>
        <w:docPartUnique/>
      </w:docPartObj>
    </w:sdtPr>
    <w:sdtEndPr/>
    <w:sdtContent>
      <w:p w14:paraId="0CFAE73D" w14:textId="5B9CCAF1" w:rsidR="00AC01AC" w:rsidRDefault="00AC01AC">
        <w:pPr>
          <w:pStyle w:val="Pta"/>
          <w:jc w:val="center"/>
        </w:pPr>
        <w:r>
          <w:fldChar w:fldCharType="begin"/>
        </w:r>
        <w:r>
          <w:instrText>PAGE   \* MERGEFORMAT</w:instrText>
        </w:r>
        <w:r>
          <w:fldChar w:fldCharType="separate"/>
        </w:r>
        <w:r w:rsidR="00131911">
          <w:rPr>
            <w:noProof/>
          </w:rPr>
          <w:t>12</w:t>
        </w:r>
        <w:r>
          <w:fldChar w:fldCharType="end"/>
        </w:r>
      </w:p>
    </w:sdtContent>
  </w:sdt>
  <w:p w14:paraId="1085BE71" w14:textId="77777777" w:rsidR="00AC01AC" w:rsidRDefault="00AC01A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65B97" w14:textId="77777777" w:rsidR="00765098" w:rsidRDefault="00765098" w:rsidP="00AC01AC">
      <w:pPr>
        <w:spacing w:after="0" w:line="240" w:lineRule="auto"/>
      </w:pPr>
      <w:r>
        <w:separator/>
      </w:r>
    </w:p>
  </w:footnote>
  <w:footnote w:type="continuationSeparator" w:id="0">
    <w:p w14:paraId="4A73A082" w14:textId="77777777" w:rsidR="00765098" w:rsidRDefault="00765098" w:rsidP="00AC0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C4C72"/>
    <w:multiLevelType w:val="hybridMultilevel"/>
    <w:tmpl w:val="10FCD1B2"/>
    <w:lvl w:ilvl="0" w:tplc="7BFE2B2A">
      <w:start w:val="1"/>
      <w:numFmt w:val="decimal"/>
      <w:lvlText w:val="(%1)"/>
      <w:lvlJc w:val="left"/>
      <w:pPr>
        <w:ind w:left="720" w:hanging="360"/>
      </w:pPr>
      <w:rPr>
        <w:rFonts w:hint="default"/>
        <w:color w:val="auto"/>
      </w:rPr>
    </w:lvl>
    <w:lvl w:ilvl="1" w:tplc="59D4AE9E">
      <w:numFmt w:val="bullet"/>
      <w:lvlText w:val="-"/>
      <w:lvlJc w:val="left"/>
      <w:pPr>
        <w:ind w:left="1440" w:hanging="360"/>
      </w:pPr>
      <w:rPr>
        <w:rFonts w:ascii="Arial Narrow" w:eastAsia="Calibri" w:hAnsi="Arial Narrow"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0444064"/>
    <w:multiLevelType w:val="hybridMultilevel"/>
    <w:tmpl w:val="5E6CBE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8D"/>
    <w:rsid w:val="0000170A"/>
    <w:rsid w:val="0001107A"/>
    <w:rsid w:val="00013E6A"/>
    <w:rsid w:val="000B08B5"/>
    <w:rsid w:val="000D4EAC"/>
    <w:rsid w:val="000E2B6A"/>
    <w:rsid w:val="000F48FB"/>
    <w:rsid w:val="00131911"/>
    <w:rsid w:val="00152668"/>
    <w:rsid w:val="00156DDB"/>
    <w:rsid w:val="001752F8"/>
    <w:rsid w:val="001A3914"/>
    <w:rsid w:val="001B3B8D"/>
    <w:rsid w:val="002001DC"/>
    <w:rsid w:val="00203FF7"/>
    <w:rsid w:val="00236489"/>
    <w:rsid w:val="00241310"/>
    <w:rsid w:val="002B11D2"/>
    <w:rsid w:val="003E4FDF"/>
    <w:rsid w:val="00407932"/>
    <w:rsid w:val="004A0EA0"/>
    <w:rsid w:val="004C6E6A"/>
    <w:rsid w:val="00501454"/>
    <w:rsid w:val="0050727D"/>
    <w:rsid w:val="005076F8"/>
    <w:rsid w:val="00546C66"/>
    <w:rsid w:val="00561C2C"/>
    <w:rsid w:val="005A3454"/>
    <w:rsid w:val="005B3524"/>
    <w:rsid w:val="005B6A18"/>
    <w:rsid w:val="005C615D"/>
    <w:rsid w:val="005E2627"/>
    <w:rsid w:val="00606DF7"/>
    <w:rsid w:val="006643E4"/>
    <w:rsid w:val="006846DC"/>
    <w:rsid w:val="006B3BA0"/>
    <w:rsid w:val="006B45F0"/>
    <w:rsid w:val="006D5518"/>
    <w:rsid w:val="006E0B39"/>
    <w:rsid w:val="006E4770"/>
    <w:rsid w:val="006F237D"/>
    <w:rsid w:val="006F7CF7"/>
    <w:rsid w:val="00703581"/>
    <w:rsid w:val="00705F09"/>
    <w:rsid w:val="00714F9B"/>
    <w:rsid w:val="00732399"/>
    <w:rsid w:val="00740468"/>
    <w:rsid w:val="007418C6"/>
    <w:rsid w:val="00765098"/>
    <w:rsid w:val="007A3D90"/>
    <w:rsid w:val="007B2D19"/>
    <w:rsid w:val="007C0D27"/>
    <w:rsid w:val="00843195"/>
    <w:rsid w:val="00844E94"/>
    <w:rsid w:val="0084698D"/>
    <w:rsid w:val="0085550D"/>
    <w:rsid w:val="008656BB"/>
    <w:rsid w:val="00873C61"/>
    <w:rsid w:val="00913633"/>
    <w:rsid w:val="0092503C"/>
    <w:rsid w:val="009837B0"/>
    <w:rsid w:val="00996FB1"/>
    <w:rsid w:val="009D0639"/>
    <w:rsid w:val="009E7146"/>
    <w:rsid w:val="009F6213"/>
    <w:rsid w:val="00AB01FB"/>
    <w:rsid w:val="00AB53C4"/>
    <w:rsid w:val="00AC01AC"/>
    <w:rsid w:val="00AC3C75"/>
    <w:rsid w:val="00AE16F3"/>
    <w:rsid w:val="00AF51E2"/>
    <w:rsid w:val="00B4239E"/>
    <w:rsid w:val="00B754BB"/>
    <w:rsid w:val="00B9632C"/>
    <w:rsid w:val="00BC5995"/>
    <w:rsid w:val="00BE09D7"/>
    <w:rsid w:val="00BE648D"/>
    <w:rsid w:val="00C070D2"/>
    <w:rsid w:val="00C578F1"/>
    <w:rsid w:val="00C638E5"/>
    <w:rsid w:val="00C64CFA"/>
    <w:rsid w:val="00C65C3E"/>
    <w:rsid w:val="00C91A68"/>
    <w:rsid w:val="00CC2F67"/>
    <w:rsid w:val="00CD0005"/>
    <w:rsid w:val="00CE6B04"/>
    <w:rsid w:val="00CF2D28"/>
    <w:rsid w:val="00CF744E"/>
    <w:rsid w:val="00D332DD"/>
    <w:rsid w:val="00DB5EFD"/>
    <w:rsid w:val="00E337CE"/>
    <w:rsid w:val="00E34058"/>
    <w:rsid w:val="00E465B6"/>
    <w:rsid w:val="00EB01F5"/>
    <w:rsid w:val="00EC4EAD"/>
    <w:rsid w:val="00ED6F7A"/>
    <w:rsid w:val="00FA6B1F"/>
    <w:rsid w:val="00FC7D6F"/>
    <w:rsid w:val="00FE1D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8DFA"/>
  <w15:chartTrackingRefBased/>
  <w15:docId w15:val="{366BB9B7-FBA9-49D4-833F-01D7085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262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013E6A"/>
    <w:pPr>
      <w:ind w:left="720"/>
      <w:contextualSpacing/>
    </w:p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rsid w:val="00013E6A"/>
  </w:style>
  <w:style w:type="paragraph" w:styleId="Hlavika">
    <w:name w:val="header"/>
    <w:basedOn w:val="Normlny"/>
    <w:link w:val="HlavikaChar"/>
    <w:uiPriority w:val="99"/>
    <w:unhideWhenUsed/>
    <w:rsid w:val="00AC01A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C01AC"/>
  </w:style>
  <w:style w:type="paragraph" w:styleId="Pta">
    <w:name w:val="footer"/>
    <w:basedOn w:val="Normlny"/>
    <w:link w:val="PtaChar"/>
    <w:uiPriority w:val="99"/>
    <w:unhideWhenUsed/>
    <w:rsid w:val="00AC01AC"/>
    <w:pPr>
      <w:tabs>
        <w:tab w:val="center" w:pos="4536"/>
        <w:tab w:val="right" w:pos="9072"/>
      </w:tabs>
      <w:spacing w:after="0" w:line="240" w:lineRule="auto"/>
    </w:pPr>
  </w:style>
  <w:style w:type="character" w:customStyle="1" w:styleId="PtaChar">
    <w:name w:val="Päta Char"/>
    <w:basedOn w:val="Predvolenpsmoodseku"/>
    <w:link w:val="Pta"/>
    <w:uiPriority w:val="99"/>
    <w:rsid w:val="00AC01AC"/>
  </w:style>
  <w:style w:type="paragraph" w:styleId="Textbubliny">
    <w:name w:val="Balloon Text"/>
    <w:basedOn w:val="Normlny"/>
    <w:link w:val="TextbublinyChar"/>
    <w:uiPriority w:val="99"/>
    <w:semiHidden/>
    <w:unhideWhenUsed/>
    <w:rsid w:val="006D55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5518"/>
    <w:rPr>
      <w:rFonts w:ascii="Segoe UI" w:hAnsi="Segoe UI" w:cs="Segoe UI"/>
      <w:sz w:val="18"/>
      <w:szCs w:val="18"/>
    </w:rPr>
  </w:style>
  <w:style w:type="character" w:styleId="Odkaznakomentr">
    <w:name w:val="annotation reference"/>
    <w:basedOn w:val="Predvolenpsmoodseku"/>
    <w:uiPriority w:val="99"/>
    <w:semiHidden/>
    <w:unhideWhenUsed/>
    <w:rsid w:val="00B754BB"/>
    <w:rPr>
      <w:sz w:val="16"/>
      <w:szCs w:val="16"/>
    </w:rPr>
  </w:style>
  <w:style w:type="paragraph" w:styleId="Textkomentra">
    <w:name w:val="annotation text"/>
    <w:basedOn w:val="Normlny"/>
    <w:link w:val="TextkomentraChar"/>
    <w:uiPriority w:val="99"/>
    <w:semiHidden/>
    <w:unhideWhenUsed/>
    <w:rsid w:val="00B754BB"/>
    <w:pPr>
      <w:spacing w:line="240" w:lineRule="auto"/>
    </w:pPr>
    <w:rPr>
      <w:sz w:val="20"/>
      <w:szCs w:val="20"/>
    </w:rPr>
  </w:style>
  <w:style w:type="character" w:customStyle="1" w:styleId="TextkomentraChar">
    <w:name w:val="Text komentára Char"/>
    <w:basedOn w:val="Predvolenpsmoodseku"/>
    <w:link w:val="Textkomentra"/>
    <w:uiPriority w:val="99"/>
    <w:semiHidden/>
    <w:rsid w:val="00B754BB"/>
    <w:rPr>
      <w:sz w:val="20"/>
      <w:szCs w:val="20"/>
    </w:rPr>
  </w:style>
  <w:style w:type="paragraph" w:styleId="Predmetkomentra">
    <w:name w:val="annotation subject"/>
    <w:basedOn w:val="Textkomentra"/>
    <w:next w:val="Textkomentra"/>
    <w:link w:val="PredmetkomentraChar"/>
    <w:uiPriority w:val="99"/>
    <w:semiHidden/>
    <w:unhideWhenUsed/>
    <w:rsid w:val="00B754BB"/>
    <w:rPr>
      <w:b/>
      <w:bCs/>
    </w:rPr>
  </w:style>
  <w:style w:type="character" w:customStyle="1" w:styleId="PredmetkomentraChar">
    <w:name w:val="Predmet komentára Char"/>
    <w:basedOn w:val="TextkomentraChar"/>
    <w:link w:val="Predmetkomentra"/>
    <w:uiPriority w:val="99"/>
    <w:semiHidden/>
    <w:rsid w:val="00B754BB"/>
    <w:rPr>
      <w:b/>
      <w:bCs/>
      <w:sz w:val="20"/>
      <w:szCs w:val="20"/>
    </w:rPr>
  </w:style>
  <w:style w:type="paragraph" w:customStyle="1" w:styleId="Normlny1">
    <w:name w:val="Normálny1"/>
    <w:uiPriority w:val="99"/>
    <w:rsid w:val="00873C61"/>
    <w:pPr>
      <w:spacing w:after="200" w:line="276" w:lineRule="auto"/>
    </w:pPr>
    <w:rPr>
      <w:rFonts w:ascii="Calibri" w:eastAsia="Calibri" w:hAnsi="Calibri" w:cs="Calibri"/>
      <w:color w:val="000000"/>
      <w:lang w:eastAsia="sk-SK"/>
    </w:rPr>
  </w:style>
  <w:style w:type="table" w:styleId="Mriekatabuky">
    <w:name w:val="Table Grid"/>
    <w:basedOn w:val="Normlnatabuka"/>
    <w:uiPriority w:val="39"/>
    <w:rsid w:val="0087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50473">
      <w:bodyDiv w:val="1"/>
      <w:marLeft w:val="0"/>
      <w:marRight w:val="0"/>
      <w:marTop w:val="0"/>
      <w:marBottom w:val="0"/>
      <w:divBdr>
        <w:top w:val="none" w:sz="0" w:space="0" w:color="auto"/>
        <w:left w:val="none" w:sz="0" w:space="0" w:color="auto"/>
        <w:bottom w:val="none" w:sz="0" w:space="0" w:color="auto"/>
        <w:right w:val="none" w:sz="0" w:space="0" w:color="auto"/>
      </w:divBdr>
    </w:div>
    <w:div w:id="1781413759">
      <w:bodyDiv w:val="1"/>
      <w:marLeft w:val="0"/>
      <w:marRight w:val="0"/>
      <w:marTop w:val="0"/>
      <w:marBottom w:val="0"/>
      <w:divBdr>
        <w:top w:val="none" w:sz="0" w:space="0" w:color="auto"/>
        <w:left w:val="none" w:sz="0" w:space="0" w:color="auto"/>
        <w:bottom w:val="none" w:sz="0" w:space="0" w:color="auto"/>
        <w:right w:val="none" w:sz="0" w:space="0" w:color="auto"/>
      </w:divBdr>
    </w:div>
    <w:div w:id="213852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5679</Words>
  <Characters>32375</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37979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Vidova Michaela</dc:creator>
  <cp:keywords/>
  <dc:description/>
  <cp:lastModifiedBy>Vidova Michaela</cp:lastModifiedBy>
  <cp:revision>9</cp:revision>
  <cp:lastPrinted>2022-08-11T10:00:00Z</cp:lastPrinted>
  <dcterms:created xsi:type="dcterms:W3CDTF">2022-08-10T14:28:00Z</dcterms:created>
  <dcterms:modified xsi:type="dcterms:W3CDTF">2022-08-11T10:37:00Z</dcterms:modified>
</cp:coreProperties>
</file>