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5541" w14:textId="77777777" w:rsidR="00E1738D" w:rsidRPr="00423C33" w:rsidRDefault="00E1738D" w:rsidP="00E1738D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23C33">
        <w:rPr>
          <w:rFonts w:ascii="Times New Roman" w:hAnsi="Times New Roman"/>
          <w:b/>
          <w:sz w:val="24"/>
          <w:szCs w:val="24"/>
          <w:lang w:eastAsia="sk-SK"/>
        </w:rPr>
        <w:t>DOLOŽKA ZLUČITEĽNOSTI</w:t>
      </w:r>
    </w:p>
    <w:p w14:paraId="0DE0863E" w14:textId="77777777" w:rsidR="00E1738D" w:rsidRPr="00423C33" w:rsidRDefault="00E1738D" w:rsidP="00E1738D">
      <w:pPr>
        <w:tabs>
          <w:tab w:val="center" w:pos="4535"/>
          <w:tab w:val="left" w:pos="7720"/>
        </w:tabs>
        <w:rPr>
          <w:rFonts w:ascii="Times New Roman" w:hAnsi="Times New Roman"/>
          <w:b/>
          <w:sz w:val="24"/>
          <w:szCs w:val="24"/>
          <w:lang w:eastAsia="sk-SK"/>
        </w:rPr>
      </w:pPr>
      <w:r w:rsidRPr="00423C33">
        <w:rPr>
          <w:rFonts w:ascii="Times New Roman" w:hAnsi="Times New Roman"/>
          <w:b/>
          <w:sz w:val="24"/>
          <w:szCs w:val="24"/>
          <w:lang w:eastAsia="sk-SK"/>
        </w:rPr>
        <w:tab/>
        <w:t>návrhu právneho predpisu s právom Európskej únie</w:t>
      </w:r>
      <w:r w:rsidRPr="00423C33">
        <w:rPr>
          <w:rFonts w:ascii="Times New Roman" w:hAnsi="Times New Roman"/>
          <w:b/>
          <w:sz w:val="24"/>
          <w:szCs w:val="24"/>
          <w:lang w:eastAsia="sk-SK"/>
        </w:rPr>
        <w:tab/>
      </w:r>
    </w:p>
    <w:p w14:paraId="798AB403" w14:textId="77777777" w:rsidR="00E1738D" w:rsidRPr="00423C33" w:rsidRDefault="00E1738D" w:rsidP="00E17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928DFD5" w14:textId="77777777" w:rsidR="00E1738D" w:rsidRPr="00423C33" w:rsidRDefault="00E1738D" w:rsidP="00E1738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3C33">
        <w:rPr>
          <w:rFonts w:ascii="Times New Roman" w:hAnsi="Times New Roman"/>
          <w:b/>
          <w:bCs/>
          <w:sz w:val="24"/>
          <w:szCs w:val="24"/>
          <w:lang w:eastAsia="sk-SK"/>
        </w:rPr>
        <w:t>1.</w:t>
      </w:r>
      <w:r w:rsidRPr="00423C33">
        <w:rPr>
          <w:rFonts w:ascii="Times New Roman" w:hAnsi="Times New Roman"/>
          <w:b/>
          <w:bCs/>
          <w:sz w:val="24"/>
          <w:szCs w:val="24"/>
          <w:lang w:eastAsia="sk-SK"/>
        </w:rPr>
        <w:tab/>
        <w:t>Navrhovateľ právneho predpisu:</w:t>
      </w:r>
      <w:r w:rsidRPr="00423C33">
        <w:rPr>
          <w:rFonts w:ascii="Times New Roman" w:hAnsi="Times New Roman"/>
          <w:sz w:val="24"/>
          <w:szCs w:val="24"/>
          <w:lang w:eastAsia="sk-SK"/>
        </w:rPr>
        <w:t xml:space="preserve"> Ministerstvo zdravotníctva Slovenskej republiky</w:t>
      </w:r>
    </w:p>
    <w:p w14:paraId="101FDB41" w14:textId="77777777" w:rsidR="00E1738D" w:rsidRPr="00423C33" w:rsidRDefault="00E1738D" w:rsidP="00E1738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12AFD2B" w14:textId="77777777" w:rsidR="00E1738D" w:rsidRPr="00423C33" w:rsidRDefault="00E1738D" w:rsidP="00E1738D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423C33">
        <w:rPr>
          <w:rFonts w:ascii="Times New Roman" w:hAnsi="Times New Roman"/>
          <w:b/>
          <w:sz w:val="24"/>
          <w:szCs w:val="24"/>
          <w:lang w:eastAsia="sk-SK"/>
        </w:rPr>
        <w:t>2.</w:t>
      </w:r>
      <w:r w:rsidRPr="00423C33">
        <w:rPr>
          <w:rFonts w:ascii="Times New Roman" w:hAnsi="Times New Roman"/>
          <w:b/>
          <w:sz w:val="24"/>
          <w:szCs w:val="24"/>
          <w:lang w:eastAsia="sk-SK"/>
        </w:rPr>
        <w:tab/>
        <w:t xml:space="preserve">Názov návrhu právneho predpisu: </w:t>
      </w:r>
    </w:p>
    <w:p w14:paraId="593F2912" w14:textId="54F20E7B" w:rsidR="00E1738D" w:rsidRPr="00423C33" w:rsidRDefault="00CE7223" w:rsidP="00E173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3C33">
        <w:rPr>
          <w:rFonts w:ascii="Times New Roman" w:hAnsi="Times New Roman"/>
          <w:sz w:val="24"/>
          <w:szCs w:val="24"/>
          <w:lang w:eastAsia="sk-SK"/>
        </w:rPr>
        <w:t>Návrh zákona, ktorým sa mení a dopĺňa zákon č. 580/2004 Z. z. o zdravotnom poistení a o zmene a doplnení zákona č. 95/2002 Z.</w:t>
      </w:r>
      <w:r w:rsidR="003D2C8B" w:rsidRPr="00423C3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23C33">
        <w:rPr>
          <w:rFonts w:ascii="Times New Roman" w:hAnsi="Times New Roman"/>
          <w:sz w:val="24"/>
          <w:szCs w:val="24"/>
          <w:lang w:eastAsia="sk-SK"/>
        </w:rPr>
        <w:t>z. o poisťovníctve a o zmene a doplnení niektorých zákonov v znení neskorších predpisov a</w:t>
      </w:r>
      <w:r w:rsidR="00A30FD2" w:rsidRPr="00423C33">
        <w:rPr>
          <w:rFonts w:ascii="Times New Roman" w:hAnsi="Times New Roman"/>
          <w:sz w:val="24"/>
          <w:szCs w:val="24"/>
          <w:lang w:eastAsia="sk-SK"/>
        </w:rPr>
        <w:t> ktorým sa mení a dopĺňa</w:t>
      </w:r>
      <w:r w:rsidRPr="00423C33">
        <w:rPr>
          <w:rFonts w:ascii="Times New Roman" w:hAnsi="Times New Roman"/>
          <w:sz w:val="24"/>
          <w:szCs w:val="24"/>
          <w:lang w:eastAsia="sk-SK"/>
        </w:rPr>
        <w:t xml:space="preserve"> zákon č. </w:t>
      </w:r>
      <w:bookmarkStart w:id="0" w:name="_GoBack"/>
      <w:bookmarkEnd w:id="0"/>
      <w:r w:rsidRPr="00423C33">
        <w:rPr>
          <w:rFonts w:ascii="Times New Roman" w:hAnsi="Times New Roman"/>
          <w:sz w:val="24"/>
          <w:szCs w:val="24"/>
          <w:lang w:eastAsia="sk-SK"/>
        </w:rPr>
        <w:t>581/2004 Z.</w:t>
      </w:r>
      <w:r w:rsidR="003D2C8B" w:rsidRPr="00423C3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23C33">
        <w:rPr>
          <w:rFonts w:ascii="Times New Roman" w:hAnsi="Times New Roman"/>
          <w:sz w:val="24"/>
          <w:szCs w:val="24"/>
          <w:lang w:eastAsia="sk-SK"/>
        </w:rPr>
        <w:t>z. o zdravotných poisťovniach, dohľade nad zdravotnou starostlivosťou a o zmene a doplnení niektorých zákonov v znení neskorších predpisov</w:t>
      </w:r>
      <w:r w:rsidR="00E1738D" w:rsidRPr="00423C33">
        <w:rPr>
          <w:rFonts w:ascii="Times New Roman" w:hAnsi="Times New Roman"/>
          <w:sz w:val="24"/>
          <w:szCs w:val="24"/>
          <w:lang w:eastAsia="sk-SK"/>
        </w:rPr>
        <w:t xml:space="preserve">.  </w:t>
      </w:r>
    </w:p>
    <w:p w14:paraId="67177832" w14:textId="77777777" w:rsidR="00E1738D" w:rsidRPr="00423C33" w:rsidRDefault="00E1738D" w:rsidP="00E1738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423C33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14:paraId="0A6AFC25" w14:textId="77777777" w:rsidR="00E1738D" w:rsidRPr="00423C33" w:rsidRDefault="00E1738D" w:rsidP="00E1738D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423C33">
        <w:rPr>
          <w:rFonts w:ascii="Times New Roman" w:hAnsi="Times New Roman"/>
          <w:b/>
          <w:sz w:val="24"/>
          <w:szCs w:val="24"/>
          <w:lang w:eastAsia="sk-SK"/>
        </w:rPr>
        <w:t xml:space="preserve">3. </w:t>
      </w:r>
      <w:r w:rsidRPr="00423C33">
        <w:rPr>
          <w:rFonts w:ascii="Times New Roman" w:hAnsi="Times New Roman"/>
          <w:b/>
          <w:sz w:val="24"/>
          <w:szCs w:val="24"/>
          <w:lang w:eastAsia="sk-SK"/>
        </w:rPr>
        <w:tab/>
        <w:t>Predmet návrhu zákona je upravený v práve Európskej únie:</w:t>
      </w:r>
    </w:p>
    <w:p w14:paraId="4557D316" w14:textId="77777777" w:rsidR="00E1738D" w:rsidRPr="00423C33" w:rsidRDefault="00E1738D" w:rsidP="00E1738D">
      <w:pPr>
        <w:pStyle w:val="Normlnywebov"/>
        <w:spacing w:before="0" w:beforeAutospacing="0" w:after="0" w:afterAutospacing="0"/>
        <w:ind w:left="720"/>
        <w:jc w:val="both"/>
      </w:pPr>
    </w:p>
    <w:p w14:paraId="5549BCF2" w14:textId="77777777" w:rsidR="00E1738D" w:rsidRPr="00423C33" w:rsidRDefault="00E1738D" w:rsidP="00E1738D">
      <w:pPr>
        <w:pStyle w:val="Normlnywebov"/>
        <w:numPr>
          <w:ilvl w:val="0"/>
          <w:numId w:val="30"/>
        </w:numPr>
        <w:spacing w:before="0" w:beforeAutospacing="0" w:after="0" w:afterAutospacing="0"/>
        <w:jc w:val="both"/>
      </w:pPr>
      <w:r w:rsidRPr="00423C33">
        <w:rPr>
          <w:rStyle w:val="awspan"/>
        </w:rPr>
        <w:t>v primárnom práve (uviesť názov zmluvy a číslo článku)</w:t>
      </w:r>
    </w:p>
    <w:p w14:paraId="08E27479" w14:textId="77777777" w:rsidR="00E1738D" w:rsidRPr="00423C33" w:rsidRDefault="00E1738D" w:rsidP="00E1738D">
      <w:pPr>
        <w:pStyle w:val="Normlnywebov"/>
        <w:spacing w:before="0" w:beforeAutospacing="0" w:after="0" w:afterAutospacing="0"/>
        <w:jc w:val="both"/>
      </w:pPr>
    </w:p>
    <w:p w14:paraId="729AF04A" w14:textId="77777777" w:rsidR="00E1738D" w:rsidRPr="00423C33" w:rsidRDefault="00E1738D" w:rsidP="00E1738D">
      <w:pPr>
        <w:pStyle w:val="Normlnywebov"/>
        <w:spacing w:before="0" w:beforeAutospacing="0" w:after="0" w:afterAutospacing="0"/>
        <w:ind w:firstLine="708"/>
        <w:jc w:val="both"/>
      </w:pPr>
      <w:r w:rsidRPr="00423C33">
        <w:t>čl. 168 Zmluvy o fungovaní Európskej únie</w:t>
      </w:r>
    </w:p>
    <w:p w14:paraId="3D0138C6" w14:textId="77777777" w:rsidR="00E1738D" w:rsidRPr="00423C33" w:rsidRDefault="00E1738D" w:rsidP="00E1738D">
      <w:pPr>
        <w:pStyle w:val="Normlnywebov"/>
        <w:spacing w:before="0" w:beforeAutospacing="0" w:after="0" w:afterAutospacing="0"/>
        <w:jc w:val="both"/>
      </w:pPr>
    </w:p>
    <w:p w14:paraId="72EBE15D" w14:textId="77777777" w:rsidR="00E1738D" w:rsidRPr="00423C33" w:rsidRDefault="00E1738D" w:rsidP="00E1738D">
      <w:pPr>
        <w:pStyle w:val="Normlnywebov"/>
        <w:numPr>
          <w:ilvl w:val="0"/>
          <w:numId w:val="30"/>
        </w:numPr>
        <w:spacing w:before="0" w:beforeAutospacing="0" w:after="0" w:afterAutospacing="0"/>
        <w:jc w:val="both"/>
      </w:pPr>
      <w:r w:rsidRPr="00423C33">
        <w:t>v</w:t>
      </w:r>
      <w:r w:rsidRPr="00423C33">
        <w:rPr>
          <w:spacing w:val="15"/>
        </w:rPr>
        <w:t xml:space="preserve"> </w:t>
      </w:r>
      <w:r w:rsidRPr="00423C33">
        <w:t>sekundárnom</w:t>
      </w:r>
      <w:r w:rsidRPr="00423C33">
        <w:rPr>
          <w:spacing w:val="15"/>
        </w:rPr>
        <w:t xml:space="preserve"> </w:t>
      </w:r>
      <w:r w:rsidRPr="00423C33">
        <w:t>práve</w:t>
      </w:r>
      <w:r w:rsidRPr="00423C33">
        <w:rPr>
          <w:spacing w:val="15"/>
        </w:rPr>
        <w:t xml:space="preserve"> </w:t>
      </w:r>
      <w:r w:rsidRPr="00423C33">
        <w:t>(uviesť</w:t>
      </w:r>
      <w:r w:rsidRPr="00423C33">
        <w:rPr>
          <w:spacing w:val="15"/>
        </w:rPr>
        <w:t xml:space="preserve"> </w:t>
      </w:r>
      <w:r w:rsidRPr="00423C33">
        <w:t>druh,</w:t>
      </w:r>
      <w:r w:rsidRPr="00423C33">
        <w:rPr>
          <w:spacing w:val="15"/>
        </w:rPr>
        <w:t xml:space="preserve"> </w:t>
      </w:r>
      <w:r w:rsidRPr="00423C33">
        <w:t>inštitúciu,</w:t>
      </w:r>
      <w:r w:rsidRPr="00423C33">
        <w:rPr>
          <w:spacing w:val="15"/>
        </w:rPr>
        <w:t xml:space="preserve"> </w:t>
      </w:r>
      <w:r w:rsidRPr="00423C33">
        <w:t>číslo,</w:t>
      </w:r>
      <w:r w:rsidRPr="00423C33">
        <w:rPr>
          <w:spacing w:val="15"/>
        </w:rPr>
        <w:t xml:space="preserve"> </w:t>
      </w:r>
      <w:r w:rsidRPr="00423C33">
        <w:t>názov</w:t>
      </w:r>
      <w:r w:rsidRPr="00423C33">
        <w:rPr>
          <w:spacing w:val="15"/>
        </w:rPr>
        <w:t xml:space="preserve"> </w:t>
      </w:r>
      <w:r w:rsidRPr="00423C33">
        <w:t>a</w:t>
      </w:r>
      <w:r w:rsidRPr="00423C33">
        <w:rPr>
          <w:spacing w:val="15"/>
        </w:rPr>
        <w:t xml:space="preserve"> </w:t>
      </w:r>
      <w:r w:rsidRPr="00423C33">
        <w:t>dátum</w:t>
      </w:r>
      <w:r w:rsidRPr="00423C33">
        <w:rPr>
          <w:spacing w:val="15"/>
        </w:rPr>
        <w:t xml:space="preserve"> </w:t>
      </w:r>
      <w:r w:rsidRPr="00423C33">
        <w:t>vydania</w:t>
      </w:r>
      <w:r w:rsidRPr="00423C33">
        <w:rPr>
          <w:spacing w:val="15"/>
        </w:rPr>
        <w:t xml:space="preserve"> </w:t>
      </w:r>
      <w:r w:rsidRPr="00423C33">
        <w:t>právneho aktu vzťahujúceho sa na upravovanú problematiku)</w:t>
      </w:r>
    </w:p>
    <w:p w14:paraId="5E319A07" w14:textId="77777777" w:rsidR="00E1738D" w:rsidRPr="00423C33" w:rsidRDefault="00E1738D" w:rsidP="00E1738D">
      <w:pPr>
        <w:pStyle w:val="Normlnywebov"/>
        <w:spacing w:before="0" w:beforeAutospacing="0" w:after="0" w:afterAutospacing="0"/>
        <w:jc w:val="both"/>
      </w:pPr>
    </w:p>
    <w:p w14:paraId="2FEEF874" w14:textId="58A508B5" w:rsidR="00E1738D" w:rsidRPr="00423C33" w:rsidRDefault="00E1738D" w:rsidP="00E1738D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423C33">
        <w:rPr>
          <w:rFonts w:ascii="Times New Roman" w:hAnsi="Times New Roman"/>
          <w:sz w:val="24"/>
          <w:szCs w:val="24"/>
        </w:rPr>
        <w:t xml:space="preserve">- </w:t>
      </w:r>
      <w:r w:rsidR="00A30FD2" w:rsidRPr="00423C33">
        <w:rPr>
          <w:rFonts w:ascii="Times New Roman" w:hAnsi="Times New Roman"/>
          <w:sz w:val="24"/>
          <w:szCs w:val="24"/>
        </w:rPr>
        <w:t>Nariadenie (ES) Európskeho parlamentu a Rady 883/2004 z 29. apríla 2004 o koordinácii systémov sociálneho zabezpečenia (Mimoriadne vydanie Ú. v. EÚ, kap. 5/zv. 5; Ú. v. EÚ L 166, 30.4.2004) v platnom znení</w:t>
      </w:r>
      <w:r w:rsidRPr="00423C33">
        <w:rPr>
          <w:rFonts w:ascii="Times New Roman" w:hAnsi="Times New Roman"/>
          <w:sz w:val="24"/>
          <w:szCs w:val="24"/>
        </w:rPr>
        <w:t>,</w:t>
      </w:r>
    </w:p>
    <w:p w14:paraId="7DBE41EB" w14:textId="77777777" w:rsidR="00E1738D" w:rsidRPr="00423C33" w:rsidRDefault="00E1738D" w:rsidP="00E1738D">
      <w:pPr>
        <w:pStyle w:val="Normlnywebov"/>
        <w:spacing w:before="0" w:beforeAutospacing="0" w:after="0" w:afterAutospacing="0"/>
        <w:ind w:left="1068"/>
        <w:jc w:val="both"/>
      </w:pPr>
      <w:r w:rsidRPr="00423C33">
        <w:t xml:space="preserve">gestor – MPSVARSR, </w:t>
      </w:r>
      <w:proofErr w:type="spellStart"/>
      <w:r w:rsidRPr="00423C33">
        <w:t>spolugestor</w:t>
      </w:r>
      <w:proofErr w:type="spellEnd"/>
      <w:r w:rsidRPr="00423C33">
        <w:t xml:space="preserve"> – MZSR</w:t>
      </w:r>
    </w:p>
    <w:p w14:paraId="06F3D507" w14:textId="77777777" w:rsidR="00E1738D" w:rsidRPr="00423C33" w:rsidRDefault="00E1738D" w:rsidP="00E1738D">
      <w:pPr>
        <w:pStyle w:val="Normlnywebov"/>
        <w:spacing w:before="0" w:beforeAutospacing="0" w:after="0" w:afterAutospacing="0"/>
        <w:ind w:left="1068"/>
        <w:jc w:val="both"/>
        <w:rPr>
          <w:bCs/>
        </w:rPr>
      </w:pPr>
    </w:p>
    <w:p w14:paraId="53401C5F" w14:textId="77777777" w:rsidR="00E1738D" w:rsidRPr="00423C33" w:rsidRDefault="00E1738D" w:rsidP="00E1738D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423C33">
        <w:rPr>
          <w:rFonts w:ascii="Times New Roman" w:hAnsi="Times New Roman"/>
          <w:sz w:val="24"/>
          <w:szCs w:val="24"/>
        </w:rPr>
        <w:t>- Nariadenie Európskeho parlamentu a Rady  (ES) č. 987/2009 zo 16. septembra 2009, ktorým sa ustanovuje postup vykonávania nariadenia (ES) č. 883/2004 o koordinácii systémov sociálneho zabezpečenia (Ú. v. EÚ L 284, 30. 10. 2009) v platnom znení,</w:t>
      </w:r>
    </w:p>
    <w:p w14:paraId="5D8D5681" w14:textId="77777777" w:rsidR="00E1738D" w:rsidRPr="00423C33" w:rsidRDefault="00E1738D" w:rsidP="00E1738D">
      <w:pPr>
        <w:pStyle w:val="Normlnywebov"/>
        <w:spacing w:before="0" w:beforeAutospacing="0" w:after="0" w:afterAutospacing="0"/>
        <w:ind w:left="1068"/>
        <w:jc w:val="both"/>
      </w:pPr>
      <w:r w:rsidRPr="00423C33">
        <w:t xml:space="preserve">gestor – MPSVARSR, </w:t>
      </w:r>
      <w:proofErr w:type="spellStart"/>
      <w:r w:rsidRPr="00423C33">
        <w:t>spolugestor</w:t>
      </w:r>
      <w:proofErr w:type="spellEnd"/>
      <w:r w:rsidRPr="00423C33">
        <w:t xml:space="preserve"> – MZSR</w:t>
      </w:r>
    </w:p>
    <w:p w14:paraId="123C8595" w14:textId="77777777" w:rsidR="00E1738D" w:rsidRPr="00423C33" w:rsidRDefault="00E1738D" w:rsidP="00E1738D">
      <w:pPr>
        <w:pStyle w:val="Normlnywebov"/>
        <w:spacing w:before="0" w:beforeAutospacing="0" w:after="0" w:afterAutospacing="0"/>
        <w:ind w:left="1068"/>
        <w:jc w:val="both"/>
        <w:rPr>
          <w:bCs/>
        </w:rPr>
      </w:pPr>
    </w:p>
    <w:p w14:paraId="36DD5C21" w14:textId="77777777" w:rsidR="00E1738D" w:rsidRPr="00423C33" w:rsidRDefault="00E1738D" w:rsidP="00E1738D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423C33">
        <w:rPr>
          <w:rFonts w:ascii="Times New Roman" w:hAnsi="Times New Roman"/>
          <w:sz w:val="24"/>
          <w:szCs w:val="24"/>
        </w:rPr>
        <w:t xml:space="preserve">- Nariadenie Európskeho parlamentu a Rady (EÚ) č. 609/2013 z  12. júna 2013 o potravinách určených pre dojčatá a malé deti, potravinách na osobitné lekárske účely a o celkovej náhrade stravy na účely regulácie hmotnosti a ktorým sa zrušuje smernica Rady 92/52/EHS, smernica Komisie 96/8/ES, 1999/21/ES, 2006/125/ES a 2006/141/ES, smernica Európskeho parlamentu a Rady 2009/39/ES a nariadenie Komisie (ES) č. 41/2009 a (ES) č. 953/2009 v platnom znení  (Ú. v. EÚ L 181, 29.6.2013), </w:t>
      </w:r>
    </w:p>
    <w:p w14:paraId="65241DE6" w14:textId="77777777" w:rsidR="00E1738D" w:rsidRPr="00423C33" w:rsidRDefault="00E1738D" w:rsidP="00E1738D">
      <w:pPr>
        <w:pStyle w:val="Normlnywebov"/>
        <w:spacing w:before="0" w:beforeAutospacing="0" w:after="0" w:afterAutospacing="0"/>
        <w:ind w:left="1068"/>
        <w:jc w:val="both"/>
      </w:pPr>
      <w:r w:rsidRPr="00423C33">
        <w:t xml:space="preserve">gestor – MHSR, </w:t>
      </w:r>
      <w:proofErr w:type="spellStart"/>
      <w:r w:rsidRPr="00423C33">
        <w:t>spolugestor</w:t>
      </w:r>
      <w:proofErr w:type="spellEnd"/>
      <w:r w:rsidRPr="00423C33">
        <w:t xml:space="preserve"> – </w:t>
      </w:r>
      <w:proofErr w:type="spellStart"/>
      <w:r w:rsidRPr="00423C33">
        <w:t>MPaRVSR</w:t>
      </w:r>
      <w:proofErr w:type="spellEnd"/>
      <w:r w:rsidRPr="00423C33">
        <w:t>, MZSR</w:t>
      </w:r>
    </w:p>
    <w:p w14:paraId="359BFE6F" w14:textId="77777777" w:rsidR="00E1738D" w:rsidRPr="00423C33" w:rsidRDefault="00E1738D" w:rsidP="00E1738D">
      <w:pPr>
        <w:pStyle w:val="Normlnywebov"/>
        <w:spacing w:before="0" w:beforeAutospacing="0" w:after="0" w:afterAutospacing="0"/>
        <w:ind w:left="1068"/>
        <w:jc w:val="both"/>
        <w:rPr>
          <w:bCs/>
        </w:rPr>
      </w:pPr>
    </w:p>
    <w:p w14:paraId="04C4E6A5" w14:textId="4C0D323D" w:rsidR="00E1738D" w:rsidRPr="00423C33" w:rsidRDefault="00E1738D" w:rsidP="00E1738D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423C33">
        <w:rPr>
          <w:rFonts w:ascii="Times New Roman" w:hAnsi="Times New Roman"/>
          <w:sz w:val="24"/>
          <w:szCs w:val="24"/>
        </w:rPr>
        <w:t>- smernica Európskeho parlamentu a Rady 2011/24/EÚ z 9. marca 2011 o uplatňovaní práv pacientov pri cezhraničnej zdravotnej starostlivosti (</w:t>
      </w:r>
      <w:proofErr w:type="spellStart"/>
      <w:r w:rsidRPr="00423C33">
        <w:rPr>
          <w:rFonts w:ascii="Times New Roman" w:hAnsi="Times New Roman"/>
          <w:sz w:val="24"/>
          <w:szCs w:val="24"/>
        </w:rPr>
        <w:t>Ú.v</w:t>
      </w:r>
      <w:proofErr w:type="spellEnd"/>
      <w:r w:rsidRPr="00423C33">
        <w:rPr>
          <w:rFonts w:ascii="Times New Roman" w:hAnsi="Times New Roman"/>
          <w:sz w:val="24"/>
          <w:szCs w:val="24"/>
        </w:rPr>
        <w:t>. EÚ L 88, 4.4.2011)</w:t>
      </w:r>
      <w:r w:rsidR="00A30FD2" w:rsidRPr="00423C33">
        <w:rPr>
          <w:rFonts w:ascii="Times New Roman" w:hAnsi="Times New Roman"/>
          <w:sz w:val="24"/>
          <w:szCs w:val="24"/>
        </w:rPr>
        <w:t xml:space="preserve"> v platnom znení</w:t>
      </w:r>
      <w:r w:rsidRPr="00423C33">
        <w:rPr>
          <w:rFonts w:ascii="Times New Roman" w:hAnsi="Times New Roman"/>
          <w:sz w:val="24"/>
          <w:szCs w:val="24"/>
        </w:rPr>
        <w:t>,</w:t>
      </w:r>
    </w:p>
    <w:p w14:paraId="10D10682" w14:textId="78953D7A" w:rsidR="00E1738D" w:rsidRPr="00423C33" w:rsidRDefault="00E1738D" w:rsidP="00E1738D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423C33">
        <w:rPr>
          <w:rFonts w:ascii="Times New Roman" w:hAnsi="Times New Roman"/>
          <w:sz w:val="24"/>
          <w:szCs w:val="24"/>
        </w:rPr>
        <w:t>gestor – MZSR</w:t>
      </w:r>
    </w:p>
    <w:p w14:paraId="106457D3" w14:textId="7489FFB5" w:rsidR="00A30FD2" w:rsidRPr="00423C33" w:rsidRDefault="00A30FD2" w:rsidP="00E1738D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</w:rPr>
      </w:pPr>
    </w:p>
    <w:p w14:paraId="071E95FC" w14:textId="77777777" w:rsidR="00A30FD2" w:rsidRPr="00423C33" w:rsidRDefault="00A30FD2" w:rsidP="00A30FD2">
      <w:pPr>
        <w:pStyle w:val="Odsekzoznamu"/>
        <w:numPr>
          <w:ilvl w:val="0"/>
          <w:numId w:val="34"/>
        </w:numPr>
        <w:ind w:left="993" w:hanging="285"/>
        <w:jc w:val="both"/>
      </w:pPr>
      <w:r w:rsidRPr="00423C33">
        <w:t xml:space="preserve">smernica Rady 2000/78/ES z 27. novembra 2000, ktorá ustanovuje všeobecný rámec pre rovnaké zaobchádzanie v zamestnaní a povolaní (Mimoriadne vydanie Ú. v. EÚ, kap. 5/zv.4; Ú. v. ES L 303, 2.12.2000), </w:t>
      </w:r>
    </w:p>
    <w:p w14:paraId="5422B8C3" w14:textId="54C56E40" w:rsidR="00A30FD2" w:rsidRPr="00423C33" w:rsidRDefault="00A30FD2" w:rsidP="00A30FD2">
      <w:pPr>
        <w:pStyle w:val="Odsekzoznamu"/>
        <w:numPr>
          <w:ilvl w:val="0"/>
          <w:numId w:val="34"/>
        </w:numPr>
        <w:ind w:left="993" w:hanging="285"/>
        <w:jc w:val="both"/>
      </w:pPr>
      <w:r w:rsidRPr="00423C33">
        <w:lastRenderedPageBreak/>
        <w:t xml:space="preserve">smernica Rady 2009/13/ES zo 16. februára 2009, ktorou sa vykonáva Dohoda uzavretá Združením vlastníkov lodí Európskeho spoločenstva (ECSA) a Európskou federáciou pracovníkov v doprave (ETF) o Dohovore o pracovných normách v námornej doprave z roku 2006 a ktorou sa mení a dopĺňa smernica 1999/63/ES (Ú. v. EÚ L 124, 20.5.2009), </w:t>
      </w:r>
    </w:p>
    <w:p w14:paraId="352375A0" w14:textId="77777777" w:rsidR="00A30FD2" w:rsidRPr="00423C33" w:rsidRDefault="00A30FD2" w:rsidP="00A30FD2">
      <w:pPr>
        <w:pStyle w:val="Odsekzoznamu"/>
        <w:ind w:left="993"/>
        <w:jc w:val="both"/>
      </w:pPr>
    </w:p>
    <w:p w14:paraId="2041B7B9" w14:textId="77777777" w:rsidR="00A30FD2" w:rsidRPr="00423C33" w:rsidRDefault="00A30FD2" w:rsidP="00A30FD2">
      <w:pPr>
        <w:pStyle w:val="Odsekzoznamu"/>
        <w:numPr>
          <w:ilvl w:val="0"/>
          <w:numId w:val="34"/>
        </w:numPr>
        <w:ind w:left="993" w:hanging="285"/>
        <w:jc w:val="both"/>
      </w:pPr>
      <w:r w:rsidRPr="00423C33">
        <w:t xml:space="preserve">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(Ú. v. EÚ L 337, 20.12.2011), </w:t>
      </w:r>
    </w:p>
    <w:p w14:paraId="1431FE64" w14:textId="77777777" w:rsidR="00A30FD2" w:rsidRPr="00423C33" w:rsidRDefault="00A30FD2" w:rsidP="00A30FD2">
      <w:pPr>
        <w:pStyle w:val="Odsekzoznamu"/>
      </w:pPr>
    </w:p>
    <w:p w14:paraId="4BF8612D" w14:textId="77777777" w:rsidR="00A30FD2" w:rsidRPr="00423C33" w:rsidRDefault="00A30FD2" w:rsidP="00A30FD2">
      <w:pPr>
        <w:pStyle w:val="Odsekzoznamu"/>
        <w:numPr>
          <w:ilvl w:val="0"/>
          <w:numId w:val="34"/>
        </w:numPr>
        <w:ind w:left="993" w:hanging="285"/>
        <w:jc w:val="both"/>
      </w:pPr>
      <w:r w:rsidRPr="00423C33">
        <w:t xml:space="preserve">smernica Európskeho parlamentu a Rady 2014/36/EÚ z 26. februára 2014 o podmienkach vstupu a pobytu štátnych príslušníkov tretích krajín na účel zamestnania ako sezónni pracovníci (Ú. v. EÚ L 94, 28.3.2014), </w:t>
      </w:r>
    </w:p>
    <w:p w14:paraId="12B4C77A" w14:textId="77777777" w:rsidR="00A30FD2" w:rsidRPr="00423C33" w:rsidRDefault="00A30FD2" w:rsidP="00A30FD2">
      <w:pPr>
        <w:pStyle w:val="Odsekzoznamu"/>
      </w:pPr>
    </w:p>
    <w:p w14:paraId="545F513A" w14:textId="77777777" w:rsidR="00A30FD2" w:rsidRPr="00423C33" w:rsidRDefault="00A30FD2" w:rsidP="00A30FD2">
      <w:pPr>
        <w:pStyle w:val="Odsekzoznamu"/>
        <w:numPr>
          <w:ilvl w:val="0"/>
          <w:numId w:val="34"/>
        </w:numPr>
        <w:ind w:left="993" w:hanging="285"/>
        <w:jc w:val="both"/>
      </w:pPr>
      <w:r w:rsidRPr="00423C33">
        <w:t xml:space="preserve">smernica Európskeho parlamentu a Rady 2014/66/EÚ z 15. mája 2014 o podmienkach vstupu a pobytu štátnych príslušníkov tretích krajín v rámci vnútropodnikového presunu (Ú. v. EÚ L 157, 27.5.2014), </w:t>
      </w:r>
    </w:p>
    <w:p w14:paraId="67BC0864" w14:textId="77777777" w:rsidR="00A30FD2" w:rsidRPr="00423C33" w:rsidRDefault="00A30FD2" w:rsidP="00A30FD2">
      <w:pPr>
        <w:pStyle w:val="Odsekzoznamu"/>
      </w:pPr>
    </w:p>
    <w:p w14:paraId="6D23BC96" w14:textId="24DAC558" w:rsidR="00A30FD2" w:rsidRPr="00423C33" w:rsidRDefault="00A30FD2" w:rsidP="00A30FD2">
      <w:pPr>
        <w:pStyle w:val="Odsekzoznamu"/>
        <w:numPr>
          <w:ilvl w:val="0"/>
          <w:numId w:val="34"/>
        </w:numPr>
        <w:ind w:left="993" w:hanging="285"/>
        <w:jc w:val="both"/>
      </w:pPr>
      <w:r w:rsidRPr="00423C33">
        <w:t xml:space="preserve"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</w:t>
      </w:r>
      <w:proofErr w:type="spellStart"/>
      <w:r w:rsidRPr="00423C33">
        <w:t>aupair</w:t>
      </w:r>
      <w:proofErr w:type="spellEnd"/>
      <w:r w:rsidRPr="00423C33">
        <w:t xml:space="preserve"> (Ú. v. EÚ L 132, 21.5.2016).</w:t>
      </w:r>
    </w:p>
    <w:p w14:paraId="3DF37667" w14:textId="77777777" w:rsidR="00E1738D" w:rsidRPr="00423C33" w:rsidRDefault="00E1738D" w:rsidP="00E1738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504FF937" w14:textId="77777777" w:rsidR="00E1738D" w:rsidRPr="00423C33" w:rsidRDefault="00E1738D" w:rsidP="00E1738D">
      <w:pPr>
        <w:pStyle w:val="Normlnywebov"/>
        <w:numPr>
          <w:ilvl w:val="0"/>
          <w:numId w:val="30"/>
        </w:numPr>
        <w:spacing w:before="0" w:beforeAutospacing="0" w:after="0" w:afterAutospacing="0"/>
        <w:jc w:val="both"/>
      </w:pPr>
      <w:r w:rsidRPr="00423C33">
        <w:rPr>
          <w:rStyle w:val="awspan"/>
        </w:rPr>
        <w:t>v</w:t>
      </w:r>
      <w:r w:rsidRPr="00423C33">
        <w:rPr>
          <w:rStyle w:val="awspan"/>
          <w:spacing w:val="45"/>
        </w:rPr>
        <w:t xml:space="preserve"> </w:t>
      </w:r>
      <w:r w:rsidRPr="00423C33">
        <w:rPr>
          <w:rStyle w:val="awspan"/>
        </w:rPr>
        <w:t>judikatúre</w:t>
      </w:r>
      <w:r w:rsidRPr="00423C33">
        <w:rPr>
          <w:rStyle w:val="awspan"/>
          <w:spacing w:val="45"/>
        </w:rPr>
        <w:t xml:space="preserve"> </w:t>
      </w:r>
      <w:r w:rsidRPr="00423C33">
        <w:rPr>
          <w:rStyle w:val="awspan"/>
        </w:rPr>
        <w:t>Súdneho</w:t>
      </w:r>
      <w:r w:rsidRPr="00423C33">
        <w:rPr>
          <w:rStyle w:val="awspan"/>
          <w:spacing w:val="45"/>
        </w:rPr>
        <w:t xml:space="preserve"> </w:t>
      </w:r>
      <w:r w:rsidRPr="00423C33">
        <w:rPr>
          <w:rStyle w:val="awspan"/>
        </w:rPr>
        <w:t>dvora</w:t>
      </w:r>
      <w:r w:rsidRPr="00423C33">
        <w:rPr>
          <w:rStyle w:val="awspan"/>
          <w:spacing w:val="45"/>
        </w:rPr>
        <w:t xml:space="preserve"> </w:t>
      </w:r>
      <w:r w:rsidRPr="00423C33">
        <w:rPr>
          <w:rStyle w:val="awspan"/>
        </w:rPr>
        <w:t>Európskej</w:t>
      </w:r>
      <w:r w:rsidRPr="00423C33">
        <w:rPr>
          <w:rStyle w:val="awspan"/>
          <w:spacing w:val="45"/>
        </w:rPr>
        <w:t xml:space="preserve"> </w:t>
      </w:r>
      <w:r w:rsidRPr="00423C33">
        <w:rPr>
          <w:rStyle w:val="awspan"/>
        </w:rPr>
        <w:t>únie</w:t>
      </w:r>
      <w:r w:rsidRPr="00423C33">
        <w:rPr>
          <w:rStyle w:val="awspan"/>
          <w:spacing w:val="45"/>
        </w:rPr>
        <w:t xml:space="preserve"> </w:t>
      </w:r>
      <w:r w:rsidRPr="00423C33">
        <w:rPr>
          <w:rStyle w:val="awspan"/>
        </w:rPr>
        <w:t>(uviesť</w:t>
      </w:r>
      <w:r w:rsidRPr="00423C33">
        <w:rPr>
          <w:rStyle w:val="awspan"/>
          <w:spacing w:val="45"/>
        </w:rPr>
        <w:t xml:space="preserve"> </w:t>
      </w:r>
      <w:r w:rsidRPr="00423C33">
        <w:rPr>
          <w:rStyle w:val="awspan"/>
        </w:rPr>
        <w:t>číslo</w:t>
      </w:r>
      <w:r w:rsidRPr="00423C33">
        <w:rPr>
          <w:rStyle w:val="awspan"/>
          <w:spacing w:val="45"/>
        </w:rPr>
        <w:t xml:space="preserve"> </w:t>
      </w:r>
      <w:r w:rsidRPr="00423C33">
        <w:rPr>
          <w:rStyle w:val="awspan"/>
        </w:rPr>
        <w:t>a</w:t>
      </w:r>
      <w:r w:rsidRPr="00423C33">
        <w:rPr>
          <w:rStyle w:val="awspan"/>
          <w:spacing w:val="45"/>
        </w:rPr>
        <w:t xml:space="preserve"> </w:t>
      </w:r>
      <w:r w:rsidRPr="00423C33">
        <w:rPr>
          <w:rStyle w:val="awspan"/>
        </w:rPr>
        <w:t>označenie</w:t>
      </w:r>
      <w:r w:rsidRPr="00423C33">
        <w:rPr>
          <w:rStyle w:val="awspan"/>
          <w:spacing w:val="45"/>
        </w:rPr>
        <w:t xml:space="preserve"> </w:t>
      </w:r>
      <w:r w:rsidRPr="00423C33">
        <w:rPr>
          <w:rStyle w:val="awspan"/>
        </w:rPr>
        <w:t>relevantného rozhodnutia a stručne jeho výrok alebo relevantné právne vety)</w:t>
      </w:r>
    </w:p>
    <w:p w14:paraId="27189CB5" w14:textId="77777777" w:rsidR="00E1738D" w:rsidRPr="00423C33" w:rsidRDefault="00E1738D" w:rsidP="00E1738D">
      <w:pPr>
        <w:pStyle w:val="Normlnywebov"/>
        <w:spacing w:before="0" w:beforeAutospacing="0" w:after="0" w:afterAutospacing="0"/>
        <w:jc w:val="both"/>
        <w:rPr>
          <w:shd w:val="clear" w:color="auto" w:fill="FFFFFF"/>
        </w:rPr>
      </w:pPr>
    </w:p>
    <w:p w14:paraId="76408A8A" w14:textId="77777777" w:rsidR="00E1738D" w:rsidRPr="00423C33" w:rsidRDefault="00E1738D" w:rsidP="00E1738D">
      <w:pPr>
        <w:pStyle w:val="Normlnywebov"/>
        <w:spacing w:before="0" w:beforeAutospacing="0" w:after="0" w:afterAutospacing="0"/>
        <w:ind w:firstLine="708"/>
        <w:jc w:val="both"/>
      </w:pPr>
      <w:r w:rsidRPr="00423C33">
        <w:rPr>
          <w:shd w:val="clear" w:color="auto" w:fill="FFFFFF"/>
        </w:rPr>
        <w:t>- bezpredmetné</w:t>
      </w:r>
    </w:p>
    <w:p w14:paraId="250FD894" w14:textId="77777777" w:rsidR="00E1738D" w:rsidRPr="00423C33" w:rsidRDefault="00E1738D" w:rsidP="00E1738D">
      <w:pPr>
        <w:pStyle w:val="Normlnywebov"/>
        <w:spacing w:before="0" w:beforeAutospacing="0" w:after="0" w:afterAutospacing="0"/>
        <w:jc w:val="both"/>
      </w:pPr>
    </w:p>
    <w:p w14:paraId="6BF476C3" w14:textId="77777777" w:rsidR="00E1738D" w:rsidRPr="00423C33" w:rsidRDefault="00E1738D" w:rsidP="00E1738D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</w:pPr>
      <w:r w:rsidRPr="00423C33">
        <w:rPr>
          <w:b/>
          <w:bCs/>
        </w:rPr>
        <w:t xml:space="preserve">Záväzky Slovenskej republiky vo vzťahu k Európskej únii: </w:t>
      </w:r>
    </w:p>
    <w:p w14:paraId="1C7CFE3E" w14:textId="77777777" w:rsidR="00E1738D" w:rsidRPr="00423C33" w:rsidRDefault="00E1738D" w:rsidP="00E173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325D7B" w14:textId="77777777" w:rsidR="00E1738D" w:rsidRPr="00423C33" w:rsidRDefault="00E1738D" w:rsidP="00E1738D">
      <w:pPr>
        <w:pStyle w:val="Normlnywebov"/>
        <w:numPr>
          <w:ilvl w:val="0"/>
          <w:numId w:val="33"/>
        </w:numPr>
        <w:spacing w:before="0" w:beforeAutospacing="0" w:after="0" w:afterAutospacing="0"/>
        <w:jc w:val="both"/>
      </w:pPr>
      <w:r w:rsidRPr="00423C33">
        <w:t>uviesť</w:t>
      </w:r>
      <w:r w:rsidRPr="00423C33">
        <w:rPr>
          <w:spacing w:val="6"/>
        </w:rPr>
        <w:t xml:space="preserve"> </w:t>
      </w:r>
      <w:r w:rsidRPr="00423C33">
        <w:t>lehotu</w:t>
      </w:r>
      <w:r w:rsidRPr="00423C33">
        <w:rPr>
          <w:spacing w:val="6"/>
        </w:rPr>
        <w:t xml:space="preserve"> </w:t>
      </w:r>
      <w:r w:rsidRPr="00423C33">
        <w:t>na</w:t>
      </w:r>
      <w:r w:rsidRPr="00423C33">
        <w:rPr>
          <w:spacing w:val="6"/>
        </w:rPr>
        <w:t xml:space="preserve"> </w:t>
      </w:r>
      <w:r w:rsidRPr="00423C33">
        <w:t>prebranie</w:t>
      </w:r>
      <w:r w:rsidRPr="00423C33">
        <w:rPr>
          <w:spacing w:val="6"/>
        </w:rPr>
        <w:t xml:space="preserve"> </w:t>
      </w:r>
      <w:r w:rsidRPr="00423C33">
        <w:t>príslušného</w:t>
      </w:r>
      <w:r w:rsidRPr="00423C33">
        <w:rPr>
          <w:spacing w:val="6"/>
        </w:rPr>
        <w:t xml:space="preserve"> </w:t>
      </w:r>
      <w:r w:rsidRPr="00423C33">
        <w:t>právneho</w:t>
      </w:r>
      <w:r w:rsidRPr="00423C33">
        <w:rPr>
          <w:spacing w:val="6"/>
        </w:rPr>
        <w:t xml:space="preserve"> </w:t>
      </w:r>
      <w:r w:rsidRPr="00423C33">
        <w:t>aktu</w:t>
      </w:r>
      <w:r w:rsidRPr="00423C33">
        <w:rPr>
          <w:spacing w:val="6"/>
        </w:rPr>
        <w:t xml:space="preserve"> </w:t>
      </w:r>
      <w:r w:rsidRPr="00423C33">
        <w:t>Európskej</w:t>
      </w:r>
      <w:r w:rsidRPr="00423C33">
        <w:rPr>
          <w:spacing w:val="6"/>
        </w:rPr>
        <w:t xml:space="preserve"> </w:t>
      </w:r>
      <w:r w:rsidRPr="00423C33">
        <w:t>únie,</w:t>
      </w:r>
      <w:r w:rsidRPr="00423C33">
        <w:rPr>
          <w:spacing w:val="6"/>
        </w:rPr>
        <w:t xml:space="preserve"> </w:t>
      </w:r>
      <w:r w:rsidRPr="00423C33">
        <w:t>príp.</w:t>
      </w:r>
      <w:r w:rsidRPr="00423C33">
        <w:rPr>
          <w:spacing w:val="6"/>
        </w:rPr>
        <w:t xml:space="preserve"> </w:t>
      </w:r>
      <w:r w:rsidRPr="00423C33">
        <w:t>aj</w:t>
      </w:r>
      <w:r w:rsidRPr="00423C33">
        <w:rPr>
          <w:spacing w:val="6"/>
        </w:rPr>
        <w:t xml:space="preserve"> </w:t>
      </w:r>
      <w:r w:rsidRPr="00423C33">
        <w:t>osobitná lehota účinnosti jeho ustanovení,</w:t>
      </w:r>
    </w:p>
    <w:p w14:paraId="6138D9B3" w14:textId="77777777" w:rsidR="00E1738D" w:rsidRPr="00423C33" w:rsidRDefault="00E1738D" w:rsidP="00E173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0493B3" w14:textId="77777777" w:rsidR="00E1738D" w:rsidRPr="00423C33" w:rsidRDefault="00E1738D" w:rsidP="00E1738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423C33">
        <w:rPr>
          <w:rFonts w:ascii="Times New Roman" w:eastAsia="Times New Roman" w:hAnsi="Times New Roman"/>
          <w:sz w:val="24"/>
          <w:szCs w:val="24"/>
        </w:rPr>
        <w:t>- bezpredmetné</w:t>
      </w:r>
    </w:p>
    <w:p w14:paraId="13A32B8C" w14:textId="77777777" w:rsidR="00E1738D" w:rsidRPr="00423C33" w:rsidRDefault="00E1738D" w:rsidP="00E1738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75CA5473" w14:textId="77777777" w:rsidR="00E1738D" w:rsidRPr="00423C33" w:rsidRDefault="00E1738D" w:rsidP="00E1738D">
      <w:pPr>
        <w:pStyle w:val="Normlnywebov"/>
        <w:numPr>
          <w:ilvl w:val="0"/>
          <w:numId w:val="33"/>
        </w:numPr>
        <w:spacing w:before="0" w:beforeAutospacing="0" w:after="0" w:afterAutospacing="0"/>
        <w:jc w:val="both"/>
      </w:pPr>
      <w:r w:rsidRPr="00423C33">
        <w:t>uviesť</w:t>
      </w:r>
      <w:r w:rsidRPr="00423C33">
        <w:rPr>
          <w:spacing w:val="77"/>
        </w:rPr>
        <w:t xml:space="preserve"> </w:t>
      </w:r>
      <w:r w:rsidRPr="00423C33">
        <w:t>informáciu</w:t>
      </w:r>
      <w:r w:rsidRPr="00423C33">
        <w:rPr>
          <w:spacing w:val="77"/>
        </w:rPr>
        <w:t xml:space="preserve"> </w:t>
      </w:r>
      <w:r w:rsidRPr="00423C33">
        <w:t>o</w:t>
      </w:r>
      <w:r w:rsidRPr="00423C33">
        <w:rPr>
          <w:spacing w:val="77"/>
        </w:rPr>
        <w:t xml:space="preserve"> </w:t>
      </w:r>
      <w:r w:rsidRPr="00423C33">
        <w:t>začatí</w:t>
      </w:r>
      <w:r w:rsidRPr="00423C33">
        <w:rPr>
          <w:spacing w:val="77"/>
        </w:rPr>
        <w:t xml:space="preserve"> </w:t>
      </w:r>
      <w:r w:rsidRPr="00423C33">
        <w:t>konania</w:t>
      </w:r>
      <w:r w:rsidRPr="00423C33">
        <w:rPr>
          <w:spacing w:val="77"/>
        </w:rPr>
        <w:t xml:space="preserve"> </w:t>
      </w:r>
      <w:r w:rsidRPr="00423C33">
        <w:t>v</w:t>
      </w:r>
      <w:r w:rsidRPr="00423C33">
        <w:rPr>
          <w:spacing w:val="77"/>
        </w:rPr>
        <w:t xml:space="preserve"> </w:t>
      </w:r>
      <w:r w:rsidRPr="00423C33">
        <w:t>rámci</w:t>
      </w:r>
      <w:r w:rsidRPr="00423C33">
        <w:rPr>
          <w:spacing w:val="77"/>
        </w:rPr>
        <w:t xml:space="preserve"> </w:t>
      </w:r>
      <w:r w:rsidRPr="00423C33">
        <w:t>„EÚ</w:t>
      </w:r>
      <w:r w:rsidRPr="00423C33">
        <w:rPr>
          <w:spacing w:val="77"/>
        </w:rPr>
        <w:t xml:space="preserve"> </w:t>
      </w:r>
      <w:r w:rsidRPr="00423C33">
        <w:t>Pilot“</w:t>
      </w:r>
      <w:r w:rsidRPr="00423C33">
        <w:rPr>
          <w:spacing w:val="77"/>
        </w:rPr>
        <w:t xml:space="preserve"> </w:t>
      </w:r>
      <w:r w:rsidRPr="00423C33">
        <w:t>alebo</w:t>
      </w:r>
      <w:r w:rsidRPr="00423C33">
        <w:rPr>
          <w:spacing w:val="77"/>
        </w:rPr>
        <w:t xml:space="preserve"> </w:t>
      </w:r>
      <w:r w:rsidRPr="00423C33">
        <w:t>o</w:t>
      </w:r>
      <w:r w:rsidRPr="00423C33">
        <w:rPr>
          <w:spacing w:val="77"/>
        </w:rPr>
        <w:t xml:space="preserve"> </w:t>
      </w:r>
      <w:r w:rsidRPr="00423C33">
        <w:t>začatí</w:t>
      </w:r>
      <w:r w:rsidRPr="00423C33">
        <w:rPr>
          <w:spacing w:val="77"/>
        </w:rPr>
        <w:t xml:space="preserve"> </w:t>
      </w:r>
      <w:r w:rsidRPr="00423C33">
        <w:t>postupu Európskej</w:t>
      </w:r>
      <w:r w:rsidRPr="00423C33">
        <w:rPr>
          <w:spacing w:val="40"/>
        </w:rPr>
        <w:t xml:space="preserve"> </w:t>
      </w:r>
      <w:r w:rsidRPr="00423C33">
        <w:t>komisie,</w:t>
      </w:r>
      <w:r w:rsidRPr="00423C33">
        <w:rPr>
          <w:spacing w:val="40"/>
        </w:rPr>
        <w:t xml:space="preserve"> </w:t>
      </w:r>
      <w:r w:rsidRPr="00423C33">
        <w:t>alebo</w:t>
      </w:r>
      <w:r w:rsidRPr="00423C33">
        <w:rPr>
          <w:spacing w:val="40"/>
        </w:rPr>
        <w:t xml:space="preserve"> </w:t>
      </w:r>
      <w:r w:rsidRPr="00423C33">
        <w:t>o</w:t>
      </w:r>
      <w:r w:rsidRPr="00423C33">
        <w:rPr>
          <w:spacing w:val="40"/>
        </w:rPr>
        <w:t xml:space="preserve"> </w:t>
      </w:r>
      <w:r w:rsidRPr="00423C33">
        <w:t>konaní</w:t>
      </w:r>
      <w:r w:rsidRPr="00423C33">
        <w:rPr>
          <w:spacing w:val="40"/>
        </w:rPr>
        <w:t xml:space="preserve"> </w:t>
      </w:r>
      <w:r w:rsidRPr="00423C33">
        <w:t>Súdneho</w:t>
      </w:r>
      <w:r w:rsidRPr="00423C33">
        <w:rPr>
          <w:spacing w:val="40"/>
        </w:rPr>
        <w:t xml:space="preserve"> </w:t>
      </w:r>
      <w:r w:rsidRPr="00423C33">
        <w:t>dvora</w:t>
      </w:r>
      <w:r w:rsidRPr="00423C33">
        <w:rPr>
          <w:spacing w:val="40"/>
        </w:rPr>
        <w:t xml:space="preserve"> </w:t>
      </w:r>
      <w:r w:rsidRPr="00423C33">
        <w:t>Európskej</w:t>
      </w:r>
      <w:r w:rsidRPr="00423C33">
        <w:rPr>
          <w:spacing w:val="40"/>
        </w:rPr>
        <w:t xml:space="preserve"> </w:t>
      </w:r>
      <w:r w:rsidRPr="00423C33">
        <w:t>únie</w:t>
      </w:r>
      <w:r w:rsidRPr="00423C33">
        <w:rPr>
          <w:spacing w:val="40"/>
        </w:rPr>
        <w:t xml:space="preserve"> </w:t>
      </w:r>
      <w:r w:rsidRPr="00423C33">
        <w:t>proti</w:t>
      </w:r>
      <w:r w:rsidRPr="00423C33">
        <w:rPr>
          <w:spacing w:val="40"/>
        </w:rPr>
        <w:t xml:space="preserve"> </w:t>
      </w:r>
      <w:r w:rsidRPr="00423C33">
        <w:t>Slovenskej republike</w:t>
      </w:r>
      <w:r w:rsidRPr="00423C33">
        <w:rPr>
          <w:spacing w:val="2"/>
        </w:rPr>
        <w:t xml:space="preserve"> </w:t>
      </w:r>
      <w:r w:rsidRPr="00423C33">
        <w:t>podľa</w:t>
      </w:r>
      <w:r w:rsidRPr="00423C33">
        <w:rPr>
          <w:spacing w:val="2"/>
        </w:rPr>
        <w:t xml:space="preserve"> </w:t>
      </w:r>
      <w:r w:rsidRPr="00423C33">
        <w:t>čl.</w:t>
      </w:r>
      <w:r w:rsidRPr="00423C33">
        <w:rPr>
          <w:spacing w:val="2"/>
        </w:rPr>
        <w:t xml:space="preserve"> </w:t>
      </w:r>
      <w:r w:rsidRPr="00423C33">
        <w:t>258</w:t>
      </w:r>
      <w:r w:rsidRPr="00423C33">
        <w:rPr>
          <w:spacing w:val="2"/>
        </w:rPr>
        <w:t xml:space="preserve"> </w:t>
      </w:r>
      <w:r w:rsidRPr="00423C33">
        <w:t>a</w:t>
      </w:r>
      <w:r w:rsidRPr="00423C33">
        <w:rPr>
          <w:spacing w:val="2"/>
        </w:rPr>
        <w:t xml:space="preserve"> </w:t>
      </w:r>
      <w:r w:rsidRPr="00423C33">
        <w:t>260</w:t>
      </w:r>
      <w:r w:rsidRPr="00423C33">
        <w:rPr>
          <w:spacing w:val="2"/>
        </w:rPr>
        <w:t xml:space="preserve"> </w:t>
      </w:r>
      <w:r w:rsidRPr="00423C33">
        <w:t>Zmluvy</w:t>
      </w:r>
      <w:r w:rsidRPr="00423C33">
        <w:rPr>
          <w:spacing w:val="2"/>
        </w:rPr>
        <w:t xml:space="preserve"> </w:t>
      </w:r>
      <w:r w:rsidRPr="00423C33">
        <w:t>o</w:t>
      </w:r>
      <w:r w:rsidRPr="00423C33">
        <w:rPr>
          <w:spacing w:val="2"/>
        </w:rPr>
        <w:t xml:space="preserve"> </w:t>
      </w:r>
      <w:r w:rsidRPr="00423C33">
        <w:t>fungovaní</w:t>
      </w:r>
      <w:r w:rsidRPr="00423C33">
        <w:rPr>
          <w:spacing w:val="2"/>
        </w:rPr>
        <w:t xml:space="preserve"> </w:t>
      </w:r>
      <w:r w:rsidRPr="00423C33">
        <w:t>Európskej</w:t>
      </w:r>
      <w:r w:rsidRPr="00423C33">
        <w:rPr>
          <w:spacing w:val="2"/>
        </w:rPr>
        <w:t xml:space="preserve"> </w:t>
      </w:r>
      <w:r w:rsidRPr="00423C33">
        <w:t>únie</w:t>
      </w:r>
      <w:r w:rsidRPr="00423C33">
        <w:rPr>
          <w:spacing w:val="2"/>
        </w:rPr>
        <w:t xml:space="preserve"> </w:t>
      </w:r>
      <w:r w:rsidRPr="00423C33">
        <w:t>v</w:t>
      </w:r>
      <w:r w:rsidRPr="00423C33">
        <w:rPr>
          <w:spacing w:val="2"/>
        </w:rPr>
        <w:t xml:space="preserve"> </w:t>
      </w:r>
      <w:r w:rsidRPr="00423C33">
        <w:t>jej</w:t>
      </w:r>
      <w:r w:rsidRPr="00423C33">
        <w:rPr>
          <w:spacing w:val="2"/>
        </w:rPr>
        <w:t xml:space="preserve"> </w:t>
      </w:r>
      <w:r w:rsidRPr="00423C33">
        <w:t>platnom</w:t>
      </w:r>
      <w:r w:rsidRPr="00423C33">
        <w:rPr>
          <w:spacing w:val="2"/>
        </w:rPr>
        <w:t xml:space="preserve"> </w:t>
      </w:r>
      <w:r w:rsidRPr="00423C33">
        <w:t>znení, spolu</w:t>
      </w:r>
      <w:r w:rsidRPr="00423C33">
        <w:rPr>
          <w:spacing w:val="1"/>
        </w:rPr>
        <w:t xml:space="preserve"> </w:t>
      </w:r>
      <w:r w:rsidRPr="00423C33">
        <w:t>s</w:t>
      </w:r>
      <w:r w:rsidRPr="00423C33">
        <w:rPr>
          <w:spacing w:val="1"/>
        </w:rPr>
        <w:t xml:space="preserve"> </w:t>
      </w:r>
      <w:r w:rsidRPr="00423C33">
        <w:t>uvedením</w:t>
      </w:r>
      <w:r w:rsidRPr="00423C33">
        <w:rPr>
          <w:spacing w:val="1"/>
        </w:rPr>
        <w:t xml:space="preserve"> </w:t>
      </w:r>
      <w:r w:rsidRPr="00423C33">
        <w:t>konkrétnych</w:t>
      </w:r>
      <w:r w:rsidRPr="00423C33">
        <w:rPr>
          <w:spacing w:val="1"/>
        </w:rPr>
        <w:t xml:space="preserve"> </w:t>
      </w:r>
      <w:r w:rsidRPr="00423C33">
        <w:t>vytýkaných</w:t>
      </w:r>
      <w:r w:rsidRPr="00423C33">
        <w:rPr>
          <w:spacing w:val="1"/>
        </w:rPr>
        <w:t xml:space="preserve"> </w:t>
      </w:r>
      <w:r w:rsidRPr="00423C33">
        <w:t>nedostatkov</w:t>
      </w:r>
      <w:r w:rsidRPr="00423C33">
        <w:rPr>
          <w:spacing w:val="1"/>
        </w:rPr>
        <w:t xml:space="preserve"> </w:t>
      </w:r>
      <w:r w:rsidRPr="00423C33">
        <w:t>a</w:t>
      </w:r>
      <w:r w:rsidRPr="00423C33">
        <w:rPr>
          <w:spacing w:val="1"/>
        </w:rPr>
        <w:t xml:space="preserve"> </w:t>
      </w:r>
      <w:r w:rsidRPr="00423C33">
        <w:t>požiadaviek</w:t>
      </w:r>
      <w:r w:rsidRPr="00423C33">
        <w:rPr>
          <w:spacing w:val="1"/>
        </w:rPr>
        <w:t xml:space="preserve"> </w:t>
      </w:r>
      <w:r w:rsidRPr="00423C33">
        <w:t>na</w:t>
      </w:r>
      <w:r w:rsidRPr="00423C33">
        <w:rPr>
          <w:spacing w:val="1"/>
        </w:rPr>
        <w:t xml:space="preserve"> </w:t>
      </w:r>
      <w:r w:rsidRPr="00423C33">
        <w:t>zabezpečenie nápravy,</w:t>
      </w:r>
    </w:p>
    <w:p w14:paraId="6E16C1A0" w14:textId="77777777" w:rsidR="00E1738D" w:rsidRPr="00423C33" w:rsidRDefault="00E1738D" w:rsidP="00E173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0F0F15" w14:textId="77777777" w:rsidR="00E1738D" w:rsidRPr="00423C33" w:rsidRDefault="00E1738D" w:rsidP="00E1738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423C33">
        <w:rPr>
          <w:rFonts w:ascii="Times New Roman" w:eastAsia="Times New Roman" w:hAnsi="Times New Roman"/>
          <w:sz w:val="24"/>
          <w:szCs w:val="24"/>
        </w:rPr>
        <w:t>- bezpredmetné</w:t>
      </w:r>
    </w:p>
    <w:p w14:paraId="2EC2917D" w14:textId="77777777" w:rsidR="00E1738D" w:rsidRPr="00423C33" w:rsidRDefault="00E1738D" w:rsidP="00E1738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795441CC" w14:textId="77777777" w:rsidR="00E1738D" w:rsidRPr="00423C33" w:rsidRDefault="00E1738D" w:rsidP="00E1738D">
      <w:pPr>
        <w:pStyle w:val="Normlnywebov"/>
        <w:numPr>
          <w:ilvl w:val="0"/>
          <w:numId w:val="33"/>
        </w:numPr>
        <w:spacing w:before="0" w:beforeAutospacing="0" w:after="0" w:afterAutospacing="0"/>
        <w:jc w:val="both"/>
      </w:pPr>
      <w:r w:rsidRPr="00423C33">
        <w:t>uviesť</w:t>
      </w:r>
      <w:r w:rsidRPr="00423C33">
        <w:rPr>
          <w:spacing w:val="94"/>
        </w:rPr>
        <w:t xml:space="preserve"> </w:t>
      </w:r>
      <w:r w:rsidRPr="00423C33">
        <w:t>informáciu</w:t>
      </w:r>
      <w:r w:rsidRPr="00423C33">
        <w:rPr>
          <w:spacing w:val="94"/>
        </w:rPr>
        <w:t xml:space="preserve"> </w:t>
      </w:r>
      <w:r w:rsidRPr="00423C33">
        <w:t>o</w:t>
      </w:r>
      <w:r w:rsidRPr="00423C33">
        <w:rPr>
          <w:spacing w:val="94"/>
        </w:rPr>
        <w:t xml:space="preserve"> </w:t>
      </w:r>
      <w:r w:rsidRPr="00423C33">
        <w:t>právnych</w:t>
      </w:r>
      <w:r w:rsidRPr="00423C33">
        <w:rPr>
          <w:spacing w:val="94"/>
        </w:rPr>
        <w:t xml:space="preserve"> </w:t>
      </w:r>
      <w:r w:rsidRPr="00423C33">
        <w:t>predpisoch,</w:t>
      </w:r>
      <w:r w:rsidRPr="00423C33">
        <w:rPr>
          <w:spacing w:val="94"/>
        </w:rPr>
        <w:t xml:space="preserve"> </w:t>
      </w:r>
      <w:r w:rsidRPr="00423C33">
        <w:t>v</w:t>
      </w:r>
      <w:r w:rsidRPr="00423C33">
        <w:rPr>
          <w:spacing w:val="94"/>
        </w:rPr>
        <w:t xml:space="preserve"> </w:t>
      </w:r>
      <w:r w:rsidRPr="00423C33">
        <w:t>ktorých</w:t>
      </w:r>
      <w:r w:rsidRPr="00423C33">
        <w:rPr>
          <w:spacing w:val="94"/>
        </w:rPr>
        <w:t xml:space="preserve"> </w:t>
      </w:r>
      <w:r w:rsidRPr="00423C33">
        <w:t>sú</w:t>
      </w:r>
      <w:r w:rsidRPr="00423C33">
        <w:rPr>
          <w:spacing w:val="94"/>
        </w:rPr>
        <w:t xml:space="preserve"> </w:t>
      </w:r>
      <w:r w:rsidRPr="00423C33">
        <w:t>uvádzané</w:t>
      </w:r>
      <w:r w:rsidRPr="00423C33">
        <w:rPr>
          <w:spacing w:val="94"/>
        </w:rPr>
        <w:t xml:space="preserve"> </w:t>
      </w:r>
      <w:r w:rsidRPr="00423C33">
        <w:t>právne</w:t>
      </w:r>
      <w:r w:rsidRPr="00423C33">
        <w:rPr>
          <w:spacing w:val="94"/>
        </w:rPr>
        <w:t xml:space="preserve"> </w:t>
      </w:r>
      <w:r w:rsidRPr="00423C33">
        <w:t>akty Európskej</w:t>
      </w:r>
      <w:r w:rsidRPr="00423C33">
        <w:rPr>
          <w:spacing w:val="40"/>
        </w:rPr>
        <w:t xml:space="preserve"> </w:t>
      </w:r>
      <w:r w:rsidRPr="00423C33">
        <w:t>únie</w:t>
      </w:r>
      <w:r w:rsidRPr="00423C33">
        <w:rPr>
          <w:spacing w:val="40"/>
        </w:rPr>
        <w:t xml:space="preserve"> </w:t>
      </w:r>
      <w:r w:rsidRPr="00423C33">
        <w:t>už</w:t>
      </w:r>
      <w:r w:rsidRPr="00423C33">
        <w:rPr>
          <w:spacing w:val="40"/>
        </w:rPr>
        <w:t xml:space="preserve"> </w:t>
      </w:r>
      <w:r w:rsidRPr="00423C33">
        <w:t>prebrané,</w:t>
      </w:r>
      <w:r w:rsidRPr="00423C33">
        <w:rPr>
          <w:spacing w:val="40"/>
        </w:rPr>
        <w:t xml:space="preserve"> </w:t>
      </w:r>
      <w:r w:rsidRPr="00423C33">
        <w:t>spolu</w:t>
      </w:r>
      <w:r w:rsidRPr="00423C33">
        <w:rPr>
          <w:spacing w:val="40"/>
        </w:rPr>
        <w:t xml:space="preserve"> </w:t>
      </w:r>
      <w:r w:rsidRPr="00423C33">
        <w:t>s</w:t>
      </w:r>
      <w:r w:rsidRPr="00423C33">
        <w:rPr>
          <w:spacing w:val="40"/>
        </w:rPr>
        <w:t xml:space="preserve"> </w:t>
      </w:r>
      <w:r w:rsidRPr="00423C33">
        <w:t>uvedením</w:t>
      </w:r>
      <w:r w:rsidRPr="00423C33">
        <w:rPr>
          <w:spacing w:val="40"/>
        </w:rPr>
        <w:t xml:space="preserve"> </w:t>
      </w:r>
      <w:r w:rsidRPr="00423C33">
        <w:t>rozsahu</w:t>
      </w:r>
      <w:r w:rsidRPr="00423C33">
        <w:rPr>
          <w:spacing w:val="40"/>
        </w:rPr>
        <w:t xml:space="preserve"> </w:t>
      </w:r>
      <w:r w:rsidRPr="00423C33">
        <w:t>ich</w:t>
      </w:r>
      <w:r w:rsidRPr="00423C33">
        <w:rPr>
          <w:spacing w:val="40"/>
        </w:rPr>
        <w:t xml:space="preserve"> </w:t>
      </w:r>
      <w:r w:rsidRPr="00423C33">
        <w:t>prebrania,</w:t>
      </w:r>
      <w:r w:rsidRPr="00423C33">
        <w:rPr>
          <w:spacing w:val="40"/>
        </w:rPr>
        <w:t xml:space="preserve"> </w:t>
      </w:r>
      <w:r w:rsidRPr="00423C33">
        <w:t>príp.</w:t>
      </w:r>
      <w:r w:rsidRPr="00423C33">
        <w:rPr>
          <w:spacing w:val="40"/>
        </w:rPr>
        <w:t xml:space="preserve"> </w:t>
      </w:r>
      <w:r w:rsidRPr="00423C33">
        <w:t>potreby prijatia ďalších úprav.</w:t>
      </w:r>
    </w:p>
    <w:p w14:paraId="306D23B3" w14:textId="77777777" w:rsidR="00E1738D" w:rsidRPr="00423C33" w:rsidRDefault="00E1738D" w:rsidP="00E173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FF55C7" w14:textId="77777777" w:rsidR="00E1738D" w:rsidRPr="00423C33" w:rsidRDefault="00E1738D" w:rsidP="00E1738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423C33">
        <w:rPr>
          <w:rFonts w:ascii="Times New Roman" w:eastAsia="Times New Roman" w:hAnsi="Times New Roman"/>
          <w:sz w:val="24"/>
          <w:szCs w:val="24"/>
        </w:rPr>
        <w:t>- bezpredmetné</w:t>
      </w:r>
    </w:p>
    <w:p w14:paraId="0F8AA5A3" w14:textId="77777777" w:rsidR="00E1738D" w:rsidRPr="00423C33" w:rsidRDefault="00E1738D" w:rsidP="00E173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0118BC" w14:textId="77777777" w:rsidR="00E1738D" w:rsidRPr="00423C33" w:rsidRDefault="00E1738D" w:rsidP="00E1738D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</w:pPr>
      <w:r w:rsidRPr="00423C33">
        <w:rPr>
          <w:b/>
          <w:bCs/>
        </w:rPr>
        <w:t>Návrh zákona je zlučiteľný s právom Európskej únie</w:t>
      </w:r>
    </w:p>
    <w:p w14:paraId="261EB8D1" w14:textId="77777777" w:rsidR="00E1738D" w:rsidRPr="00423C33" w:rsidRDefault="00E1738D" w:rsidP="00E173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A4FF93" w14:textId="77777777" w:rsidR="00E1738D" w:rsidRPr="00423C33" w:rsidRDefault="00E1738D" w:rsidP="00E17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C33">
        <w:rPr>
          <w:rFonts w:ascii="Times New Roman" w:eastAsia="Times New Roman" w:hAnsi="Times New Roman"/>
          <w:sz w:val="24"/>
          <w:szCs w:val="24"/>
        </w:rPr>
        <w:t xml:space="preserve">Stupeň zlučiteľnosti - úplný </w:t>
      </w:r>
    </w:p>
    <w:p w14:paraId="5ECA6B9A" w14:textId="113746F0" w:rsidR="002062D5" w:rsidRPr="00423C33" w:rsidRDefault="002062D5" w:rsidP="00E1738D"/>
    <w:sectPr w:rsidR="002062D5" w:rsidRPr="0042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33F"/>
    <w:multiLevelType w:val="hybridMultilevel"/>
    <w:tmpl w:val="A530C718"/>
    <w:lvl w:ilvl="0" w:tplc="D2BAA19E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62C29"/>
    <w:multiLevelType w:val="hybridMultilevel"/>
    <w:tmpl w:val="DAF8E8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5136"/>
    <w:multiLevelType w:val="hybridMultilevel"/>
    <w:tmpl w:val="986267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0D39"/>
    <w:multiLevelType w:val="hybridMultilevel"/>
    <w:tmpl w:val="F9F857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7FDC"/>
    <w:multiLevelType w:val="hybridMultilevel"/>
    <w:tmpl w:val="ED429E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0619"/>
    <w:multiLevelType w:val="hybridMultilevel"/>
    <w:tmpl w:val="D5584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6F76"/>
    <w:multiLevelType w:val="hybridMultilevel"/>
    <w:tmpl w:val="386010FE"/>
    <w:lvl w:ilvl="0" w:tplc="5F7A3A6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321F49"/>
    <w:multiLevelType w:val="hybridMultilevel"/>
    <w:tmpl w:val="91A294B2"/>
    <w:lvl w:ilvl="0" w:tplc="B0844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5851FF"/>
    <w:multiLevelType w:val="hybridMultilevel"/>
    <w:tmpl w:val="C6FE8916"/>
    <w:lvl w:ilvl="0" w:tplc="2A127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1E46"/>
    <w:multiLevelType w:val="hybridMultilevel"/>
    <w:tmpl w:val="91A294B2"/>
    <w:lvl w:ilvl="0" w:tplc="B0844A6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7B2F94"/>
    <w:multiLevelType w:val="hybridMultilevel"/>
    <w:tmpl w:val="F64EB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7411B"/>
    <w:multiLevelType w:val="hybridMultilevel"/>
    <w:tmpl w:val="1A127E3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633537"/>
    <w:multiLevelType w:val="hybridMultilevel"/>
    <w:tmpl w:val="662866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B61FA"/>
    <w:multiLevelType w:val="hybridMultilevel"/>
    <w:tmpl w:val="3648F8B4"/>
    <w:lvl w:ilvl="0" w:tplc="FFFFFFFF">
      <w:start w:val="1"/>
      <w:numFmt w:val="upperRoman"/>
      <w:lvlText w:val="%1."/>
      <w:lvlJc w:val="right"/>
      <w:pPr>
        <w:ind w:left="720" w:hanging="180"/>
      </w:pPr>
    </w:lvl>
    <w:lvl w:ilvl="1" w:tplc="041B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B37878D4">
      <w:start w:val="6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F1C76"/>
    <w:multiLevelType w:val="hybridMultilevel"/>
    <w:tmpl w:val="C8AACB2E"/>
    <w:lvl w:ilvl="0" w:tplc="8D38460C">
      <w:start w:val="1"/>
      <w:numFmt w:val="lowerLetter"/>
      <w:lvlText w:val="%1)"/>
      <w:lvlJc w:val="left"/>
      <w:pPr>
        <w:ind w:left="720" w:hanging="360"/>
      </w:pPr>
      <w:rPr>
        <w:rFonts w:ascii="&amp;quot" w:hAnsi="&amp;quot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C0FD8"/>
    <w:multiLevelType w:val="hybridMultilevel"/>
    <w:tmpl w:val="24E6DA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D0A66"/>
    <w:multiLevelType w:val="hybridMultilevel"/>
    <w:tmpl w:val="C8AACB2E"/>
    <w:lvl w:ilvl="0" w:tplc="8D38460C">
      <w:start w:val="1"/>
      <w:numFmt w:val="lowerLetter"/>
      <w:lvlText w:val="%1)"/>
      <w:lvlJc w:val="left"/>
      <w:pPr>
        <w:ind w:left="720" w:hanging="360"/>
      </w:pPr>
      <w:rPr>
        <w:rFonts w:ascii="&amp;quot" w:hAnsi="&amp;quot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352A8"/>
    <w:multiLevelType w:val="hybridMultilevel"/>
    <w:tmpl w:val="979475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3443F"/>
    <w:multiLevelType w:val="hybridMultilevel"/>
    <w:tmpl w:val="A95E0478"/>
    <w:lvl w:ilvl="0" w:tplc="49468FF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0A2337"/>
    <w:multiLevelType w:val="hybridMultilevel"/>
    <w:tmpl w:val="5276FBF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60C45EB"/>
    <w:multiLevelType w:val="hybridMultilevel"/>
    <w:tmpl w:val="91A294B2"/>
    <w:lvl w:ilvl="0" w:tplc="B0844A6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EA80CB7"/>
    <w:multiLevelType w:val="hybridMultilevel"/>
    <w:tmpl w:val="AF084F9E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2A127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3576C"/>
    <w:multiLevelType w:val="hybridMultilevel"/>
    <w:tmpl w:val="1174E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02D1E"/>
    <w:multiLevelType w:val="hybridMultilevel"/>
    <w:tmpl w:val="18F830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572B4"/>
    <w:multiLevelType w:val="hybridMultilevel"/>
    <w:tmpl w:val="0DE2F794"/>
    <w:lvl w:ilvl="0" w:tplc="BCB29F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3488E"/>
    <w:multiLevelType w:val="hybridMultilevel"/>
    <w:tmpl w:val="F3DCC920"/>
    <w:lvl w:ilvl="0" w:tplc="39B43E78">
      <w:start w:val="1"/>
      <w:numFmt w:val="upperLetter"/>
      <w:pStyle w:val="Nadpis2"/>
      <w:lvlText w:val="%1."/>
      <w:lvlJc w:val="left"/>
      <w:pPr>
        <w:ind w:left="9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 w15:restartNumberingAfterBreak="0">
    <w:nsid w:val="6D4C4E16"/>
    <w:multiLevelType w:val="hybridMultilevel"/>
    <w:tmpl w:val="BDE0CA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D2B8E"/>
    <w:multiLevelType w:val="hybridMultilevel"/>
    <w:tmpl w:val="DAF8E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81F45"/>
    <w:multiLevelType w:val="hybridMultilevel"/>
    <w:tmpl w:val="C47EAF1A"/>
    <w:lvl w:ilvl="0" w:tplc="2A127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37D3A"/>
    <w:multiLevelType w:val="hybridMultilevel"/>
    <w:tmpl w:val="C936B158"/>
    <w:lvl w:ilvl="0" w:tplc="A5AC3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B6FA3"/>
    <w:multiLevelType w:val="hybridMultilevel"/>
    <w:tmpl w:val="C6A0811C"/>
    <w:lvl w:ilvl="0" w:tplc="041B0015">
      <w:start w:val="2"/>
      <w:numFmt w:val="upperLetter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BDE54EF"/>
    <w:multiLevelType w:val="hybridMultilevel"/>
    <w:tmpl w:val="1F62455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13"/>
  </w:num>
  <w:num w:numId="10">
    <w:abstractNumId w:val="10"/>
  </w:num>
  <w:num w:numId="11">
    <w:abstractNumId w:val="23"/>
  </w:num>
  <w:num w:numId="12">
    <w:abstractNumId w:val="17"/>
  </w:num>
  <w:num w:numId="13">
    <w:abstractNumId w:val="15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29"/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</w:num>
  <w:num w:numId="22">
    <w:abstractNumId w:val="5"/>
  </w:num>
  <w:num w:numId="23">
    <w:abstractNumId w:val="28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85"/>
    <w:rsid w:val="00170E31"/>
    <w:rsid w:val="002062D5"/>
    <w:rsid w:val="00311F85"/>
    <w:rsid w:val="003D2C8B"/>
    <w:rsid w:val="00423C33"/>
    <w:rsid w:val="004916D3"/>
    <w:rsid w:val="004E7243"/>
    <w:rsid w:val="00601A30"/>
    <w:rsid w:val="00617075"/>
    <w:rsid w:val="00A30FD2"/>
    <w:rsid w:val="00A64B92"/>
    <w:rsid w:val="00C4797A"/>
    <w:rsid w:val="00CC13A4"/>
    <w:rsid w:val="00CE7223"/>
    <w:rsid w:val="00D27122"/>
    <w:rsid w:val="00E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F537"/>
  <w15:chartTrackingRefBased/>
  <w15:docId w15:val="{7E6396B0-94A0-4F73-B626-EAB744FF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F8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qFormat/>
    <w:rsid w:val="00C4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11F85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311F85"/>
    <w:rPr>
      <w:rFonts w:ascii="Calibri" w:eastAsia="MS Gothic" w:hAnsi="Calibri" w:cs="Times New Roman"/>
      <w:b/>
      <w:bCs/>
      <w:iCs/>
      <w:sz w:val="28"/>
      <w:szCs w:val="28"/>
      <w:lang w:val="x-none"/>
    </w:rPr>
  </w:style>
  <w:style w:type="paragraph" w:styleId="Normlnywebov">
    <w:name w:val="Normal (Web)"/>
    <w:aliases w:val="webb"/>
    <w:basedOn w:val="Normlny"/>
    <w:uiPriority w:val="99"/>
    <w:unhideWhenUsed/>
    <w:qFormat/>
    <w:rsid w:val="0031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311F85"/>
    <w:pPr>
      <w:spacing w:after="100"/>
      <w:ind w:left="220"/>
    </w:pPr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"/>
    <w:rsid w:val="00C47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4797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styleId="Odkaznakomentr">
    <w:name w:val="annotation reference"/>
    <w:uiPriority w:val="99"/>
    <w:rsid w:val="00C479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4797A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4797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qFormat/>
    <w:rsid w:val="00C4797A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97A"/>
    <w:rPr>
      <w:rFonts w:ascii="Segoe UI" w:eastAsia="Calibr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A64B92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A64B9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170E31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awspan">
    <w:name w:val="awspan"/>
    <w:rsid w:val="00E1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BBE2DE9A5E74E814FF3E5463BF0D6" ma:contentTypeVersion="11" ma:contentTypeDescription="Umožňuje vytvoriť nový dokument." ma:contentTypeScope="" ma:versionID="5ff8ed9e4be0cf85bf193d6ad1e3ac5a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903cdfee6cce99468fca16494d1e7b01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C2DD3-2BBA-40D5-86D6-E95446211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A582A1-D83B-43B3-8BBC-A9F69688C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81715-7B2F-4D79-9507-49ED98AEA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Marián</dc:creator>
  <cp:keywords/>
  <dc:description/>
  <cp:lastModifiedBy>Szakácsová Zuzana</cp:lastModifiedBy>
  <cp:revision>8</cp:revision>
  <dcterms:created xsi:type="dcterms:W3CDTF">2022-05-31T06:55:00Z</dcterms:created>
  <dcterms:modified xsi:type="dcterms:W3CDTF">2022-08-10T16:04:00Z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