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9BD7C" w14:textId="77777777" w:rsidR="00054C41" w:rsidRPr="00895898" w:rsidRDefault="00054C41" w:rsidP="00054C4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895898">
        <w:rPr>
          <w:rFonts w:ascii="Times New Roman" w:eastAsia="Calibri" w:hAnsi="Times New Roman" w:cs="Times New Roman"/>
          <w:b/>
          <w:sz w:val="28"/>
          <w:szCs w:val="28"/>
        </w:rPr>
        <w:t>Analýza vplyvov na podnikateľské prostredie</w:t>
      </w:r>
    </w:p>
    <w:p w14:paraId="52572BE4" w14:textId="77777777" w:rsidR="00054C41" w:rsidRPr="00895898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3BAEC1" w14:textId="77777777" w:rsidR="00054C41" w:rsidRPr="00C206CB" w:rsidRDefault="00054C41" w:rsidP="00054C4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>Názov materiálu:</w:t>
      </w:r>
      <w:r w:rsidR="00C206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206CB" w:rsidRPr="00C206CB">
        <w:rPr>
          <w:rFonts w:ascii="Times New Roman" w:eastAsia="Calibri" w:hAnsi="Times New Roman" w:cs="Times New Roman"/>
          <w:sz w:val="24"/>
          <w:szCs w:val="24"/>
        </w:rPr>
        <w:t>Nariadenie vlády Slovenskej republiky, ktorým sa vyhlasuje Národný park Muránska planina, jeho zóny a ochranné pásmo</w:t>
      </w:r>
    </w:p>
    <w:p w14:paraId="0DAC15A8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>Predkladateľ:</w:t>
      </w:r>
      <w:r w:rsidR="00C206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206CB" w:rsidRPr="00C206CB">
        <w:rPr>
          <w:rFonts w:ascii="Times New Roman" w:eastAsia="Calibri" w:hAnsi="Times New Roman" w:cs="Times New Roman"/>
          <w:sz w:val="24"/>
          <w:szCs w:val="24"/>
        </w:rPr>
        <w:t>Ministerstvo životného prostredia Slovenskej republiky</w:t>
      </w:r>
    </w:p>
    <w:p w14:paraId="1DC7851B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4A23B2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>3.1 Náklady regulácie</w:t>
      </w:r>
    </w:p>
    <w:p w14:paraId="594810B2" w14:textId="77777777" w:rsidR="00054C41" w:rsidRPr="001F1B43" w:rsidRDefault="00054C41" w:rsidP="00C21399">
      <w:pPr>
        <w:tabs>
          <w:tab w:val="left" w:pos="8025"/>
        </w:tabs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3.1.1 Súhrnná tabuľka nákladov regulácie </w:t>
      </w:r>
      <w:r w:rsidR="00C2139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ab/>
      </w:r>
    </w:p>
    <w:p w14:paraId="3CB55CDF" w14:textId="77777777" w:rsidR="00054C41" w:rsidRPr="001F1B43" w:rsidRDefault="00054C41" w:rsidP="00054C4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B8B98C" w14:textId="77777777" w:rsidR="00054C41" w:rsidRPr="00D8247C" w:rsidRDefault="00054C41" w:rsidP="00054C4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Tabuľka č. 1: Zmeny nákladov (ročne) v prepočte na podnikateľské prostredie (PP), vyhodnotenie mechanizmu znižovania byrokracie a nákladov. </w:t>
      </w:r>
    </w:p>
    <w:p w14:paraId="0DB2DDDE" w14:textId="77777777" w:rsidR="00054C41" w:rsidRPr="00D8247C" w:rsidRDefault="00054C41" w:rsidP="00054C4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Nahraďte rovnakou tabuľkou po vyplnení Kalkulačky nákladov </w:t>
      </w:r>
      <w:r w:rsidRPr="004524FF">
        <w:rPr>
          <w:rFonts w:ascii="Times New Roman" w:eastAsia="Calibri" w:hAnsi="Times New Roman" w:cs="Times New Roman"/>
          <w:i/>
          <w:sz w:val="24"/>
          <w:szCs w:val="24"/>
        </w:rPr>
        <w:t xml:space="preserve">podnikateľského prostredia, ktorá je povinnou prílohou tejto analýzy a nájdete ju na </w:t>
      </w:r>
      <w:hyperlink r:id="rId12" w:history="1">
        <w:r w:rsidRPr="004524FF">
          <w:rPr>
            <w:rFonts w:ascii="Times New Roman" w:eastAsia="Calibri" w:hAnsi="Times New Roman" w:cs="Times New Roman"/>
            <w:i/>
            <w:sz w:val="24"/>
            <w:szCs w:val="24"/>
            <w:u w:val="single"/>
          </w:rPr>
          <w:t>webovom sídle MH SR</w:t>
        </w:r>
      </w:hyperlink>
      <w:r w:rsidRPr="004524FF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(ďalej len </w:t>
      </w:r>
      <w:r>
        <w:rPr>
          <w:rFonts w:ascii="Times New Roman" w:eastAsia="Calibri" w:hAnsi="Times New Roman" w:cs="Times New Roman"/>
          <w:i/>
          <w:sz w:val="24"/>
          <w:szCs w:val="24"/>
        </w:rPr>
        <w:t>„</w:t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>Kalkulačka nákladov</w:t>
      </w:r>
      <w:r>
        <w:rPr>
          <w:rFonts w:ascii="Times New Roman" w:eastAsia="Calibri" w:hAnsi="Times New Roman" w:cs="Times New Roman"/>
          <w:i/>
          <w:sz w:val="24"/>
          <w:szCs w:val="24"/>
        </w:rPr>
        <w:t>“</w:t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>):</w:t>
      </w:r>
    </w:p>
    <w:p w14:paraId="21F6555B" w14:textId="77777777" w:rsidR="00054C41" w:rsidRPr="00895898" w:rsidRDefault="00054C41" w:rsidP="00054C41">
      <w:pPr>
        <w:spacing w:after="0"/>
        <w:rPr>
          <w:rFonts w:ascii="Times New Roman" w:eastAsia="Calibri" w:hAnsi="Times New Roman" w:cs="Times New Roman"/>
          <w:i/>
        </w:rPr>
      </w:pPr>
    </w:p>
    <w:tbl>
      <w:tblPr>
        <w:tblStyle w:val="Mriekatabuky2"/>
        <w:tblW w:w="9067" w:type="dxa"/>
        <w:tblLook w:val="04A0" w:firstRow="1" w:lastRow="0" w:firstColumn="1" w:lastColumn="0" w:noHBand="0" w:noVBand="1"/>
      </w:tblPr>
      <w:tblGrid>
        <w:gridCol w:w="3681"/>
        <w:gridCol w:w="2693"/>
        <w:gridCol w:w="2693"/>
      </w:tblGrid>
      <w:tr w:rsidR="00054C41" w:rsidRPr="00895898" w14:paraId="20369675" w14:textId="77777777" w:rsidTr="00142154">
        <w:tc>
          <w:tcPr>
            <w:tcW w:w="3681" w:type="dxa"/>
          </w:tcPr>
          <w:p w14:paraId="02355762" w14:textId="77777777" w:rsidR="00054C41" w:rsidRPr="00895898" w:rsidRDefault="00054C41" w:rsidP="00142154">
            <w:pPr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TYP NÁKLADOV</w:t>
            </w:r>
          </w:p>
        </w:tc>
        <w:tc>
          <w:tcPr>
            <w:tcW w:w="2693" w:type="dxa"/>
            <w:shd w:val="clear" w:color="auto" w:fill="FFC000"/>
          </w:tcPr>
          <w:p w14:paraId="5365FD7A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  <w:t>Zvýšenie nákladov v € na PP</w:t>
            </w:r>
          </w:p>
        </w:tc>
        <w:tc>
          <w:tcPr>
            <w:tcW w:w="2693" w:type="dxa"/>
            <w:shd w:val="clear" w:color="auto" w:fill="92D050"/>
          </w:tcPr>
          <w:p w14:paraId="0ABA17FA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  <w:t>Zníženie nákladov v € na PP</w:t>
            </w:r>
          </w:p>
        </w:tc>
      </w:tr>
      <w:tr w:rsidR="00054C41" w:rsidRPr="00895898" w14:paraId="39D95D52" w14:textId="77777777" w:rsidTr="00142154">
        <w:trPr>
          <w:trHeight w:val="227"/>
        </w:trPr>
        <w:tc>
          <w:tcPr>
            <w:tcW w:w="3681" w:type="dxa"/>
          </w:tcPr>
          <w:p w14:paraId="6936C8AA" w14:textId="77777777" w:rsidR="00054C41" w:rsidRPr="00895898" w:rsidRDefault="00054C41" w:rsidP="00142154">
            <w:pPr>
              <w:rPr>
                <w:rFonts w:ascii="Times New Roman" w:eastAsia="Calibri" w:hAnsi="Times New Roman" w:cs="Times New Roman"/>
                <w:i/>
                <w:iCs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</w:rPr>
              <w:t>A. Dane, odvody, clá</w:t>
            </w:r>
            <w:r w:rsidR="00A000D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</w:rPr>
              <w:t xml:space="preserve"> a poplatk</w:t>
            </w:r>
            <w:r w:rsidR="00A000DA" w:rsidRPr="00A000D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</w:rPr>
              <w:t>y</w:t>
            </w:r>
            <w:r w:rsidR="00A000DA" w:rsidRPr="00A000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0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000DA" w:rsidRPr="00A000D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</w:rPr>
              <w:t>ktorých cieľom je znižovať negatívne externality</w:t>
            </w:r>
          </w:p>
        </w:tc>
        <w:tc>
          <w:tcPr>
            <w:tcW w:w="2693" w:type="dxa"/>
            <w:shd w:val="clear" w:color="auto" w:fill="FFC000"/>
          </w:tcPr>
          <w:p w14:paraId="75BD0A81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7048F484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</w:tr>
      <w:tr w:rsidR="00054C41" w:rsidRPr="00895898" w14:paraId="113F7093" w14:textId="77777777" w:rsidTr="00142154">
        <w:tc>
          <w:tcPr>
            <w:tcW w:w="3681" w:type="dxa"/>
          </w:tcPr>
          <w:p w14:paraId="62DDE5E2" w14:textId="77777777" w:rsidR="00054C41" w:rsidRPr="00895898" w:rsidRDefault="00054C41" w:rsidP="00142154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 xml:space="preserve">B. </w:t>
            </w:r>
            <w:r w:rsidR="00A000DA">
              <w:rPr>
                <w:rFonts w:ascii="Times New Roman" w:eastAsia="Calibri" w:hAnsi="Times New Roman" w:cs="Times New Roman"/>
                <w:i/>
                <w:sz w:val="20"/>
              </w:rPr>
              <w:t>Iné p</w:t>
            </w: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oplatky</w:t>
            </w:r>
          </w:p>
        </w:tc>
        <w:tc>
          <w:tcPr>
            <w:tcW w:w="2693" w:type="dxa"/>
            <w:shd w:val="clear" w:color="auto" w:fill="FFC000"/>
          </w:tcPr>
          <w:p w14:paraId="75C8F9CC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3A23FA20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</w:tr>
      <w:tr w:rsidR="00054C41" w:rsidRPr="00895898" w14:paraId="2EC851E7" w14:textId="77777777" w:rsidTr="00142154">
        <w:tc>
          <w:tcPr>
            <w:tcW w:w="3681" w:type="dxa"/>
          </w:tcPr>
          <w:p w14:paraId="49CE6DCD" w14:textId="77777777" w:rsidR="00054C41" w:rsidRPr="00895898" w:rsidRDefault="00054C41" w:rsidP="00142154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C. Nepriame finančné náklady</w:t>
            </w:r>
          </w:p>
        </w:tc>
        <w:tc>
          <w:tcPr>
            <w:tcW w:w="2693" w:type="dxa"/>
            <w:shd w:val="clear" w:color="auto" w:fill="FFC000"/>
          </w:tcPr>
          <w:p w14:paraId="0F57265F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1D67B646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</w:tr>
      <w:tr w:rsidR="00054C41" w:rsidRPr="00895898" w14:paraId="03BDB8DE" w14:textId="77777777" w:rsidTr="00142154">
        <w:tc>
          <w:tcPr>
            <w:tcW w:w="3681" w:type="dxa"/>
          </w:tcPr>
          <w:p w14:paraId="55FAE6C7" w14:textId="77777777" w:rsidR="00054C41" w:rsidRPr="00895898" w:rsidRDefault="00054C41" w:rsidP="00142154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D. Administratívne náklady</w:t>
            </w:r>
          </w:p>
        </w:tc>
        <w:tc>
          <w:tcPr>
            <w:tcW w:w="2693" w:type="dxa"/>
            <w:shd w:val="clear" w:color="auto" w:fill="FFC000"/>
          </w:tcPr>
          <w:p w14:paraId="157454A9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2AE08E3E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</w:tr>
      <w:tr w:rsidR="00054C41" w:rsidRPr="00895898" w14:paraId="31C40C3F" w14:textId="77777777" w:rsidTr="00142154">
        <w:tc>
          <w:tcPr>
            <w:tcW w:w="3681" w:type="dxa"/>
          </w:tcPr>
          <w:p w14:paraId="2069D60C" w14:textId="77777777" w:rsidR="00054C41" w:rsidRPr="00895898" w:rsidRDefault="00054C41" w:rsidP="00142154">
            <w:pPr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i/>
                <w:sz w:val="20"/>
              </w:rPr>
              <w:t>Spolu = A+B+C+D</w:t>
            </w:r>
          </w:p>
        </w:tc>
        <w:tc>
          <w:tcPr>
            <w:tcW w:w="2693" w:type="dxa"/>
            <w:shd w:val="clear" w:color="auto" w:fill="FFC000"/>
          </w:tcPr>
          <w:p w14:paraId="17454315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572B435C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i/>
                <w:sz w:val="20"/>
              </w:rPr>
              <w:t>0</w:t>
            </w:r>
          </w:p>
        </w:tc>
      </w:tr>
      <w:tr w:rsidR="00054C41" w:rsidRPr="00895898" w14:paraId="03AE7CF6" w14:textId="77777777" w:rsidTr="00142154">
        <w:tc>
          <w:tcPr>
            <w:tcW w:w="3681" w:type="dxa"/>
          </w:tcPr>
          <w:p w14:paraId="49168EF9" w14:textId="77777777" w:rsidR="00054C41" w:rsidRPr="00895898" w:rsidRDefault="00054C41" w:rsidP="00142154">
            <w:pPr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i/>
                <w:sz w:val="20"/>
              </w:rPr>
              <w:t xml:space="preserve"> z</w:t>
            </w:r>
            <w:r w:rsidR="00E030DA">
              <w:rPr>
                <w:rFonts w:ascii="Times New Roman" w:eastAsia="Calibri" w:hAnsi="Times New Roman" w:cs="Times New Roman"/>
                <w:b/>
                <w:i/>
                <w:sz w:val="20"/>
              </w:rPr>
              <w:t> </w:t>
            </w:r>
            <w:r w:rsidRPr="00895898">
              <w:rPr>
                <w:rFonts w:ascii="Times New Roman" w:eastAsia="Calibri" w:hAnsi="Times New Roman" w:cs="Times New Roman"/>
                <w:b/>
                <w:i/>
                <w:sz w:val="20"/>
              </w:rPr>
              <w:t>toho</w:t>
            </w:r>
          </w:p>
        </w:tc>
        <w:tc>
          <w:tcPr>
            <w:tcW w:w="2693" w:type="dxa"/>
            <w:shd w:val="clear" w:color="auto" w:fill="FFC000"/>
          </w:tcPr>
          <w:p w14:paraId="0177C83E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</w:p>
        </w:tc>
        <w:tc>
          <w:tcPr>
            <w:tcW w:w="2693" w:type="dxa"/>
            <w:shd w:val="clear" w:color="auto" w:fill="92D050"/>
          </w:tcPr>
          <w:p w14:paraId="6B49A792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</w:p>
        </w:tc>
      </w:tr>
      <w:tr w:rsidR="00054C41" w:rsidRPr="00895898" w14:paraId="0A0AAF79" w14:textId="77777777" w:rsidTr="00142154">
        <w:tc>
          <w:tcPr>
            <w:tcW w:w="3681" w:type="dxa"/>
          </w:tcPr>
          <w:p w14:paraId="57FC9E31" w14:textId="77777777" w:rsidR="00054C41" w:rsidRPr="00895898" w:rsidRDefault="00054C41" w:rsidP="00142154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E. Vplyv na mikro, malé a stredné podniky</w:t>
            </w:r>
          </w:p>
        </w:tc>
        <w:tc>
          <w:tcPr>
            <w:tcW w:w="2693" w:type="dxa"/>
            <w:shd w:val="clear" w:color="auto" w:fill="FFC000"/>
          </w:tcPr>
          <w:p w14:paraId="114D99D1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69129C7F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</w:tr>
      <w:tr w:rsidR="00054C41" w:rsidRPr="00895898" w14:paraId="5129DBBD" w14:textId="77777777" w:rsidTr="00142154">
        <w:tc>
          <w:tcPr>
            <w:tcW w:w="3681" w:type="dxa"/>
          </w:tcPr>
          <w:p w14:paraId="56FA67AF" w14:textId="77777777" w:rsidR="00054C41" w:rsidRPr="00895898" w:rsidRDefault="00054C41" w:rsidP="00142154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F. Úplná harmonizácia práva EÚ</w:t>
            </w:r>
          </w:p>
        </w:tc>
        <w:tc>
          <w:tcPr>
            <w:tcW w:w="2693" w:type="dxa"/>
            <w:shd w:val="clear" w:color="auto" w:fill="FFC000"/>
          </w:tcPr>
          <w:p w14:paraId="5F687D4A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469B5C1F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</w:tr>
      <w:tr w:rsidR="00054C41" w:rsidRPr="00895898" w14:paraId="1E538AB4" w14:textId="77777777" w:rsidTr="00142154">
        <w:tc>
          <w:tcPr>
            <w:tcW w:w="9067" w:type="dxa"/>
            <w:gridSpan w:val="3"/>
            <w:shd w:val="clear" w:color="auto" w:fill="auto"/>
          </w:tcPr>
          <w:p w14:paraId="4DDFD0A1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</w:p>
        </w:tc>
      </w:tr>
      <w:tr w:rsidR="00054C41" w:rsidRPr="00895898" w14:paraId="74D43E1E" w14:textId="77777777" w:rsidTr="00142154">
        <w:tc>
          <w:tcPr>
            <w:tcW w:w="3681" w:type="dxa"/>
          </w:tcPr>
          <w:p w14:paraId="05FCE98B" w14:textId="77777777" w:rsidR="00054C41" w:rsidRPr="00895898" w:rsidRDefault="00054C41" w:rsidP="00142154">
            <w:pPr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VÝPOČET mechanizmu znižovania byrokracie a</w:t>
            </w:r>
            <w:r w:rsidR="00E030DA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 </w:t>
            </w: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nákladov</w:t>
            </w:r>
          </w:p>
        </w:tc>
        <w:tc>
          <w:tcPr>
            <w:tcW w:w="2693" w:type="dxa"/>
            <w:shd w:val="clear" w:color="auto" w:fill="FFC000"/>
          </w:tcPr>
          <w:p w14:paraId="52983E48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IN</w:t>
            </w:r>
          </w:p>
        </w:tc>
        <w:tc>
          <w:tcPr>
            <w:tcW w:w="2693" w:type="dxa"/>
            <w:shd w:val="clear" w:color="auto" w:fill="92D050"/>
          </w:tcPr>
          <w:p w14:paraId="359A2041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OUT</w:t>
            </w:r>
          </w:p>
        </w:tc>
      </w:tr>
      <w:tr w:rsidR="00054C41" w:rsidRPr="00895898" w14:paraId="28968A22" w14:textId="77777777" w:rsidTr="00142154">
        <w:tc>
          <w:tcPr>
            <w:tcW w:w="3681" w:type="dxa"/>
          </w:tcPr>
          <w:p w14:paraId="0D60034E" w14:textId="77777777" w:rsidR="00054C41" w:rsidRPr="00895898" w:rsidRDefault="00054C41" w:rsidP="00142154">
            <w:pPr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i/>
                <w:sz w:val="20"/>
              </w:rPr>
              <w:t>G. Náklady okrem výnimiek = B+C+D-F</w:t>
            </w:r>
          </w:p>
        </w:tc>
        <w:tc>
          <w:tcPr>
            <w:tcW w:w="2693" w:type="dxa"/>
            <w:shd w:val="clear" w:color="auto" w:fill="FFC000"/>
          </w:tcPr>
          <w:p w14:paraId="376B8B4C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33CBB2C9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0</w:t>
            </w:r>
          </w:p>
        </w:tc>
      </w:tr>
    </w:tbl>
    <w:p w14:paraId="323E0E46" w14:textId="77777777" w:rsidR="00054C41" w:rsidRPr="00895898" w:rsidRDefault="00054C41" w:rsidP="00054C41">
      <w:pPr>
        <w:spacing w:after="0"/>
        <w:rPr>
          <w:rFonts w:ascii="Times New Roman" w:eastAsia="Calibri" w:hAnsi="Times New Roman" w:cs="Times New Roman"/>
          <w:i/>
        </w:rPr>
      </w:pPr>
    </w:p>
    <w:p w14:paraId="11B657B1" w14:textId="77777777" w:rsidR="009774F1" w:rsidRDefault="009774F1" w:rsidP="00054C41">
      <w:pPr>
        <w:rPr>
          <w:rFonts w:ascii="Times New Roman" w:eastAsia="Calibri" w:hAnsi="Times New Roman" w:cs="Times New Roman"/>
          <w:sz w:val="24"/>
          <w:szCs w:val="24"/>
        </w:rPr>
      </w:pPr>
    </w:p>
    <w:p w14:paraId="1B4EE6FD" w14:textId="77777777" w:rsidR="009774F1" w:rsidRPr="005C756B" w:rsidRDefault="009774F1" w:rsidP="00054C41">
      <w:pPr>
        <w:rPr>
          <w:rFonts w:ascii="Times New Roman" w:eastAsia="Calibri" w:hAnsi="Times New Roman" w:cs="Times New Roman"/>
          <w:sz w:val="24"/>
          <w:szCs w:val="24"/>
        </w:rPr>
        <w:sectPr w:rsidR="009774F1" w:rsidRPr="005C756B" w:rsidSect="00142154">
          <w:headerReference w:type="default" r:id="rId13"/>
          <w:footerReference w:type="default" r:id="rId14"/>
          <w:pgSz w:w="11906" w:h="16838"/>
          <w:pgMar w:top="993" w:right="1417" w:bottom="1417" w:left="1417" w:header="708" w:footer="708" w:gutter="0"/>
          <w:pgNumType w:start="1"/>
          <w:cols w:space="708"/>
          <w:docGrid w:linePitch="360"/>
        </w:sectPr>
      </w:pPr>
    </w:p>
    <w:p w14:paraId="3D00288A" w14:textId="77777777" w:rsidR="00054C41" w:rsidRPr="001F1B43" w:rsidRDefault="00054C41" w:rsidP="00054C41">
      <w:pPr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i/>
          <w:iCs/>
          <w:sz w:val="24"/>
          <w:szCs w:val="24"/>
        </w:rPr>
        <w:lastRenderedPageBreak/>
        <w:t>3.1.2 Výpočty vplyvov jednotlivých regulácií na zmeny v nákladoch podnikateľov</w:t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14:paraId="4A200B8D" w14:textId="77777777" w:rsidR="00054C41" w:rsidRPr="00D8247C" w:rsidRDefault="00054C41" w:rsidP="00054C4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>Tabuľka č. 2: Výpočet vplyvov jednotlivých regulácií (nahraďte rovnakou tabuľkou po vyplnení Kalkulačky nákladov):</w:t>
      </w:r>
    </w:p>
    <w:tbl>
      <w:tblPr>
        <w:tblW w:w="14861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3557"/>
        <w:gridCol w:w="1044"/>
        <w:gridCol w:w="1129"/>
        <w:gridCol w:w="1303"/>
        <w:gridCol w:w="934"/>
        <w:gridCol w:w="1337"/>
        <w:gridCol w:w="974"/>
        <w:gridCol w:w="974"/>
        <w:gridCol w:w="982"/>
        <w:gridCol w:w="992"/>
        <w:gridCol w:w="1134"/>
      </w:tblGrid>
      <w:tr w:rsidR="00054C41" w:rsidRPr="00895898" w14:paraId="0465C828" w14:textId="77777777" w:rsidTr="00142154">
        <w:trPr>
          <w:trHeight w:val="1885"/>
        </w:trPr>
        <w:tc>
          <w:tcPr>
            <w:tcW w:w="501" w:type="dxa"/>
            <w:shd w:val="clear" w:color="auto" w:fill="BFBFBF"/>
            <w:vAlign w:val="center"/>
          </w:tcPr>
          <w:p w14:paraId="4A67FCC2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P.č.</w:t>
            </w:r>
          </w:p>
        </w:tc>
        <w:tc>
          <w:tcPr>
            <w:tcW w:w="3557" w:type="dxa"/>
            <w:shd w:val="clear" w:color="auto" w:fill="BFBFBF"/>
            <w:vAlign w:val="center"/>
            <w:hideMark/>
          </w:tcPr>
          <w:p w14:paraId="125884D5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Zrozumiteľný a stručný opis regulácie vyjadrujúci dôvod zvýšenia/zníženia nákladov na PP</w:t>
            </w:r>
          </w:p>
        </w:tc>
        <w:tc>
          <w:tcPr>
            <w:tcW w:w="1044" w:type="dxa"/>
            <w:shd w:val="clear" w:color="auto" w:fill="BFBFBF"/>
          </w:tcPr>
          <w:p w14:paraId="68EC977F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14:paraId="577CE536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Číslo normy</w:t>
            </w:r>
          </w:p>
          <w:p w14:paraId="6D722F0B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(zákona, vyhlášky a pod.)</w:t>
            </w:r>
          </w:p>
        </w:tc>
        <w:tc>
          <w:tcPr>
            <w:tcW w:w="1129" w:type="dxa"/>
            <w:shd w:val="clear" w:color="auto" w:fill="BFBFBF"/>
            <w:vAlign w:val="center"/>
            <w:hideMark/>
          </w:tcPr>
          <w:p w14:paraId="50839E73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Lokalizácia </w:t>
            </w:r>
            <w:r w:rsidRPr="008958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(§, ods.)</w:t>
            </w:r>
          </w:p>
        </w:tc>
        <w:tc>
          <w:tcPr>
            <w:tcW w:w="1303" w:type="dxa"/>
            <w:shd w:val="clear" w:color="auto" w:fill="BFBFBF"/>
            <w:vAlign w:val="center"/>
          </w:tcPr>
          <w:p w14:paraId="64627984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Pôvod regulácie:</w:t>
            </w:r>
          </w:p>
          <w:p w14:paraId="30DCB1B1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SK/EÚ úplná harm./EÚ harm. s možnosťou voľby</w:t>
            </w:r>
          </w:p>
        </w:tc>
        <w:tc>
          <w:tcPr>
            <w:tcW w:w="934" w:type="dxa"/>
            <w:shd w:val="clear" w:color="auto" w:fill="BFBFBF"/>
            <w:vAlign w:val="center"/>
            <w:hideMark/>
          </w:tcPr>
          <w:p w14:paraId="1D99ACFE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Účinnosť</w:t>
            </w:r>
          </w:p>
          <w:p w14:paraId="2B8E5003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regulácie</w:t>
            </w:r>
          </w:p>
          <w:p w14:paraId="0DA03E5D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shd w:val="clear" w:color="auto" w:fill="BFBFBF"/>
            <w:vAlign w:val="center"/>
          </w:tcPr>
          <w:p w14:paraId="57851CE6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Kategória dotk. subjektov</w:t>
            </w:r>
          </w:p>
        </w:tc>
        <w:tc>
          <w:tcPr>
            <w:tcW w:w="974" w:type="dxa"/>
            <w:shd w:val="clear" w:color="auto" w:fill="BFBFBF"/>
            <w:vAlign w:val="center"/>
          </w:tcPr>
          <w:p w14:paraId="28B2765A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Počet</w:t>
            </w:r>
            <w:r w:rsidR="009E4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subjektov v dotk. kategórii </w:t>
            </w:r>
          </w:p>
        </w:tc>
        <w:tc>
          <w:tcPr>
            <w:tcW w:w="974" w:type="dxa"/>
            <w:shd w:val="clear" w:color="auto" w:fill="BFBFBF"/>
            <w:vAlign w:val="center"/>
            <w:hideMark/>
          </w:tcPr>
          <w:p w14:paraId="61732985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Počet subjektov MSP v dotk. kategórii </w:t>
            </w:r>
          </w:p>
        </w:tc>
        <w:tc>
          <w:tcPr>
            <w:tcW w:w="982" w:type="dxa"/>
            <w:shd w:val="clear" w:color="auto" w:fill="BFBFBF"/>
            <w:vAlign w:val="center"/>
            <w:hideMark/>
          </w:tcPr>
          <w:p w14:paraId="1A0CB074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Vplyv na 1 podnik. v €</w:t>
            </w:r>
          </w:p>
        </w:tc>
        <w:tc>
          <w:tcPr>
            <w:tcW w:w="992" w:type="dxa"/>
            <w:shd w:val="clear" w:color="auto" w:fill="BFBFBF"/>
            <w:vAlign w:val="center"/>
            <w:hideMark/>
          </w:tcPr>
          <w:p w14:paraId="73DA2383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Vplyv na kategóriu dotk. subjektov v €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12913C79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Druh vplyvu</w:t>
            </w:r>
          </w:p>
          <w:p w14:paraId="68C9A660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 xml:space="preserve">In (zvyšuje náklady) / </w:t>
            </w:r>
          </w:p>
          <w:p w14:paraId="1B00A877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Out (znižuje náklady</w:t>
            </w: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)</w:t>
            </w:r>
          </w:p>
          <w:p w14:paraId="034B8CD0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054C41" w:rsidRPr="00895898" w14:paraId="794F920E" w14:textId="77777777" w:rsidTr="00142154">
        <w:trPr>
          <w:trHeight w:val="612"/>
        </w:trPr>
        <w:tc>
          <w:tcPr>
            <w:tcW w:w="501" w:type="dxa"/>
            <w:vAlign w:val="center"/>
          </w:tcPr>
          <w:p w14:paraId="4FBC49AD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0563439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</w:tcPr>
          <w:p w14:paraId="4C24A290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347D5CAF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vAlign w:val="center"/>
          </w:tcPr>
          <w:p w14:paraId="48596E68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29ED548A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vAlign w:val="center"/>
          </w:tcPr>
          <w:p w14:paraId="10D0F3EC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3B2A6AA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654A017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63276E60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AC23688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07B3018F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4C41" w:rsidRPr="00895898" w14:paraId="08643C59" w14:textId="77777777" w:rsidTr="00142154">
        <w:trPr>
          <w:trHeight w:val="600"/>
        </w:trPr>
        <w:tc>
          <w:tcPr>
            <w:tcW w:w="501" w:type="dxa"/>
            <w:vAlign w:val="center"/>
          </w:tcPr>
          <w:p w14:paraId="7CA30B62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15F8A8D0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</w:tcPr>
          <w:p w14:paraId="7F70F0ED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2AD7AB3C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vAlign w:val="center"/>
          </w:tcPr>
          <w:p w14:paraId="2ED0EF72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207EA94E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vAlign w:val="center"/>
          </w:tcPr>
          <w:p w14:paraId="3631D45A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30AC5152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5DB87B5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0960E6E4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5867F5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73CFDD28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4C41" w:rsidRPr="00895898" w14:paraId="3B214557" w14:textId="77777777" w:rsidTr="00142154">
        <w:trPr>
          <w:trHeight w:val="600"/>
        </w:trPr>
        <w:tc>
          <w:tcPr>
            <w:tcW w:w="501" w:type="dxa"/>
            <w:vAlign w:val="center"/>
          </w:tcPr>
          <w:p w14:paraId="086BDCB4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2CFEABF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</w:tcPr>
          <w:p w14:paraId="41184D58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5C5BF34C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vAlign w:val="center"/>
          </w:tcPr>
          <w:p w14:paraId="4E918BA4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40A6F50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vAlign w:val="center"/>
          </w:tcPr>
          <w:p w14:paraId="601327AB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59E5BD50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5D9C7902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56DB1E7D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2D764E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7E206074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4C41" w:rsidRPr="00895898" w14:paraId="04F3232B" w14:textId="77777777" w:rsidTr="00142154">
        <w:trPr>
          <w:trHeight w:val="600"/>
        </w:trPr>
        <w:tc>
          <w:tcPr>
            <w:tcW w:w="501" w:type="dxa"/>
            <w:vAlign w:val="center"/>
          </w:tcPr>
          <w:p w14:paraId="066DF68C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4398077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</w:tcPr>
          <w:p w14:paraId="3A633952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0B9AD782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vAlign w:val="center"/>
          </w:tcPr>
          <w:p w14:paraId="4E4A4C1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13564BED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vAlign w:val="center"/>
          </w:tcPr>
          <w:p w14:paraId="70AB8BB3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001B529C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333CD276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3F62BDA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A128E2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44E449E1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4C41" w:rsidRPr="00895898" w14:paraId="51E99940" w14:textId="77777777" w:rsidTr="00142154">
        <w:trPr>
          <w:trHeight w:val="600"/>
        </w:trPr>
        <w:tc>
          <w:tcPr>
            <w:tcW w:w="501" w:type="dxa"/>
            <w:vAlign w:val="center"/>
          </w:tcPr>
          <w:p w14:paraId="7E98E7B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4AFE08B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</w:tcPr>
          <w:p w14:paraId="0EA0EEA2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4EEF7F63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vAlign w:val="center"/>
          </w:tcPr>
          <w:p w14:paraId="54F6DE31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1DB6E6DA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vAlign w:val="center"/>
          </w:tcPr>
          <w:p w14:paraId="0CC30600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30C9E872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4CE72AF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5B681F7E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48D15D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738BB69D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4C41" w:rsidRPr="00895898" w14:paraId="7630E638" w14:textId="77777777" w:rsidTr="00142154">
        <w:trPr>
          <w:trHeight w:val="655"/>
        </w:trPr>
        <w:tc>
          <w:tcPr>
            <w:tcW w:w="501" w:type="dxa"/>
            <w:vAlign w:val="center"/>
          </w:tcPr>
          <w:p w14:paraId="09A8FB9A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32C90422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</w:tcPr>
          <w:p w14:paraId="64B0673D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5E7575A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vAlign w:val="center"/>
          </w:tcPr>
          <w:p w14:paraId="5B2FC0D0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5204E56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vAlign w:val="center"/>
          </w:tcPr>
          <w:p w14:paraId="20E13ADF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7B9C350E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32AC5532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184D236D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254D24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6B13EB2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4C41" w:rsidRPr="00895898" w14:paraId="030D4495" w14:textId="77777777" w:rsidTr="00142154">
        <w:trPr>
          <w:trHeight w:val="578"/>
        </w:trPr>
        <w:tc>
          <w:tcPr>
            <w:tcW w:w="501" w:type="dxa"/>
            <w:vAlign w:val="center"/>
          </w:tcPr>
          <w:p w14:paraId="4CFCF53E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1F5931F4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</w:tcPr>
          <w:p w14:paraId="3BDE1CBB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53010986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vAlign w:val="center"/>
          </w:tcPr>
          <w:p w14:paraId="69D7407B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01D1909E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vAlign w:val="center"/>
          </w:tcPr>
          <w:p w14:paraId="5FA5C062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74D2584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4491831E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1D600252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45D743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1D5FE628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4C41" w:rsidRPr="00895898" w14:paraId="166D9A79" w14:textId="77777777" w:rsidTr="00142154">
        <w:trPr>
          <w:trHeight w:val="578"/>
        </w:trPr>
        <w:tc>
          <w:tcPr>
            <w:tcW w:w="501" w:type="dxa"/>
            <w:vAlign w:val="center"/>
          </w:tcPr>
          <w:p w14:paraId="2F0CB683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15C283C8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</w:tcPr>
          <w:p w14:paraId="62463F02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3BEC2823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vAlign w:val="center"/>
          </w:tcPr>
          <w:p w14:paraId="6DCC9C9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5D9FE01C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vAlign w:val="center"/>
          </w:tcPr>
          <w:p w14:paraId="5965863C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26DB9380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50B657F6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7E5956A0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45D254C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446CA11C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4C41" w:rsidRPr="00895898" w14:paraId="33F955CA" w14:textId="77777777" w:rsidTr="00142154">
        <w:trPr>
          <w:trHeight w:val="578"/>
        </w:trPr>
        <w:tc>
          <w:tcPr>
            <w:tcW w:w="501" w:type="dxa"/>
            <w:vAlign w:val="center"/>
          </w:tcPr>
          <w:p w14:paraId="05CBCBA2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764FB7C0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</w:tcPr>
          <w:p w14:paraId="6B493FE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74256432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vAlign w:val="center"/>
          </w:tcPr>
          <w:p w14:paraId="5981C5ED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6293075D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vAlign w:val="center"/>
          </w:tcPr>
          <w:p w14:paraId="3D8E54B3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18542FAC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70B58863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7F3E32ED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349CC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4D6EEFFB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7F5CE58B" w14:textId="77777777" w:rsidR="00054C41" w:rsidRPr="00895898" w:rsidRDefault="00054C41" w:rsidP="00054C41">
      <w:pPr>
        <w:jc w:val="both"/>
        <w:rPr>
          <w:rFonts w:ascii="Times New Roman" w:eastAsia="Calibri" w:hAnsi="Times New Roman" w:cs="Times New Roman"/>
          <w:i/>
        </w:rPr>
      </w:pPr>
    </w:p>
    <w:p w14:paraId="29DF0A6C" w14:textId="77777777" w:rsidR="00054C41" w:rsidRPr="00895898" w:rsidRDefault="00054C41" w:rsidP="00054C41">
      <w:pPr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  <w:sectPr w:rsidR="00054C41" w:rsidRPr="00895898" w:rsidSect="0014215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C9F8DB3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 w:rsidRPr="001F1B43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lastRenderedPageBreak/>
        <w:t xml:space="preserve">Doplňujúce informácie k spôsobu výpočtu vplyvov jednotlivých regulácií na zmenu nákladov </w:t>
      </w:r>
    </w:p>
    <w:p w14:paraId="400BFC45" w14:textId="77777777" w:rsidR="00054C41" w:rsidRPr="00D8247C" w:rsidRDefault="00054C41" w:rsidP="00054C41">
      <w:pPr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 w:rsidRPr="00D8247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Osobitne pri každej regulácii s vplyvom na PP zhodnotenom v tabuľke č. 2 uveďte doplňujúce informácie tak, aby mohol byť skontrolovaný spôsob a správnosť výpočtov. Uveďte najmä, ako ste vypočítali vplyvy a z akého zdroja ste čerpali početnosti (uveďte aj link na konkrétne štatistiky, ak sú dostupné na internete). Jednotlivé regulácie môžu mať jeden alebo viac typov nákladov (A. Dane, odvody, clá</w:t>
      </w:r>
      <w:r w:rsidR="00A000DA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="00A000DA" w:rsidRPr="00A000DA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a poplatky, ktorých cieľom je znižovať negatívne externality</w:t>
      </w:r>
      <w:r w:rsidRPr="00D8247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, B. </w:t>
      </w:r>
      <w:r w:rsidR="00A000DA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Iné p</w:t>
      </w:r>
      <w:r w:rsidRPr="00D8247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oplatky, C. Nepriame finančné náklady, D. Administratívne náklady). Rozčleňte ich a vypočítajte v súlade s metodickým postupom. </w:t>
      </w:r>
    </w:p>
    <w:p w14:paraId="26D9C0CE" w14:textId="77777777" w:rsidR="00054C41" w:rsidRPr="00D8247C" w:rsidRDefault="00054C41" w:rsidP="00054C41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14:paraId="0AC65B3B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>3.2 Vyhodnotenie konzultácií s podnikateľskými subjektmi pred predbežným pripomienkovým konaním</w:t>
      </w:r>
    </w:p>
    <w:p w14:paraId="76A6A957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Uveďte formu konzultácií vrátane zdôvodnenia jej výberu a trvanie konzultácií, termíny stretnutí. Uveďte spôsob oslovenia dotknutých subjektov, zoznam konzultujúcich subjektov, tiež link na webovú stránku, na ktorej boli konzultácie zverejnené. </w:t>
      </w:r>
    </w:p>
    <w:p w14:paraId="72BB76AC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Uveďte hlavné body konzultácií a ich závery. </w:t>
      </w:r>
    </w:p>
    <w:p w14:paraId="1CC49F4B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Uveďte zoznam predložených alternatívnych riešení problematiky od konzultujúcich subjektov, ako aj návrhy od konzultujúcich subjektov na zníženie nákladov regulácií na PP, ktoré neboli akceptované a dôvod neakceptovania. </w:t>
      </w:r>
    </w:p>
    <w:p w14:paraId="3E1FCEFF" w14:textId="77777777" w:rsidR="009538C0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>Alternatívne namiesto vypĺňania bodu 3.2 môžete uviesť ako samostatnú prílohu tejto analýzy Záznam z konzultácií obsahujúci požadované informácie.</w:t>
      </w:r>
    </w:p>
    <w:p w14:paraId="6554E2CD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048DCE55" w14:textId="77777777" w:rsidR="000E1813" w:rsidRDefault="009538C0" w:rsidP="00806A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813">
        <w:rPr>
          <w:rFonts w:ascii="Times New Roman" w:eastAsia="Calibri" w:hAnsi="Times New Roman" w:cs="Times New Roman"/>
          <w:sz w:val="24"/>
          <w:szCs w:val="24"/>
        </w:rPr>
        <w:t xml:space="preserve">Dotknuté podnikateľské subjekty boli oslovené </w:t>
      </w:r>
      <w:r w:rsidR="00F406AF">
        <w:rPr>
          <w:rFonts w:ascii="Times New Roman" w:eastAsia="Calibri" w:hAnsi="Times New Roman" w:cs="Times New Roman"/>
          <w:sz w:val="24"/>
          <w:szCs w:val="24"/>
        </w:rPr>
        <w:t xml:space="preserve">v súlade s </w:t>
      </w:r>
      <w:r w:rsidR="00887EE3">
        <w:rPr>
          <w:rFonts w:ascii="Times New Roman" w:eastAsia="Calibri" w:hAnsi="Times New Roman" w:cs="Times New Roman"/>
          <w:sz w:val="24"/>
          <w:szCs w:val="24"/>
        </w:rPr>
        <w:t>§ 50 zákona č. 543/2002 Z. </w:t>
      </w:r>
      <w:r w:rsidRPr="000E1813">
        <w:rPr>
          <w:rFonts w:ascii="Times New Roman" w:eastAsia="Calibri" w:hAnsi="Times New Roman" w:cs="Times New Roman"/>
          <w:sz w:val="24"/>
          <w:szCs w:val="24"/>
        </w:rPr>
        <w:t>z. o ochrane prírody a krajiny v znení neskorších predpisov</w:t>
      </w:r>
      <w:r w:rsidR="000E1813">
        <w:rPr>
          <w:rFonts w:ascii="Times New Roman" w:eastAsia="Calibri" w:hAnsi="Times New Roman" w:cs="Times New Roman"/>
          <w:sz w:val="24"/>
          <w:szCs w:val="24"/>
        </w:rPr>
        <w:t xml:space="preserve"> zo strany Okresného úradu Banská Bystrica v januári 2020. Spoločne so zámerom zonácie bol zverejnený (na stránke uvedeného úradu, ako aj všetkých dotknutých obcí) </w:t>
      </w:r>
      <w:r w:rsidR="009E47C7">
        <w:rPr>
          <w:rFonts w:ascii="Times New Roman" w:eastAsia="Calibri" w:hAnsi="Times New Roman" w:cs="Times New Roman"/>
          <w:sz w:val="24"/>
          <w:szCs w:val="24"/>
        </w:rPr>
        <w:t>aj</w:t>
      </w:r>
      <w:r w:rsidR="000E1813">
        <w:rPr>
          <w:rFonts w:ascii="Times New Roman" w:eastAsia="Calibri" w:hAnsi="Times New Roman" w:cs="Times New Roman"/>
          <w:sz w:val="24"/>
          <w:szCs w:val="24"/>
        </w:rPr>
        <w:t xml:space="preserve"> návrh programu starostlivosti o Národný park </w:t>
      </w:r>
      <w:r w:rsidR="004A362B">
        <w:rPr>
          <w:rFonts w:ascii="Times New Roman" w:eastAsia="Calibri" w:hAnsi="Times New Roman" w:cs="Times New Roman"/>
          <w:sz w:val="24"/>
          <w:szCs w:val="24"/>
        </w:rPr>
        <w:t xml:space="preserve">(NP) </w:t>
      </w:r>
      <w:r w:rsidR="000E1813">
        <w:rPr>
          <w:rFonts w:ascii="Times New Roman" w:eastAsia="Calibri" w:hAnsi="Times New Roman" w:cs="Times New Roman"/>
          <w:sz w:val="24"/>
          <w:szCs w:val="24"/>
        </w:rPr>
        <w:t xml:space="preserve">Muránska planina a o prekrývajúce sa územia európskej sústavy chránených území Natura 2000. </w:t>
      </w:r>
      <w:r w:rsidR="00D26D67">
        <w:rPr>
          <w:rFonts w:ascii="Times New Roman" w:eastAsia="Calibri" w:hAnsi="Times New Roman" w:cs="Times New Roman"/>
          <w:sz w:val="24"/>
          <w:szCs w:val="24"/>
        </w:rPr>
        <w:t xml:space="preserve">Na základe pozvánky </w:t>
      </w:r>
      <w:r w:rsidR="00D26D67">
        <w:rPr>
          <w:rFonts w:ascii="Times New Roman" w:hAnsi="Times New Roman" w:cs="Times New Roman"/>
          <w:sz w:val="24"/>
          <w:szCs w:val="24"/>
        </w:rPr>
        <w:t>Štátnej ochrany prírody Slovenskej republiky (ŠOP SR) – Správy Národného parku Muránska planina sa, za účasti Ministerstva životného prostredia Slovenskej republiky (MŽP SR)</w:t>
      </w:r>
      <w:r w:rsidR="00234744">
        <w:rPr>
          <w:rFonts w:ascii="Times New Roman" w:hAnsi="Times New Roman" w:cs="Times New Roman"/>
          <w:sz w:val="24"/>
          <w:szCs w:val="24"/>
        </w:rPr>
        <w:t>,</w:t>
      </w:r>
      <w:r w:rsidR="00D26D67">
        <w:rPr>
          <w:rFonts w:ascii="Times New Roman" w:hAnsi="Times New Roman" w:cs="Times New Roman"/>
          <w:sz w:val="24"/>
          <w:szCs w:val="24"/>
        </w:rPr>
        <w:t xml:space="preserve"> </w:t>
      </w:r>
      <w:r w:rsidR="000E1813" w:rsidRPr="00806A7F">
        <w:rPr>
          <w:rFonts w:ascii="Times New Roman" w:hAnsi="Times New Roman" w:cs="Times New Roman"/>
          <w:sz w:val="24"/>
          <w:szCs w:val="24"/>
        </w:rPr>
        <w:t>v dňoch 2. a 3. marca 2020 v</w:t>
      </w:r>
      <w:r w:rsidR="000E1813">
        <w:rPr>
          <w:rFonts w:ascii="Times New Roman" w:hAnsi="Times New Roman" w:cs="Times New Roman"/>
          <w:sz w:val="24"/>
          <w:szCs w:val="24"/>
        </w:rPr>
        <w:t> </w:t>
      </w:r>
      <w:r w:rsidR="000E1813" w:rsidRPr="00806A7F">
        <w:rPr>
          <w:rFonts w:ascii="Times New Roman" w:hAnsi="Times New Roman" w:cs="Times New Roman"/>
          <w:sz w:val="24"/>
          <w:szCs w:val="24"/>
        </w:rPr>
        <w:t>Muráni</w:t>
      </w:r>
      <w:r w:rsidR="000E1813">
        <w:rPr>
          <w:rFonts w:ascii="Times New Roman" w:hAnsi="Times New Roman" w:cs="Times New Roman"/>
          <w:sz w:val="24"/>
          <w:szCs w:val="24"/>
        </w:rPr>
        <w:t xml:space="preserve"> </w:t>
      </w:r>
      <w:r w:rsidR="00D26D67">
        <w:rPr>
          <w:rFonts w:ascii="Times New Roman" w:hAnsi="Times New Roman" w:cs="Times New Roman"/>
          <w:sz w:val="24"/>
          <w:szCs w:val="24"/>
        </w:rPr>
        <w:t>uskutočnilo predstavenie zámeru verejnosti</w:t>
      </w:r>
      <w:r w:rsidR="000E1813">
        <w:rPr>
          <w:rFonts w:ascii="Times New Roman" w:hAnsi="Times New Roman" w:cs="Times New Roman"/>
          <w:sz w:val="24"/>
          <w:szCs w:val="24"/>
        </w:rPr>
        <w:t>. Tieto stretnutia boli zvolané v záujme prezentovať návrhy</w:t>
      </w:r>
      <w:r w:rsidR="008F05AB">
        <w:rPr>
          <w:rFonts w:ascii="Times New Roman" w:hAnsi="Times New Roman" w:cs="Times New Roman"/>
          <w:sz w:val="24"/>
          <w:szCs w:val="24"/>
        </w:rPr>
        <w:t xml:space="preserve"> a umožniť úvodnú diskusiu</w:t>
      </w:r>
      <w:r w:rsidR="000E1813" w:rsidRPr="00806A7F">
        <w:rPr>
          <w:rFonts w:ascii="Times New Roman" w:hAnsi="Times New Roman" w:cs="Times New Roman"/>
          <w:sz w:val="24"/>
          <w:szCs w:val="24"/>
        </w:rPr>
        <w:t>. Následne, po uplynutí lehoty na pripomienky, Okresný úrad Banská Bystrica z</w:t>
      </w:r>
      <w:r w:rsidR="000E1813">
        <w:rPr>
          <w:rFonts w:ascii="Times New Roman" w:hAnsi="Times New Roman" w:cs="Times New Roman"/>
          <w:sz w:val="24"/>
          <w:szCs w:val="24"/>
        </w:rPr>
        <w:t xml:space="preserve">asielal pozvánky pre jednotlivé subjekty, ktoré vzniesli písomné </w:t>
      </w:r>
      <w:r w:rsidR="000E1813" w:rsidRPr="00806A7F">
        <w:rPr>
          <w:rFonts w:ascii="Times New Roman" w:hAnsi="Times New Roman" w:cs="Times New Roman"/>
          <w:sz w:val="24"/>
          <w:szCs w:val="24"/>
        </w:rPr>
        <w:t>pripomienk</w:t>
      </w:r>
      <w:r w:rsidR="000E1813">
        <w:rPr>
          <w:rFonts w:ascii="Times New Roman" w:hAnsi="Times New Roman" w:cs="Times New Roman"/>
          <w:sz w:val="24"/>
          <w:szCs w:val="24"/>
        </w:rPr>
        <w:t>y</w:t>
      </w:r>
      <w:r w:rsidR="000E1813" w:rsidRPr="00806A7F">
        <w:rPr>
          <w:rFonts w:ascii="Times New Roman" w:hAnsi="Times New Roman" w:cs="Times New Roman"/>
          <w:sz w:val="24"/>
          <w:szCs w:val="24"/>
        </w:rPr>
        <w:t xml:space="preserve">, pričom v roku 2020 bolo zvolaných 38 prerokovaní, uskutočnilo sa 30 prerokovaní, v roku 2021 spolu 44 prerokovaní a v roku 2022 bolo zvolaných </w:t>
      </w:r>
      <w:r w:rsidR="00575327" w:rsidRPr="001018ED">
        <w:rPr>
          <w:rFonts w:ascii="Times New Roman" w:hAnsi="Times New Roman" w:cs="Times New Roman"/>
          <w:sz w:val="24"/>
          <w:szCs w:val="24"/>
        </w:rPr>
        <w:t>3</w:t>
      </w:r>
      <w:r w:rsidR="001018ED" w:rsidRPr="00936E8F">
        <w:rPr>
          <w:rFonts w:ascii="Times New Roman" w:hAnsi="Times New Roman" w:cs="Times New Roman"/>
          <w:sz w:val="24"/>
          <w:szCs w:val="24"/>
        </w:rPr>
        <w:t>7</w:t>
      </w:r>
      <w:r w:rsidR="00226DE8">
        <w:rPr>
          <w:rFonts w:ascii="Times New Roman" w:hAnsi="Times New Roman" w:cs="Times New Roman"/>
          <w:sz w:val="24"/>
          <w:szCs w:val="24"/>
        </w:rPr>
        <w:t xml:space="preserve"> </w:t>
      </w:r>
      <w:r w:rsidR="000E1813" w:rsidRPr="001018ED">
        <w:rPr>
          <w:rFonts w:ascii="Times New Roman" w:hAnsi="Times New Roman" w:cs="Times New Roman"/>
          <w:sz w:val="24"/>
          <w:szCs w:val="24"/>
        </w:rPr>
        <w:t>prerokovaní</w:t>
      </w:r>
      <w:r w:rsidR="000E1813" w:rsidRPr="00806A7F">
        <w:rPr>
          <w:rFonts w:ascii="Times New Roman" w:hAnsi="Times New Roman" w:cs="Times New Roman"/>
          <w:sz w:val="24"/>
          <w:szCs w:val="24"/>
        </w:rPr>
        <w:t xml:space="preserve">. Z jednotlivých prerokovaní boli </w:t>
      </w:r>
      <w:r w:rsidR="00C206CB">
        <w:rPr>
          <w:rFonts w:ascii="Times New Roman" w:hAnsi="Times New Roman" w:cs="Times New Roman"/>
          <w:sz w:val="24"/>
          <w:szCs w:val="24"/>
        </w:rPr>
        <w:t>vyhotovené</w:t>
      </w:r>
      <w:r w:rsidR="00C206CB" w:rsidRPr="00806A7F">
        <w:rPr>
          <w:rFonts w:ascii="Times New Roman" w:hAnsi="Times New Roman" w:cs="Times New Roman"/>
          <w:sz w:val="24"/>
          <w:szCs w:val="24"/>
        </w:rPr>
        <w:t xml:space="preserve"> </w:t>
      </w:r>
      <w:r w:rsidR="000E1813" w:rsidRPr="00806A7F">
        <w:rPr>
          <w:rFonts w:ascii="Times New Roman" w:hAnsi="Times New Roman" w:cs="Times New Roman"/>
          <w:sz w:val="24"/>
          <w:szCs w:val="24"/>
        </w:rPr>
        <w:t xml:space="preserve">písomné záznamy. </w:t>
      </w:r>
    </w:p>
    <w:p w14:paraId="4F315005" w14:textId="77777777" w:rsidR="004A362B" w:rsidRPr="00806A7F" w:rsidRDefault="004A362B" w:rsidP="000E181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Súčasťou prerokovaní boli aj podnikateľské subjekty, ktoré sú vlastníkmi či užívateľmi pozemkov.</w:t>
      </w:r>
    </w:p>
    <w:p w14:paraId="31D7B20C" w14:textId="77777777" w:rsidR="00054C41" w:rsidRPr="00D8247C" w:rsidRDefault="004A362B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14:paraId="3AD65538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47698091"/>
      <w:r w:rsidRPr="001F1B43">
        <w:rPr>
          <w:rFonts w:ascii="Times New Roman" w:eastAsia="Calibri" w:hAnsi="Times New Roman" w:cs="Times New Roman"/>
          <w:b/>
          <w:sz w:val="24"/>
          <w:szCs w:val="24"/>
        </w:rPr>
        <w:t>3.3 Vplyvy na konkurencieschopnosť a produktivitu</w:t>
      </w:r>
    </w:p>
    <w:bookmarkEnd w:id="1"/>
    <w:p w14:paraId="4B901D89" w14:textId="77777777" w:rsidR="00054C41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Dochádza k vytvoreniu resp. k zmene bariér na trhu? </w:t>
      </w:r>
    </w:p>
    <w:p w14:paraId="72C9E297" w14:textId="77777777" w:rsidR="00E70352" w:rsidRDefault="00E70352" w:rsidP="00054C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Áno, pre určité podnikateľské subjekty dôjde k vzniku bariér na trhu. Nakoľko sa zvyšuje bezzásahová zóna, podnikateľské subjekty nebudú môcť realizovať svoju podnikateľskú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činnosť. </w:t>
      </w:r>
      <w:r w:rsidR="00226DE8">
        <w:rPr>
          <w:rFonts w:ascii="Times New Roman" w:eastAsia="Calibri" w:hAnsi="Times New Roman" w:cs="Times New Roman"/>
          <w:sz w:val="24"/>
          <w:szCs w:val="24"/>
        </w:rPr>
        <w:t>Na druhej strane sa predpokladá rozšírenie trhových možnosti (zvýšenie návštevnosti Národného parku Muránska planina a služieb viazaných na udržateľné formy cestovného ruchu</w:t>
      </w:r>
      <w:r w:rsidR="00887EE3">
        <w:rPr>
          <w:rFonts w:ascii="Times New Roman" w:eastAsia="Calibri" w:hAnsi="Times New Roman" w:cs="Times New Roman"/>
          <w:sz w:val="24"/>
          <w:szCs w:val="24"/>
        </w:rPr>
        <w:t>)</w:t>
      </w:r>
      <w:r w:rsidR="00226DE8">
        <w:rPr>
          <w:rFonts w:ascii="Times New Roman" w:eastAsia="Calibri" w:hAnsi="Times New Roman" w:cs="Times New Roman"/>
          <w:sz w:val="24"/>
          <w:szCs w:val="24"/>
        </w:rPr>
        <w:t xml:space="preserve">, čo je podrobnejšie špecifikované v návrhu </w:t>
      </w:r>
      <w:r w:rsidR="00887EE3" w:rsidRPr="00636E2B">
        <w:rPr>
          <w:rFonts w:ascii="Times New Roman" w:eastAsia="Calibri" w:hAnsi="Times New Roman" w:cs="Times New Roman"/>
          <w:sz w:val="24"/>
          <w:szCs w:val="24"/>
        </w:rPr>
        <w:t>materiálu</w:t>
      </w:r>
      <w:r w:rsidR="00887EE3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AD520E" w:rsidRPr="00AD520E">
        <w:rPr>
          <w:rFonts w:ascii="Times New Roman" w:eastAsia="Calibri" w:hAnsi="Times New Roman" w:cs="Times New Roman"/>
          <w:sz w:val="24"/>
          <w:szCs w:val="24"/>
        </w:rPr>
        <w:t xml:space="preserve">Stratégia </w:t>
      </w:r>
      <w:r w:rsidR="00F07417" w:rsidRPr="00636E2B">
        <w:rPr>
          <w:rFonts w:ascii="Times New Roman" w:eastAsia="Calibri" w:hAnsi="Times New Roman" w:cs="Times New Roman"/>
          <w:sz w:val="24"/>
          <w:szCs w:val="24"/>
        </w:rPr>
        <w:t>rozvoja</w:t>
      </w:r>
      <w:r w:rsidR="00F074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520E" w:rsidRPr="00AD520E">
        <w:rPr>
          <w:rFonts w:ascii="Times New Roman" w:eastAsia="Calibri" w:hAnsi="Times New Roman" w:cs="Times New Roman"/>
          <w:sz w:val="24"/>
          <w:szCs w:val="24"/>
        </w:rPr>
        <w:t>udržateľného cestovného ruchu</w:t>
      </w:r>
      <w:r w:rsidR="008D07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7EE3" w:rsidRPr="00636E2B">
        <w:rPr>
          <w:rFonts w:ascii="Times New Roman" w:eastAsia="Calibri" w:hAnsi="Times New Roman" w:cs="Times New Roman"/>
          <w:sz w:val="24"/>
          <w:szCs w:val="24"/>
        </w:rPr>
        <w:t>v Národnom parku</w:t>
      </w:r>
      <w:r w:rsidR="00887E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520E" w:rsidRPr="00AD520E">
        <w:rPr>
          <w:rFonts w:ascii="Times New Roman" w:eastAsia="Calibri" w:hAnsi="Times New Roman" w:cs="Times New Roman"/>
          <w:sz w:val="24"/>
          <w:szCs w:val="24"/>
        </w:rPr>
        <w:t>Muránska planina do roku 2030</w:t>
      </w:r>
      <w:r w:rsidR="00887EE3">
        <w:rPr>
          <w:rFonts w:ascii="Times New Roman" w:eastAsia="Calibri" w:hAnsi="Times New Roman" w:cs="Times New Roman"/>
          <w:sz w:val="24"/>
          <w:szCs w:val="24"/>
        </w:rPr>
        <w:t>“</w:t>
      </w:r>
      <w:r w:rsidR="00AD520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606A22E" w14:textId="77777777" w:rsidR="00E70352" w:rsidRPr="00936E8F" w:rsidRDefault="00E70352" w:rsidP="00054C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88AB23" w14:textId="77777777" w:rsidR="00054C41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Bude sa s niektorými podnikmi alebo produktmi zaobchádzať v porovnateľnej situácii rôzne (napr. špeciálne režimy pre mikro, malé a stredné podniky tzv. MSP)? </w:t>
      </w:r>
    </w:p>
    <w:p w14:paraId="211A0AD3" w14:textId="77777777" w:rsidR="00E70352" w:rsidRDefault="00E70352" w:rsidP="00054C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Nepredpokladá sa rozdiel v zaobchádzaní.</w:t>
      </w:r>
    </w:p>
    <w:p w14:paraId="7F1E0176" w14:textId="77777777" w:rsidR="00E70352" w:rsidRPr="00936E8F" w:rsidRDefault="00E70352" w:rsidP="00054C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2B10A4" w14:textId="77777777" w:rsidR="00054C41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Ovplyvňuje zmena regulácie cezhraničné investície (príliv/odliv zahraničných investícií resp. uplatnenie slovenských podnikov na zahraničných trhoch)? </w:t>
      </w:r>
    </w:p>
    <w:p w14:paraId="382A3853" w14:textId="77777777" w:rsidR="00E70352" w:rsidRPr="00936E8F" w:rsidRDefault="00E70352" w:rsidP="00054C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Nepredpokladá sa vplyv na cezhraničné investície.</w:t>
      </w:r>
    </w:p>
    <w:p w14:paraId="46BF8C56" w14:textId="77777777" w:rsidR="00E70352" w:rsidRPr="00D8247C" w:rsidRDefault="00E70352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D77A452" w14:textId="77777777" w:rsidR="00054C41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Ovplyvní dostupnosť základných zdrojov (financie, pracovná sila, suroviny, mechanizmy, energie atď.)? </w:t>
      </w:r>
    </w:p>
    <w:p w14:paraId="31E7B8E7" w14:textId="77777777" w:rsidR="00E70352" w:rsidRDefault="00E70352" w:rsidP="00054C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Nakoľko sa zvyšuje bezzásahová zóna, dôjde k obmedzeniu ťažb</w:t>
      </w:r>
      <w:r w:rsidR="00226DE8">
        <w:rPr>
          <w:rFonts w:ascii="Times New Roman" w:eastAsia="Calibri" w:hAnsi="Times New Roman" w:cs="Times New Roman"/>
          <w:sz w:val="24"/>
          <w:szCs w:val="24"/>
        </w:rPr>
        <w:t>y</w:t>
      </w:r>
      <w:r>
        <w:rPr>
          <w:rFonts w:ascii="Times New Roman" w:eastAsia="Calibri" w:hAnsi="Times New Roman" w:cs="Times New Roman"/>
          <w:sz w:val="24"/>
          <w:szCs w:val="24"/>
        </w:rPr>
        <w:t xml:space="preserve"> dreva, ktorú </w:t>
      </w:r>
      <w:r w:rsidR="005D53DF">
        <w:rPr>
          <w:rFonts w:ascii="Times New Roman" w:eastAsia="Calibri" w:hAnsi="Times New Roman" w:cs="Times New Roman"/>
          <w:sz w:val="24"/>
          <w:szCs w:val="24"/>
        </w:rPr>
        <w:t xml:space="preserve">v tejto zóne </w:t>
      </w:r>
      <w:r>
        <w:rPr>
          <w:rFonts w:ascii="Times New Roman" w:eastAsia="Calibri" w:hAnsi="Times New Roman" w:cs="Times New Roman"/>
          <w:sz w:val="24"/>
          <w:szCs w:val="24"/>
        </w:rPr>
        <w:t>nie je možné realizovať.</w:t>
      </w:r>
      <w:r w:rsidR="00226D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1AD4AF7" w14:textId="77777777" w:rsidR="00E70352" w:rsidRPr="00936E8F" w:rsidRDefault="00E70352" w:rsidP="00054C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219F6E" w14:textId="77777777" w:rsidR="007259CB" w:rsidRDefault="007259CB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Ovplyvňuje zmena regulácie inovácie, vedu a výskum?</w:t>
      </w:r>
    </w:p>
    <w:p w14:paraId="74EDED30" w14:textId="77777777" w:rsidR="00E70352" w:rsidRDefault="00E70352" w:rsidP="00054C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Áno, rozšírenie bezzásahovej zóny vyt</w:t>
      </w:r>
      <w:r w:rsidR="007363F4">
        <w:rPr>
          <w:rFonts w:ascii="Times New Roman" w:eastAsia="Calibri" w:hAnsi="Times New Roman" w:cs="Times New Roman"/>
          <w:sz w:val="24"/>
          <w:szCs w:val="24"/>
        </w:rPr>
        <w:t>vorí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priestor pre vedu a výskum, nako</w:t>
      </w:r>
      <w:r w:rsidR="007363F4">
        <w:rPr>
          <w:rFonts w:ascii="Times New Roman" w:eastAsia="Calibri" w:hAnsi="Times New Roman" w:cs="Times New Roman"/>
          <w:sz w:val="24"/>
          <w:szCs w:val="24"/>
        </w:rPr>
        <w:t>ľko bude</w:t>
      </w:r>
      <w:r>
        <w:rPr>
          <w:rFonts w:ascii="Times New Roman" w:eastAsia="Calibri" w:hAnsi="Times New Roman" w:cs="Times New Roman"/>
          <w:sz w:val="24"/>
          <w:szCs w:val="24"/>
        </w:rPr>
        <w:t xml:space="preserve"> možné monitorovať</w:t>
      </w:r>
      <w:r w:rsidR="00226DE8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ako sa správajú biotopy </w:t>
      </w:r>
      <w:r w:rsidR="00226DE8">
        <w:rPr>
          <w:rFonts w:ascii="Times New Roman" w:eastAsia="Calibri" w:hAnsi="Times New Roman" w:cs="Times New Roman"/>
          <w:sz w:val="24"/>
          <w:szCs w:val="24"/>
        </w:rPr>
        <w:t>ponechané na prirodzený vývoj</w:t>
      </w:r>
      <w:r w:rsidR="007363F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6B14D69" w14:textId="77777777" w:rsidR="00226DE8" w:rsidRPr="00936E8F" w:rsidRDefault="00226DE8" w:rsidP="00054C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F3A277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iCs/>
          <w:sz w:val="24"/>
          <w:szCs w:val="24"/>
        </w:rPr>
        <w:t>Ako prispieva zmena regulácie k cieľu Slovenska mať najlepšie podnikateľské prostredie spomedzi susediacich krajín EÚ?</w:t>
      </w:r>
    </w:p>
    <w:p w14:paraId="2FAC8998" w14:textId="77777777" w:rsidR="00054C41" w:rsidRDefault="007363F4" w:rsidP="00054C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Neprispieva. </w:t>
      </w:r>
      <w:r w:rsidR="00D47B14" w:rsidRPr="00636E2B">
        <w:rPr>
          <w:rFonts w:ascii="Times New Roman" w:eastAsia="Calibri" w:hAnsi="Times New Roman" w:cs="Times New Roman"/>
          <w:sz w:val="24"/>
          <w:szCs w:val="24"/>
        </w:rPr>
        <w:t>Hlavným cieľom návrhu je zabezpečenie ochrany prírodných procesov a umožnenie prirodzeného vývoja prírodných spoločenstiev nachádzajúcich sa na území predmetného chráneného územia.</w:t>
      </w:r>
    </w:p>
    <w:p w14:paraId="0927684F" w14:textId="77777777" w:rsidR="00226DE8" w:rsidRPr="00936E8F" w:rsidRDefault="00226DE8" w:rsidP="00054C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D95B3E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b/>
          <w:i/>
          <w:sz w:val="24"/>
          <w:szCs w:val="24"/>
        </w:rPr>
        <w:t>Konkurencieschopnosť:</w:t>
      </w:r>
    </w:p>
    <w:p w14:paraId="788E2A5E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>Na základe uvedených odpovedí zaškrtnite a popíšte, či materiál konkurencieschopnosť:</w:t>
      </w:r>
    </w:p>
    <w:p w14:paraId="00FC57FB" w14:textId="26B3DA5A" w:rsidR="00054C41" w:rsidRPr="00D8247C" w:rsidRDefault="001E17EA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798576880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1729873660"/>
            </w:sdtPr>
            <w:sdtEndPr/>
            <w:sdtContent>
              <w:r w:rsidR="00054C41" w:rsidRPr="00D8247C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zvyšuje</w:t>
      </w:r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410579887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80300261"/>
            </w:sdtPr>
            <w:sdtEndPr/>
            <w:sdtContent>
              <w:r w:rsidR="00054C41" w:rsidRPr="00F07B0B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54C41" w:rsidRPr="00F07B0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54C41" w:rsidRPr="009601E2">
        <w:rPr>
          <w:rFonts w:ascii="Times New Roman" w:eastAsia="Calibri" w:hAnsi="Times New Roman" w:cs="Times New Roman"/>
          <w:i/>
          <w:sz w:val="24"/>
          <w:szCs w:val="24"/>
          <w:u w:val="single"/>
        </w:rPr>
        <w:t>nemení</w:t>
      </w:r>
      <w:r w:rsidR="00054C41" w:rsidRPr="00F07B0B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474604883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1706551548"/>
              <w:showingPlcHdr/>
            </w:sdtPr>
            <w:sdtEndPr/>
            <w:sdtContent>
              <w:r w:rsidR="00936E8F">
                <w:rPr>
                  <w:rFonts w:ascii="Times New Roman" w:eastAsia="Calibri" w:hAnsi="Times New Roman" w:cs="Times New Roman"/>
                  <w:i/>
                  <w:sz w:val="24"/>
                  <w:szCs w:val="24"/>
                </w:rPr>
                <w:t xml:space="preserve">     </w:t>
              </w:r>
            </w:sdtContent>
          </w:sdt>
        </w:sdtContent>
      </w:sdt>
      <w:r w:rsidR="00054C41" w:rsidRPr="00F07B0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1861426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24E">
            <w:rPr>
              <w:rFonts w:ascii="MS Gothic" w:eastAsia="MS Gothic" w:hAnsi="MS Gothic" w:cs="Times New Roman" w:hint="eastAsia"/>
              <w:i/>
              <w:sz w:val="24"/>
              <w:szCs w:val="24"/>
            </w:rPr>
            <w:t>☐</w:t>
          </w:r>
        </w:sdtContent>
      </w:sdt>
      <w:r w:rsidR="00054C41" w:rsidRPr="00F07B0B">
        <w:rPr>
          <w:rFonts w:ascii="Times New Roman" w:eastAsia="Calibri" w:hAnsi="Times New Roman" w:cs="Times New Roman"/>
          <w:i/>
          <w:sz w:val="24"/>
          <w:szCs w:val="24"/>
        </w:rPr>
        <w:t>znižuje</w:t>
      </w:r>
    </w:p>
    <w:p w14:paraId="6BC7E729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EFC0BD3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b/>
          <w:i/>
          <w:sz w:val="24"/>
          <w:szCs w:val="24"/>
        </w:rPr>
        <w:t>Produktivita:</w:t>
      </w:r>
    </w:p>
    <w:p w14:paraId="565E93AA" w14:textId="77777777" w:rsidR="00054C41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Aký má materiál vplyv na zmenu pomeru medzi produkciou podnikov a ich nákladmi? </w:t>
      </w:r>
    </w:p>
    <w:p w14:paraId="0553BDE6" w14:textId="77777777" w:rsidR="005A59A4" w:rsidRPr="00936E8F" w:rsidRDefault="005A59A4" w:rsidP="00054C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Navrhovanou reguláciou sa zníži celková produktivita určitých podnikov. </w:t>
      </w:r>
    </w:p>
    <w:p w14:paraId="78A8CB8F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E963730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>Na základe uvedenej odpovede zaškrtnite a popíšte, či materiál produktivitu:</w:t>
      </w:r>
    </w:p>
    <w:p w14:paraId="63D03195" w14:textId="77777777" w:rsidR="00054C41" w:rsidRPr="00D8247C" w:rsidRDefault="001E17EA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1545903528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825715010"/>
            </w:sdtPr>
            <w:sdtEndPr/>
            <w:sdtContent>
              <w:r w:rsidR="00054C41" w:rsidRPr="00D8247C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zvyšuje</w:t>
      </w:r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353966921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1222205104"/>
            </w:sdtPr>
            <w:sdtEndPr/>
            <w:sdtContent>
              <w:r w:rsidR="00054C41" w:rsidRPr="00F07B0B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54C41" w:rsidRPr="00F07B0B">
        <w:rPr>
          <w:rFonts w:ascii="Times New Roman" w:eastAsia="Calibri" w:hAnsi="Times New Roman" w:cs="Times New Roman"/>
          <w:i/>
          <w:sz w:val="24"/>
          <w:szCs w:val="24"/>
        </w:rPr>
        <w:t xml:space="preserve"> nemení</w:t>
      </w:r>
      <w:r w:rsidR="00054C41" w:rsidRPr="00F07B0B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1457723544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623767955"/>
              <w:showingPlcHdr/>
            </w:sdtPr>
            <w:sdtEndPr/>
            <w:sdtContent>
              <w:r w:rsidR="00936E8F">
                <w:rPr>
                  <w:rFonts w:ascii="Times New Roman" w:eastAsia="Calibri" w:hAnsi="Times New Roman" w:cs="Times New Roman"/>
                  <w:i/>
                  <w:sz w:val="24"/>
                  <w:szCs w:val="24"/>
                </w:rPr>
                <w:t xml:space="preserve">     </w:t>
              </w:r>
            </w:sdtContent>
          </w:sdt>
        </w:sdtContent>
      </w:sdt>
      <w:r w:rsidR="00054C41" w:rsidRPr="00F07B0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697300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A59A4" w:rsidRPr="00F07B0B">
            <w:rPr>
              <w:rFonts w:ascii="MS Gothic" w:eastAsia="MS Gothic" w:hAnsi="MS Gothic" w:cs="Times New Roman"/>
              <w:i/>
              <w:sz w:val="24"/>
              <w:szCs w:val="24"/>
            </w:rPr>
            <w:t>☒</w:t>
          </w:r>
        </w:sdtContent>
      </w:sdt>
      <w:r w:rsidR="00054C41" w:rsidRPr="00F07B0B">
        <w:rPr>
          <w:rFonts w:ascii="Times New Roman" w:eastAsia="Calibri" w:hAnsi="Times New Roman" w:cs="Times New Roman"/>
          <w:i/>
          <w:sz w:val="24"/>
          <w:szCs w:val="24"/>
        </w:rPr>
        <w:t>znižuje</w:t>
      </w:r>
    </w:p>
    <w:p w14:paraId="450B18CA" w14:textId="77777777" w:rsidR="00EA5795" w:rsidRDefault="00EA5795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C2DA4B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 xml:space="preserve">3.4 Iné vplyvy na podnikateľské prostredie </w:t>
      </w:r>
    </w:p>
    <w:p w14:paraId="2F3D5214" w14:textId="77777777" w:rsidR="00FF414B" w:rsidRDefault="00FF414B" w:rsidP="00FF414B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Ak má materiál vplyvy na PP, ktoré nemožno zaradiť do predchádzajúcich častí, či už pozitívne alebo negatívne, tu ich uveďte. Patria sem: </w:t>
      </w:r>
    </w:p>
    <w:p w14:paraId="5E829325" w14:textId="77777777" w:rsidR="00FF414B" w:rsidRDefault="00FF414B" w:rsidP="00FF414B">
      <w:pPr>
        <w:pStyle w:val="Odsekzoznamu"/>
        <w:numPr>
          <w:ilvl w:val="0"/>
          <w:numId w:val="6"/>
        </w:numPr>
        <w:spacing w:after="0" w:line="254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sankcie alebo pokuty, ako dôsledok porušenia právne záväzných ustanovení;</w:t>
      </w:r>
    </w:p>
    <w:p w14:paraId="5253D007" w14:textId="77777777" w:rsidR="00FF414B" w:rsidRDefault="00FF414B" w:rsidP="00FF414B">
      <w:pPr>
        <w:pStyle w:val="Odsekzoznamu"/>
        <w:numPr>
          <w:ilvl w:val="0"/>
          <w:numId w:val="6"/>
        </w:numPr>
        <w:spacing w:after="0" w:line="254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vplyvy súvisiace so žiadosťami o alebo prijímaním dotácií, fondov, štátnej pomoci a čerpaním iných obdobných foriem podpory zo strany štátu, keďže sú sprievodným </w:t>
      </w:r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>javom uchádzania sa či získania benefitov, na ktoré nie je právny nárok priamo zo zákona, ale vzniká na základe prejavu vôle dotknutého subjektu;</w:t>
      </w:r>
    </w:p>
    <w:p w14:paraId="7460715C" w14:textId="77777777" w:rsidR="00FF414B" w:rsidRDefault="00FF414B" w:rsidP="00FF414B">
      <w:pPr>
        <w:pStyle w:val="Odsekzoznamu"/>
        <w:numPr>
          <w:ilvl w:val="0"/>
          <w:numId w:val="6"/>
        </w:numPr>
        <w:spacing w:after="0" w:line="254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regulované ceny podľa zákona č. 18/1996 Z. z. o cenách;</w:t>
      </w:r>
    </w:p>
    <w:p w14:paraId="32E9C7F0" w14:textId="77777777" w:rsidR="00FF414B" w:rsidRDefault="00FF414B" w:rsidP="00FF414B">
      <w:pPr>
        <w:pStyle w:val="Odsekzoznamu"/>
        <w:numPr>
          <w:ilvl w:val="0"/>
          <w:numId w:val="6"/>
        </w:numPr>
        <w:spacing w:after="0" w:line="254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iné vplyvy, ktoré predpokladá materiál, ale nemožno ich zaradiť do častí 3.1 a 3.3. </w:t>
      </w:r>
    </w:p>
    <w:p w14:paraId="4DA82338" w14:textId="77777777" w:rsidR="005A59A4" w:rsidRPr="00936E8F" w:rsidRDefault="005A59A4" w:rsidP="00936E8F">
      <w:pPr>
        <w:spacing w:after="0" w:line="254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65BFDCD" w14:textId="77777777" w:rsidR="00EA5795" w:rsidRDefault="00EA5795" w:rsidP="00FF414B">
      <w:pPr>
        <w:spacing w:after="0"/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</w:p>
    <w:p w14:paraId="52246EDF" w14:textId="77777777" w:rsidR="00153950" w:rsidRDefault="00EA5795" w:rsidP="00806A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539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Vyhlásenie NP Muránska planina a jeho zón bude mať vplyv </w:t>
      </w:r>
      <w:r w:rsidR="001539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hlavne na 2 skupiny podnikateľov.</w:t>
      </w:r>
    </w:p>
    <w:p w14:paraId="5ABE5333" w14:textId="77777777" w:rsidR="004A362B" w:rsidRDefault="004A362B" w:rsidP="00806A7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1002369" w14:textId="649019C2" w:rsidR="00B771D0" w:rsidRDefault="00153950" w:rsidP="009516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92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Prvou sú </w:t>
      </w:r>
      <w:r w:rsidR="00EA5795" w:rsidRPr="00992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poskytovate</w:t>
      </w:r>
      <w:r w:rsidRPr="00992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lia</w:t>
      </w:r>
      <w:r w:rsidR="00EA5795" w:rsidRPr="00992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služieb v lesnom hospodárstve</w:t>
      </w:r>
      <w:r w:rsidRPr="00992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kde sa predpokladá úbytok </w:t>
      </w:r>
      <w:r w:rsidR="005C67C3" w:rsidRPr="00992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disponibilnej práce pre</w:t>
      </w:r>
      <w:r w:rsidR="00B43EA1" w:rsidRPr="00992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pracovníkov v pestovnej a ťažbovej činnosti</w:t>
      </w:r>
      <w:r w:rsidRPr="00992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nakoľko dôjde k rozšíreniu zóny bez zásahu (zóna A), </w:t>
      </w:r>
      <w:r w:rsidR="00B771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kde </w:t>
      </w:r>
      <w:r w:rsidRPr="00992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nebude dochádza</w:t>
      </w:r>
      <w:r w:rsidR="00B43EA1" w:rsidRPr="00992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ť</w:t>
      </w:r>
      <w:r w:rsidRPr="00992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</w:t>
      </w:r>
      <w:r w:rsidR="00B43EA1" w:rsidRPr="00992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realizácii hospodárskych opatrení</w:t>
      </w:r>
      <w:r w:rsidRPr="00992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EA5795" w:rsidRPr="00992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Predpokladaný</w:t>
      </w:r>
      <w:r w:rsidR="00B43EA1" w:rsidRPr="00992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priemerný</w:t>
      </w:r>
      <w:r w:rsidR="00EA5795" w:rsidRPr="00992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pokles počtu poskytovateľov prác v lesnom hospodárstve </w:t>
      </w:r>
      <w:r w:rsidR="00B43EA1" w:rsidRPr="00992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 tridsaťročnom prognózovanom období </w:t>
      </w:r>
      <w:r w:rsidR="00EA5795" w:rsidRPr="00992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je </w:t>
      </w:r>
      <w:r w:rsidR="00061D66" w:rsidRPr="00992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40</w:t>
      </w:r>
      <w:r w:rsidR="00C206CB" w:rsidRPr="00992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pracovných miest</w:t>
      </w:r>
      <w:r w:rsidR="00B43EA1" w:rsidRPr="00992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pričom počas prvých desiatich rokov sa pre</w:t>
      </w:r>
      <w:r w:rsidR="00061D66" w:rsidRPr="00992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dpokladá pokles o 33 osôb</w:t>
      </w:r>
      <w:r w:rsidR="00EA5795" w:rsidRPr="00992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4E5B" w:rsidRPr="00992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611840D0" w14:textId="5133BAF9" w:rsidR="00B771D0" w:rsidRPr="004524FF" w:rsidRDefault="00B771D0" w:rsidP="00B771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9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Naopak pozitívny vplyv (zvýšenie dopytu po službách v lesnom hospodárstve)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bude </w:t>
      </w:r>
      <w:r w:rsidRPr="004524FF">
        <w:rPr>
          <w:rFonts w:ascii="Times New Roman" w:eastAsia="Calibri" w:hAnsi="Times New Roman" w:cs="Times New Roman"/>
          <w:sz w:val="24"/>
          <w:szCs w:val="24"/>
        </w:rPr>
        <w:t xml:space="preserve">jednoznačne v dôsledku zvýšenej potreby pracovnej sily na realizáciu </w:t>
      </w:r>
      <w:r w:rsidRPr="004524FF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opatrení na obnovu prirodzeného drevinového zloženia lesných ekosystémov a časovo náročných postupov pri dôslednejšom uplatňovaní prírode blízkeho lesného hospodárstva v zónach B a C novo vymedzeného NP Muránska planina, pričom predpokladaný ročný objem </w:t>
      </w:r>
      <w:r w:rsidR="007D1DF1" w:rsidRPr="004524FF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predstavuje </w:t>
      </w:r>
      <w:r w:rsidRPr="004524FF">
        <w:rPr>
          <w:rFonts w:ascii="Times New Roman" w:eastAsia="Calibri" w:hAnsi="Times New Roman" w:cs="Times New Roman"/>
          <w:sz w:val="24"/>
          <w:szCs w:val="24"/>
          <w:lang w:eastAsia="sk-SK"/>
        </w:rPr>
        <w:t>20 000 m</w:t>
      </w:r>
      <w:r w:rsidRPr="004524FF">
        <w:rPr>
          <w:rFonts w:ascii="Times New Roman" w:eastAsia="Calibri" w:hAnsi="Times New Roman" w:cs="Times New Roman"/>
          <w:sz w:val="24"/>
          <w:szCs w:val="24"/>
          <w:vertAlign w:val="superscript"/>
          <w:lang w:eastAsia="sk-SK"/>
        </w:rPr>
        <w:t xml:space="preserve">3 </w:t>
      </w:r>
      <w:r w:rsidRPr="004524FF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dreva na štátnych lesných pozemkoch. Podľa platnej legislatívy je v národnom parku mimo zóny A možné len prírode blízke obhospodarovanie. Predpokladaný nárast dopytu po službách v lesnom hospodárstve z vyššie uvedených dôvodov a pri starostlivosti o turistickú infraštruktúru zodpovedá priemerne 10 pracovným miestam za celé územie NP Muránska planina. </w:t>
      </w:r>
    </w:p>
    <w:p w14:paraId="01FC0411" w14:textId="6709E1F3" w:rsidR="009516D6" w:rsidRPr="004524FF" w:rsidRDefault="00B771D0" w:rsidP="009516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4FF">
        <w:rPr>
          <w:rFonts w:ascii="Times New Roman" w:eastAsia="Calibri" w:hAnsi="Times New Roman" w:cs="Times New Roman"/>
          <w:sz w:val="24"/>
          <w:szCs w:val="24"/>
        </w:rPr>
        <w:t>Úb</w:t>
      </w:r>
      <w:r w:rsidR="00954E5B" w:rsidRPr="004524FF">
        <w:rPr>
          <w:rFonts w:ascii="Times New Roman" w:eastAsia="Calibri" w:hAnsi="Times New Roman" w:cs="Times New Roman"/>
          <w:sz w:val="24"/>
          <w:szCs w:val="24"/>
        </w:rPr>
        <w:t>yt</w:t>
      </w:r>
      <w:r w:rsidRPr="004524FF">
        <w:rPr>
          <w:rFonts w:ascii="Times New Roman" w:eastAsia="Calibri" w:hAnsi="Times New Roman" w:cs="Times New Roman"/>
          <w:sz w:val="24"/>
          <w:szCs w:val="24"/>
        </w:rPr>
        <w:t xml:space="preserve">ok pracovných príležitostí pre poskytovateľov prác v lesnom hospodárstve je </w:t>
      </w:r>
      <w:r w:rsidR="00954E5B" w:rsidRPr="004524FF">
        <w:rPr>
          <w:rFonts w:ascii="Times New Roman" w:eastAsia="Calibri" w:hAnsi="Times New Roman" w:cs="Times New Roman"/>
          <w:sz w:val="24"/>
          <w:szCs w:val="24"/>
        </w:rPr>
        <w:t>kompenzovan</w:t>
      </w:r>
      <w:r w:rsidRPr="004524FF">
        <w:rPr>
          <w:rFonts w:ascii="Times New Roman" w:eastAsia="Calibri" w:hAnsi="Times New Roman" w:cs="Times New Roman"/>
          <w:sz w:val="24"/>
          <w:szCs w:val="24"/>
        </w:rPr>
        <w:t xml:space="preserve">ý aj </w:t>
      </w:r>
      <w:r w:rsidR="00954E5B" w:rsidRPr="004524FF">
        <w:rPr>
          <w:rFonts w:ascii="Times New Roman" w:eastAsia="Calibri" w:hAnsi="Times New Roman" w:cs="Times New Roman"/>
          <w:sz w:val="24"/>
          <w:szCs w:val="24"/>
        </w:rPr>
        <w:t>cez zvýšenie počtu zamestnancov organizácie ochrany prírody a krajiny – Správy Národného parku Muránska planina</w:t>
      </w:r>
      <w:r w:rsidR="00992256" w:rsidRPr="004524FF">
        <w:rPr>
          <w:rFonts w:ascii="Times New Roman" w:eastAsia="Calibri" w:hAnsi="Times New Roman" w:cs="Times New Roman"/>
          <w:sz w:val="24"/>
          <w:szCs w:val="24"/>
        </w:rPr>
        <w:t xml:space="preserve"> so sídlom v Revúcej</w:t>
      </w:r>
      <w:r w:rsidR="00954E5B" w:rsidRPr="004524FF">
        <w:rPr>
          <w:rFonts w:ascii="Times New Roman" w:eastAsia="Calibri" w:hAnsi="Times New Roman" w:cs="Times New Roman"/>
          <w:sz w:val="24"/>
          <w:szCs w:val="24"/>
        </w:rPr>
        <w:t>, ktorá b</w:t>
      </w:r>
      <w:r w:rsidR="002730A1" w:rsidRPr="004524FF">
        <w:rPr>
          <w:rFonts w:ascii="Times New Roman" w:eastAsia="Calibri" w:hAnsi="Times New Roman" w:cs="Times New Roman"/>
          <w:sz w:val="24"/>
          <w:szCs w:val="24"/>
        </w:rPr>
        <w:t>ola</w:t>
      </w:r>
      <w:r w:rsidR="00954E5B" w:rsidRPr="004524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30A1" w:rsidRPr="004524FF">
        <w:rPr>
          <w:rFonts w:ascii="Times New Roman" w:eastAsia="Calibri" w:hAnsi="Times New Roman" w:cs="Times New Roman"/>
          <w:sz w:val="24"/>
          <w:szCs w:val="24"/>
        </w:rPr>
        <w:t xml:space="preserve"> zriadená </w:t>
      </w:r>
      <w:r w:rsidR="00C206CB" w:rsidRPr="004524FF">
        <w:rPr>
          <w:rFonts w:ascii="Times New Roman" w:eastAsia="Calibri" w:hAnsi="Times New Roman" w:cs="Times New Roman"/>
          <w:sz w:val="24"/>
          <w:szCs w:val="24"/>
        </w:rPr>
        <w:t>podľa</w:t>
      </w:r>
      <w:r w:rsidR="00954E5B" w:rsidRPr="004524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30A1" w:rsidRPr="004524FF">
        <w:rPr>
          <w:rFonts w:ascii="Times New Roman" w:eastAsia="Calibri" w:hAnsi="Times New Roman" w:cs="Times New Roman"/>
          <w:sz w:val="24"/>
          <w:szCs w:val="24"/>
        </w:rPr>
        <w:t>zákona č. 6/2022 Z. z., ktorým sa mení a dopĺňa zákon č. 543/2002 Z. z. o ochrane prírody a krajiny v znení neskorších predpisov a ktorým sa menia a dopĺňajú niektoré zákony</w:t>
      </w:r>
      <w:r w:rsidR="009516D6" w:rsidRPr="004524FF">
        <w:rPr>
          <w:rFonts w:ascii="Times New Roman" w:eastAsia="Calibri" w:hAnsi="Times New Roman" w:cs="Times New Roman"/>
          <w:sz w:val="24"/>
          <w:szCs w:val="24"/>
        </w:rPr>
        <w:t xml:space="preserve">. V roku 2022 </w:t>
      </w:r>
      <w:r w:rsidR="0027166B" w:rsidRPr="004524FF">
        <w:rPr>
          <w:rFonts w:ascii="Times New Roman" w:eastAsia="Calibri" w:hAnsi="Times New Roman" w:cs="Times New Roman"/>
          <w:sz w:val="24"/>
          <w:szCs w:val="24"/>
        </w:rPr>
        <w:t>boli pr</w:t>
      </w:r>
      <w:r w:rsidR="00975155" w:rsidRPr="004524FF">
        <w:rPr>
          <w:rFonts w:ascii="Times New Roman" w:eastAsia="Calibri" w:hAnsi="Times New Roman" w:cs="Times New Roman"/>
          <w:sz w:val="24"/>
          <w:szCs w:val="24"/>
        </w:rPr>
        <w:t>i</w:t>
      </w:r>
      <w:r w:rsidR="0027166B" w:rsidRPr="004524FF">
        <w:rPr>
          <w:rFonts w:ascii="Times New Roman" w:eastAsia="Calibri" w:hAnsi="Times New Roman" w:cs="Times New Roman"/>
          <w:sz w:val="24"/>
          <w:szCs w:val="24"/>
        </w:rPr>
        <w:t xml:space="preserve">jatí 4 noví pracovníci, v roku 2023 je plánované </w:t>
      </w:r>
      <w:r w:rsidR="009516D6" w:rsidRPr="004524FF">
        <w:rPr>
          <w:rFonts w:ascii="Times New Roman" w:eastAsia="Calibri" w:hAnsi="Times New Roman" w:cs="Times New Roman"/>
          <w:sz w:val="24"/>
          <w:szCs w:val="24"/>
        </w:rPr>
        <w:t xml:space="preserve">prijatie 10 ďalších pracovníkov, ktorí budú vykonávať odborné úlohy. V uvedenej príspevkovej organizácii  je od apríla 2022 zamestnaných 18  pracovníkov Lesov Slovenskej republiky, š. p. a </w:t>
      </w:r>
      <w:r w:rsidR="009516D6" w:rsidRPr="004524FF">
        <w:rPr>
          <w:rFonts w:ascii="Times New Roman" w:hAnsi="Times New Roman" w:cs="Times New Roman"/>
          <w:sz w:val="24"/>
          <w:szCs w:val="24"/>
        </w:rPr>
        <w:t xml:space="preserve">do jej správy prešlo 11 503,2120 ha pozemkov. Po schválení zonácie Národného parku Muránska planina by sa mala navýšiť výmera štátnych pozemkov pod Správou Národného parku Muránska planina so sídlom v Revúcej na 16 067,3885 ha a delimitovaných by malo byť ďalších 5 zamestnancov. Tieto </w:t>
      </w:r>
      <w:r w:rsidR="007D1DF1" w:rsidRPr="004524FF">
        <w:rPr>
          <w:rFonts w:ascii="Times New Roman" w:hAnsi="Times New Roman" w:cs="Times New Roman"/>
          <w:sz w:val="24"/>
          <w:szCs w:val="24"/>
        </w:rPr>
        <w:t>zmeny</w:t>
      </w:r>
      <w:r w:rsidR="009516D6" w:rsidRPr="004524FF">
        <w:rPr>
          <w:rFonts w:ascii="Times New Roman" w:hAnsi="Times New Roman" w:cs="Times New Roman"/>
          <w:sz w:val="24"/>
          <w:szCs w:val="24"/>
        </w:rPr>
        <w:t xml:space="preserve"> </w:t>
      </w:r>
      <w:r w:rsidR="0027166B" w:rsidRPr="004524FF">
        <w:rPr>
          <w:rFonts w:ascii="Times New Roman" w:hAnsi="Times New Roman" w:cs="Times New Roman"/>
          <w:sz w:val="24"/>
          <w:szCs w:val="24"/>
        </w:rPr>
        <w:t xml:space="preserve">sú rozpočtovo kryté v rámci </w:t>
      </w:r>
      <w:r w:rsidR="009516D6" w:rsidRPr="004524FF">
        <w:rPr>
          <w:rFonts w:ascii="Times New Roman" w:hAnsi="Times New Roman" w:cs="Times New Roman"/>
          <w:sz w:val="24"/>
          <w:szCs w:val="24"/>
        </w:rPr>
        <w:t>rozpočt</w:t>
      </w:r>
      <w:r w:rsidR="007D1DF1" w:rsidRPr="004524FF">
        <w:rPr>
          <w:rFonts w:ascii="Times New Roman" w:hAnsi="Times New Roman" w:cs="Times New Roman"/>
          <w:sz w:val="24"/>
          <w:szCs w:val="24"/>
        </w:rPr>
        <w:t>ovej</w:t>
      </w:r>
      <w:r w:rsidR="009516D6" w:rsidRPr="004524FF">
        <w:rPr>
          <w:rFonts w:ascii="Times New Roman" w:hAnsi="Times New Roman" w:cs="Times New Roman"/>
          <w:sz w:val="24"/>
          <w:szCs w:val="24"/>
        </w:rPr>
        <w:t xml:space="preserve"> kapitol</w:t>
      </w:r>
      <w:r w:rsidR="0027166B" w:rsidRPr="004524FF">
        <w:rPr>
          <w:rFonts w:ascii="Times New Roman" w:hAnsi="Times New Roman" w:cs="Times New Roman"/>
          <w:sz w:val="24"/>
          <w:szCs w:val="24"/>
        </w:rPr>
        <w:t>y</w:t>
      </w:r>
      <w:r w:rsidR="007D1DF1" w:rsidRPr="004524FF">
        <w:rPr>
          <w:rFonts w:ascii="Times New Roman" w:hAnsi="Times New Roman" w:cs="Times New Roman"/>
          <w:sz w:val="24"/>
          <w:szCs w:val="24"/>
        </w:rPr>
        <w:t xml:space="preserve"> </w:t>
      </w:r>
      <w:r w:rsidR="009516D6" w:rsidRPr="004524FF">
        <w:rPr>
          <w:rFonts w:ascii="Times New Roman" w:hAnsi="Times New Roman" w:cs="Times New Roman"/>
          <w:sz w:val="24"/>
          <w:szCs w:val="24"/>
        </w:rPr>
        <w:t>Ministerstva životného prostredia Slovenskej republiky. Príspevky do verejných zdrojov (odvody, dane) prechádzajú zo štátneho podniku Lesy SR, š. p. na Správu Národného parku Muránska planina so sídlom v Revúcej.</w:t>
      </w:r>
    </w:p>
    <w:p w14:paraId="24D1D9BC" w14:textId="074BA9A4" w:rsidR="00D22FE9" w:rsidRPr="004524FF" w:rsidRDefault="00D22FE9" w:rsidP="00806A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14:paraId="219ACF4D" w14:textId="6DCAAB85" w:rsidR="00992256" w:rsidRPr="004524FF" w:rsidRDefault="006225ED" w:rsidP="003547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4FF">
        <w:rPr>
          <w:rFonts w:ascii="Times New Roman" w:hAnsi="Times New Roman" w:cs="Times New Roman"/>
          <w:sz w:val="24"/>
          <w:szCs w:val="24"/>
        </w:rPr>
        <w:t xml:space="preserve">Pre úplnosť uvádzame, že </w:t>
      </w:r>
      <w:r w:rsidR="00992256" w:rsidRPr="004524FF">
        <w:rPr>
          <w:rFonts w:ascii="Times New Roman" w:hAnsi="Times New Roman" w:cs="Times New Roman"/>
          <w:sz w:val="24"/>
          <w:szCs w:val="24"/>
        </w:rPr>
        <w:t xml:space="preserve">pri modelovaní objemu ťažby </w:t>
      </w:r>
      <w:r w:rsidRPr="004524FF">
        <w:rPr>
          <w:rFonts w:ascii="Times New Roman" w:hAnsi="Times New Roman" w:cs="Times New Roman"/>
          <w:sz w:val="24"/>
          <w:szCs w:val="24"/>
        </w:rPr>
        <w:t xml:space="preserve">sa </w:t>
      </w:r>
      <w:r w:rsidR="00992256" w:rsidRPr="004524FF">
        <w:rPr>
          <w:rFonts w:ascii="Times New Roman" w:hAnsi="Times New Roman" w:cs="Times New Roman"/>
          <w:sz w:val="24"/>
          <w:szCs w:val="24"/>
        </w:rPr>
        <w:t>predpokladá pokles priemerného objemu ťažby dreva v</w:t>
      </w:r>
      <w:r w:rsidRPr="004524FF">
        <w:rPr>
          <w:rFonts w:ascii="Times New Roman" w:hAnsi="Times New Roman" w:cs="Times New Roman"/>
          <w:sz w:val="24"/>
          <w:szCs w:val="24"/>
        </w:rPr>
        <w:t> </w:t>
      </w:r>
      <w:r w:rsidR="00992256" w:rsidRPr="004524FF">
        <w:rPr>
          <w:rFonts w:ascii="Times New Roman" w:hAnsi="Times New Roman" w:cs="Times New Roman"/>
          <w:sz w:val="24"/>
          <w:szCs w:val="24"/>
        </w:rPr>
        <w:t>N</w:t>
      </w:r>
      <w:r w:rsidR="00C363A3" w:rsidRPr="004524FF">
        <w:rPr>
          <w:rFonts w:ascii="Times New Roman" w:hAnsi="Times New Roman" w:cs="Times New Roman"/>
          <w:sz w:val="24"/>
          <w:szCs w:val="24"/>
        </w:rPr>
        <w:t>P</w:t>
      </w:r>
      <w:r w:rsidRPr="004524FF">
        <w:rPr>
          <w:rFonts w:ascii="Times New Roman" w:hAnsi="Times New Roman" w:cs="Times New Roman"/>
          <w:sz w:val="24"/>
          <w:szCs w:val="24"/>
        </w:rPr>
        <w:t xml:space="preserve"> Muránska planina </w:t>
      </w:r>
      <w:r w:rsidR="00992256" w:rsidRPr="004524FF">
        <w:rPr>
          <w:rFonts w:ascii="Times New Roman" w:hAnsi="Times New Roman" w:cs="Times New Roman"/>
          <w:sz w:val="24"/>
          <w:szCs w:val="24"/>
        </w:rPr>
        <w:t>z</w:t>
      </w:r>
      <w:r w:rsidRPr="004524FF">
        <w:rPr>
          <w:rFonts w:ascii="Times New Roman" w:hAnsi="Times New Roman" w:cs="Times New Roman"/>
          <w:sz w:val="24"/>
          <w:szCs w:val="24"/>
        </w:rPr>
        <w:t> </w:t>
      </w:r>
      <w:r w:rsidR="00992256" w:rsidRPr="004524FF">
        <w:rPr>
          <w:rFonts w:ascii="Times New Roman" w:hAnsi="Times New Roman" w:cs="Times New Roman"/>
          <w:sz w:val="24"/>
          <w:szCs w:val="24"/>
        </w:rPr>
        <w:t>80</w:t>
      </w:r>
      <w:r w:rsidRPr="004524FF">
        <w:rPr>
          <w:rFonts w:ascii="Times New Roman" w:hAnsi="Times New Roman" w:cs="Times New Roman"/>
          <w:sz w:val="24"/>
          <w:szCs w:val="24"/>
        </w:rPr>
        <w:t xml:space="preserve"> </w:t>
      </w:r>
      <w:r w:rsidR="00992256" w:rsidRPr="004524FF">
        <w:rPr>
          <w:rFonts w:ascii="Times New Roman" w:hAnsi="Times New Roman" w:cs="Times New Roman"/>
          <w:sz w:val="24"/>
          <w:szCs w:val="24"/>
        </w:rPr>
        <w:t>489 m</w:t>
      </w:r>
      <w:r w:rsidR="00992256" w:rsidRPr="004524F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92256" w:rsidRPr="004524FF">
        <w:rPr>
          <w:rFonts w:ascii="Times New Roman" w:hAnsi="Times New Roman" w:cs="Times New Roman"/>
          <w:sz w:val="24"/>
          <w:szCs w:val="24"/>
        </w:rPr>
        <w:t xml:space="preserve"> na 40</w:t>
      </w:r>
      <w:r w:rsidRPr="004524FF">
        <w:rPr>
          <w:rFonts w:ascii="Times New Roman" w:hAnsi="Times New Roman" w:cs="Times New Roman"/>
          <w:sz w:val="24"/>
          <w:szCs w:val="24"/>
        </w:rPr>
        <w:t xml:space="preserve"> </w:t>
      </w:r>
      <w:r w:rsidR="00992256" w:rsidRPr="004524FF">
        <w:rPr>
          <w:rFonts w:ascii="Times New Roman" w:hAnsi="Times New Roman" w:cs="Times New Roman"/>
          <w:sz w:val="24"/>
          <w:szCs w:val="24"/>
        </w:rPr>
        <w:t>466 m</w:t>
      </w:r>
      <w:r w:rsidR="00992256" w:rsidRPr="004524F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92256" w:rsidRPr="004524FF">
        <w:rPr>
          <w:rFonts w:ascii="Times New Roman" w:hAnsi="Times New Roman" w:cs="Times New Roman"/>
          <w:sz w:val="24"/>
          <w:szCs w:val="24"/>
        </w:rPr>
        <w:t>, pokles teda predstavuje 40</w:t>
      </w:r>
      <w:r w:rsidRPr="004524FF">
        <w:rPr>
          <w:rFonts w:ascii="Times New Roman" w:hAnsi="Times New Roman" w:cs="Times New Roman"/>
          <w:sz w:val="24"/>
          <w:szCs w:val="24"/>
        </w:rPr>
        <w:t xml:space="preserve"> </w:t>
      </w:r>
      <w:r w:rsidR="00992256" w:rsidRPr="004524FF">
        <w:rPr>
          <w:rFonts w:ascii="Times New Roman" w:hAnsi="Times New Roman" w:cs="Times New Roman"/>
          <w:sz w:val="24"/>
          <w:szCs w:val="24"/>
        </w:rPr>
        <w:t>023 m</w:t>
      </w:r>
      <w:r w:rsidR="00992256" w:rsidRPr="004524F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92256" w:rsidRPr="004524FF">
        <w:rPr>
          <w:rFonts w:ascii="Times New Roman" w:hAnsi="Times New Roman" w:cs="Times New Roman"/>
          <w:sz w:val="24"/>
          <w:szCs w:val="24"/>
        </w:rPr>
        <w:t xml:space="preserve"> ročne. Medziročne kolíše ťažba dreva </w:t>
      </w:r>
      <w:r w:rsidR="00250F31" w:rsidRPr="004524FF">
        <w:rPr>
          <w:rFonts w:ascii="Times New Roman" w:hAnsi="Times New Roman" w:cs="Times New Roman"/>
          <w:sz w:val="24"/>
          <w:szCs w:val="24"/>
        </w:rPr>
        <w:t>na Slovensku</w:t>
      </w:r>
      <w:r w:rsidR="00992256" w:rsidRPr="004524FF">
        <w:rPr>
          <w:rFonts w:ascii="Times New Roman" w:hAnsi="Times New Roman" w:cs="Times New Roman"/>
          <w:sz w:val="24"/>
          <w:szCs w:val="24"/>
        </w:rPr>
        <w:t xml:space="preserve"> pomerne významne, najnižší objem ťažby medzi rokmi 2016 až 2020 bol v roku 2020, kedy bolo vyťažených 7</w:t>
      </w:r>
      <w:r w:rsidR="00250F31" w:rsidRPr="004524FF">
        <w:rPr>
          <w:rFonts w:ascii="Times New Roman" w:hAnsi="Times New Roman" w:cs="Times New Roman"/>
          <w:sz w:val="24"/>
          <w:szCs w:val="24"/>
        </w:rPr>
        <w:t xml:space="preserve"> </w:t>
      </w:r>
      <w:r w:rsidR="00992256" w:rsidRPr="004524FF">
        <w:rPr>
          <w:rFonts w:ascii="Times New Roman" w:hAnsi="Times New Roman" w:cs="Times New Roman"/>
          <w:sz w:val="24"/>
          <w:szCs w:val="24"/>
        </w:rPr>
        <w:t>510,5 tisíc m</w:t>
      </w:r>
      <w:r w:rsidR="00992256" w:rsidRPr="004524F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92256" w:rsidRPr="004524FF">
        <w:rPr>
          <w:rFonts w:ascii="Times New Roman" w:hAnsi="Times New Roman" w:cs="Times New Roman"/>
          <w:sz w:val="24"/>
          <w:szCs w:val="24"/>
        </w:rPr>
        <w:t xml:space="preserve"> dreva, najviac v roku 2018, kedy bolo vyťažených 9</w:t>
      </w:r>
      <w:r w:rsidR="00250F31" w:rsidRPr="004524FF">
        <w:rPr>
          <w:rFonts w:ascii="Times New Roman" w:hAnsi="Times New Roman" w:cs="Times New Roman"/>
          <w:sz w:val="24"/>
          <w:szCs w:val="24"/>
        </w:rPr>
        <w:t xml:space="preserve"> </w:t>
      </w:r>
      <w:r w:rsidR="00992256" w:rsidRPr="004524FF">
        <w:rPr>
          <w:rFonts w:ascii="Times New Roman" w:hAnsi="Times New Roman" w:cs="Times New Roman"/>
          <w:sz w:val="24"/>
          <w:szCs w:val="24"/>
        </w:rPr>
        <w:t>864,7 tisíc m</w:t>
      </w:r>
      <w:r w:rsidR="00992256" w:rsidRPr="004524F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92256" w:rsidRPr="004524FF">
        <w:rPr>
          <w:rFonts w:ascii="Times New Roman" w:hAnsi="Times New Roman" w:cs="Times New Roman"/>
          <w:sz w:val="24"/>
          <w:szCs w:val="24"/>
        </w:rPr>
        <w:t xml:space="preserve"> dreva.  Pokles ťažby v dôsledku zonácie N</w:t>
      </w:r>
      <w:r w:rsidR="00250F31" w:rsidRPr="004524FF">
        <w:rPr>
          <w:rFonts w:ascii="Times New Roman" w:hAnsi="Times New Roman" w:cs="Times New Roman"/>
          <w:sz w:val="24"/>
          <w:szCs w:val="24"/>
        </w:rPr>
        <w:t>árodn</w:t>
      </w:r>
      <w:r w:rsidR="004A1BBF" w:rsidRPr="004524FF">
        <w:rPr>
          <w:rFonts w:ascii="Times New Roman" w:hAnsi="Times New Roman" w:cs="Times New Roman"/>
          <w:sz w:val="24"/>
          <w:szCs w:val="24"/>
        </w:rPr>
        <w:t xml:space="preserve">ého </w:t>
      </w:r>
      <w:r w:rsidR="00250F31" w:rsidRPr="004524FF">
        <w:rPr>
          <w:rFonts w:ascii="Times New Roman" w:hAnsi="Times New Roman" w:cs="Times New Roman"/>
          <w:sz w:val="24"/>
          <w:szCs w:val="24"/>
        </w:rPr>
        <w:t>parku</w:t>
      </w:r>
      <w:r w:rsidR="00992256" w:rsidRPr="004524FF">
        <w:rPr>
          <w:rFonts w:ascii="Times New Roman" w:hAnsi="Times New Roman" w:cs="Times New Roman"/>
          <w:sz w:val="24"/>
          <w:szCs w:val="24"/>
        </w:rPr>
        <w:t xml:space="preserve"> Muránska planina v objeme približne 40 tisíc m</w:t>
      </w:r>
      <w:r w:rsidR="00992256" w:rsidRPr="004524F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92256" w:rsidRPr="004524FF">
        <w:rPr>
          <w:rFonts w:ascii="Times New Roman" w:hAnsi="Times New Roman" w:cs="Times New Roman"/>
          <w:sz w:val="24"/>
          <w:szCs w:val="24"/>
        </w:rPr>
        <w:t xml:space="preserve"> teda predstavuje len 1,7 % rozpätia kolísania hodnôt objemov ročných ťažieb na Slovensku za </w:t>
      </w:r>
      <w:r w:rsidR="007D1DF1" w:rsidRPr="004524FF">
        <w:rPr>
          <w:rFonts w:ascii="Times New Roman" w:hAnsi="Times New Roman" w:cs="Times New Roman"/>
          <w:sz w:val="24"/>
          <w:szCs w:val="24"/>
        </w:rPr>
        <w:t>ostatných</w:t>
      </w:r>
      <w:r w:rsidR="00992256" w:rsidRPr="004524FF">
        <w:rPr>
          <w:rFonts w:ascii="Times New Roman" w:hAnsi="Times New Roman" w:cs="Times New Roman"/>
          <w:sz w:val="24"/>
          <w:szCs w:val="24"/>
        </w:rPr>
        <w:t xml:space="preserve"> 5 rokov. V porovnaní s ďalšími faktormi podnikateľského prostredia, ktoré ovplyvňujú cenu a dostupnosť dreva na trhu (prebytok kalamitného dreva v </w:t>
      </w:r>
      <w:r w:rsidR="00992256" w:rsidRPr="004524FF">
        <w:rPr>
          <w:rFonts w:ascii="Times New Roman" w:hAnsi="Times New Roman" w:cs="Times New Roman"/>
          <w:sz w:val="24"/>
          <w:szCs w:val="24"/>
        </w:rPr>
        <w:lastRenderedPageBreak/>
        <w:t>roku 2020, vznik pandémie COVID-19 začiatkom roka 2020 s následným lockdownom, skokové oživenie dopytu po 2. vlne pandémie z prelomu rokov 2020-2021, zníženie plánovaných ťažieb o jednu tretinu u štátnych lesov v dôsledku kalamít pre rok 2021, enormný dopyt po ihličnatom rezive 2021, oživenie stavebného trhu po pandémii a s tým spojený export dreva do USA, Kanady, Číny za troj- až štvornásobne vyššie ceny) je to zanedbateľný vplyv, ktorý nie je možné izolovane hodnoverne zhodnotiť, pretože sa deje v kontexte s ostatnými faktormi.</w:t>
      </w:r>
      <w:r w:rsidR="004A1BBF" w:rsidRPr="004524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0F73D2" w14:textId="77777777" w:rsidR="00153950" w:rsidRDefault="004E6B89" w:rsidP="00806A7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524FF">
        <w:rPr>
          <w:rFonts w:ascii="Times New Roman" w:eastAsia="Calibri" w:hAnsi="Times New Roman" w:cs="Times New Roman"/>
          <w:sz w:val="24"/>
          <w:szCs w:val="24"/>
        </w:rPr>
        <w:t xml:space="preserve">Druhou skupinou sú poskytovatelia služieb v cestovnom ruchu, hlavne </w:t>
      </w:r>
      <w:r w:rsidR="00EA5795" w:rsidRPr="004524FF">
        <w:rPr>
          <w:rFonts w:ascii="Times New Roman" w:eastAsia="Calibri" w:hAnsi="Times New Roman" w:cs="Times New Roman"/>
          <w:sz w:val="24"/>
          <w:szCs w:val="24"/>
        </w:rPr>
        <w:t xml:space="preserve">prírodného cestovného ruchu, ktorý vyvolá uplatňovane marketingového manažmentu cestovného ruchu, </w:t>
      </w:r>
      <w:r w:rsidR="008F05AB" w:rsidRPr="004524FF">
        <w:rPr>
          <w:rFonts w:ascii="Times New Roman" w:eastAsia="Calibri" w:hAnsi="Times New Roman" w:cs="Times New Roman"/>
          <w:sz w:val="24"/>
          <w:szCs w:val="24"/>
        </w:rPr>
        <w:t xml:space="preserve">ako </w:t>
      </w:r>
      <w:r w:rsidR="00EA5795" w:rsidRPr="004524FF">
        <w:rPr>
          <w:rFonts w:ascii="Times New Roman" w:eastAsia="Calibri" w:hAnsi="Times New Roman" w:cs="Times New Roman"/>
          <w:sz w:val="24"/>
          <w:szCs w:val="24"/>
        </w:rPr>
        <w:t>jedn</w:t>
      </w:r>
      <w:r w:rsidR="008F05AB" w:rsidRPr="004524FF">
        <w:rPr>
          <w:rFonts w:ascii="Times New Roman" w:eastAsia="Calibri" w:hAnsi="Times New Roman" w:cs="Times New Roman"/>
          <w:sz w:val="24"/>
          <w:szCs w:val="24"/>
        </w:rPr>
        <w:t>ého</w:t>
      </w:r>
      <w:r w:rsidR="00EA5795" w:rsidRPr="004524FF">
        <w:rPr>
          <w:rFonts w:ascii="Times New Roman" w:eastAsia="Calibri" w:hAnsi="Times New Roman" w:cs="Times New Roman"/>
          <w:sz w:val="24"/>
          <w:szCs w:val="24"/>
        </w:rPr>
        <w:t xml:space="preserve"> z cieľov </w:t>
      </w:r>
      <w:r w:rsidR="008F05AB" w:rsidRPr="004524FF">
        <w:rPr>
          <w:rFonts w:ascii="Times New Roman" w:eastAsia="Calibri" w:hAnsi="Times New Roman" w:cs="Times New Roman"/>
          <w:sz w:val="24"/>
          <w:szCs w:val="24"/>
        </w:rPr>
        <w:t>vyhlásenia</w:t>
      </w:r>
      <w:r w:rsidR="00EA5795" w:rsidRPr="004524FF">
        <w:rPr>
          <w:rFonts w:ascii="Times New Roman" w:eastAsia="Calibri" w:hAnsi="Times New Roman" w:cs="Times New Roman"/>
          <w:sz w:val="24"/>
          <w:szCs w:val="24"/>
        </w:rPr>
        <w:t xml:space="preserve"> NP Muránska planina.</w:t>
      </w:r>
      <w:r w:rsidRPr="004524FF">
        <w:rPr>
          <w:rFonts w:ascii="Times New Roman" w:eastAsia="Calibri" w:hAnsi="Times New Roman" w:cs="Times New Roman"/>
          <w:sz w:val="24"/>
          <w:szCs w:val="24"/>
        </w:rPr>
        <w:t xml:space="preserve"> Ide napríklad o pešiu či konskú cykloturistiku, pre ktoré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má región už teraz vynikajúce podmienky a ktoré je žiaduce rozširovať (v na to určených častiach NP</w:t>
      </w:r>
      <w:r w:rsidR="00061D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 v jeho ochrannom pásme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). </w:t>
      </w:r>
      <w:r w:rsidR="00153950" w:rsidRPr="00763B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Vyhlásenie NP Muránska Planina 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153950" w:rsidRPr="00763B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jeho zón 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 následná </w:t>
      </w:r>
      <w:r w:rsidR="00153950" w:rsidRPr="00763B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realizácia cieľov ochrany a manažmentu NP Muránska planina vytvorí podmienky pre zvýšenie atraktívnosti územia, čo je predpokladom jeho zvýšenej návštevnosti. Zvýši sa dopyt po ubytovaní, lokálnych službách a</w:t>
      </w:r>
      <w:r w:rsidR="00954E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153950" w:rsidRPr="00763B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produktoch</w:t>
      </w:r>
      <w:r w:rsidR="00954E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čo je identifikované v </w:t>
      </w:r>
      <w:r w:rsidR="00954E5B" w:rsidRPr="00763B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Stratégii rozvoja udržateľného cestovného ruchu </w:t>
      </w:r>
      <w:r w:rsidR="003016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 Národnom parku </w:t>
      </w:r>
      <w:r w:rsidR="00954E5B" w:rsidRPr="00763B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Muránska planina do roku 2030</w:t>
      </w:r>
      <w:r w:rsidR="00153950" w:rsidRPr="00763B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4E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Tento dokume</w:t>
      </w:r>
      <w:r w:rsidR="00763B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</w:t>
      </w:r>
      <w:r w:rsidR="00954E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 </w:t>
      </w:r>
      <w:r w:rsidR="00954E5B" w:rsidRPr="007479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dopracú</w:t>
      </w:r>
      <w:r w:rsidR="00954E5B" w:rsidRPr="00806A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va</w:t>
      </w:r>
      <w:r w:rsidR="005D403B" w:rsidRPr="00806A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Rozvojová agentúra Banskobystrického samosprávneho kraja, n. o., ŠOP SR, Správa NP Muránska planina, </w:t>
      </w:r>
      <w:r w:rsidR="008F05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Oblastná organizácia cestovného ruchu (</w:t>
      </w:r>
      <w:r w:rsidR="005D403B" w:rsidRPr="00806A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OOCR</w:t>
      </w:r>
      <w:r w:rsidR="008F05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="005D403B" w:rsidRPr="00806A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Gemer a OOCR Región Horehronie v spolupráci s ďalšími subjektami</w:t>
      </w:r>
      <w:r w:rsidR="00954E5B" w:rsidRPr="00806A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pričom do </w:t>
      </w:r>
      <w:r w:rsidR="007B79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jeho </w:t>
      </w:r>
      <w:r w:rsidR="00954E5B" w:rsidRPr="00806A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prípravy boli zapojené </w:t>
      </w:r>
      <w:r w:rsidR="005D403B" w:rsidRPr="007479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aj turistické organizácie, obce, miestni podnikatelia v cestovnom ruchu</w:t>
      </w:r>
      <w:r w:rsidR="00061D66" w:rsidRPr="007479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 združenia regionálneho rozvoja.</w:t>
      </w:r>
      <w:r w:rsidR="005D403B" w:rsidRPr="007479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63B74" w:rsidRPr="0074795D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Predpokladané je využitie hlavne miestneho potenciálu a to aktuálne </w:t>
      </w:r>
      <w:r w:rsidR="00061D66" w:rsidRPr="0074795D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aj za pomoci investícií </w:t>
      </w:r>
      <w:r w:rsidR="00763B74" w:rsidRPr="0074795D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v rámci podpory Plánu obnovy a odolnosti SR, kde boli alokované finančné prostriedky na podporu mäkkého turizmu pre NP Muránska planina spolu s NP Poloniny vo výške 16,8 mil. </w:t>
      </w:r>
      <w:r w:rsidR="007B79FF">
        <w:rPr>
          <w:rFonts w:ascii="Times New Roman" w:eastAsia="Calibri" w:hAnsi="Times New Roman" w:cs="Times New Roman"/>
          <w:sz w:val="24"/>
          <w:szCs w:val="24"/>
          <w:lang w:eastAsia="sk-SK"/>
        </w:rPr>
        <w:t>€</w:t>
      </w:r>
      <w:r w:rsidR="00763B74" w:rsidRPr="0074795D">
        <w:rPr>
          <w:rFonts w:ascii="Times New Roman" w:eastAsia="Calibri" w:hAnsi="Times New Roman" w:cs="Times New Roman"/>
          <w:sz w:val="24"/>
          <w:szCs w:val="24"/>
          <w:lang w:eastAsia="sk-SK"/>
        </w:rPr>
        <w:t>.</w:t>
      </w:r>
    </w:p>
    <w:p w14:paraId="2ADB17A2" w14:textId="77777777" w:rsidR="0074795D" w:rsidRPr="003754D3" w:rsidRDefault="0074795D" w:rsidP="00806A7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C71">
        <w:rPr>
          <w:rFonts w:ascii="Times New Roman" w:eastAsia="Calibri" w:hAnsi="Times New Roman" w:cs="Times New Roman"/>
          <w:sz w:val="24"/>
          <w:szCs w:val="24"/>
        </w:rPr>
        <w:t>Aktuálne je v regióne menej ako 30 poskytovateľov ubytovacích služieb, ponuka stravovacích služieb je ešte nižšia. Ročné príjmy ubytovacích zariadení na území NP Muránska planina sú vo výške približne 1,7 mil. € (vrátane DPH), z toho až 73 % (1,2 mil. €) generujú zariadenia v obci Muráň, čo je dané nielen vyššou kapacitou týchto zariadení (222 lôžok v roku 2019)</w:t>
      </w:r>
      <w:r w:rsidR="007B79FF">
        <w:rPr>
          <w:rFonts w:ascii="Times New Roman" w:eastAsia="Calibri" w:hAnsi="Times New Roman" w:cs="Times New Roman"/>
          <w:sz w:val="24"/>
          <w:szCs w:val="24"/>
        </w:rPr>
        <w:t>,</w:t>
      </w:r>
      <w:r w:rsidRPr="00665C71">
        <w:rPr>
          <w:rFonts w:ascii="Times New Roman" w:eastAsia="Calibri" w:hAnsi="Times New Roman" w:cs="Times New Roman"/>
          <w:sz w:val="24"/>
          <w:szCs w:val="24"/>
        </w:rPr>
        <w:t xml:space="preserve"> ale aj vyššou kvalitou a rozsahom poskytovaných služieb, ktorá sa odzrkadľuje aj vo vyššej priemernej tržbe na </w:t>
      </w:r>
      <w:r w:rsidR="007B79FF">
        <w:rPr>
          <w:rFonts w:ascii="Times New Roman" w:eastAsia="Calibri" w:hAnsi="Times New Roman" w:cs="Times New Roman"/>
          <w:sz w:val="24"/>
          <w:szCs w:val="24"/>
        </w:rPr>
        <w:t xml:space="preserve">osobu za </w:t>
      </w:r>
      <w:r w:rsidRPr="00665C71">
        <w:rPr>
          <w:rFonts w:ascii="Times New Roman" w:eastAsia="Calibri" w:hAnsi="Times New Roman" w:cs="Times New Roman"/>
          <w:sz w:val="24"/>
          <w:szCs w:val="24"/>
        </w:rPr>
        <w:t xml:space="preserve">prenocovanie, </w:t>
      </w:r>
      <w:r w:rsidR="007B79FF">
        <w:rPr>
          <w:rFonts w:ascii="Times New Roman" w:eastAsia="Calibri" w:hAnsi="Times New Roman" w:cs="Times New Roman"/>
          <w:sz w:val="24"/>
          <w:szCs w:val="24"/>
        </w:rPr>
        <w:t xml:space="preserve">ktorá predstavuje </w:t>
      </w:r>
      <w:r w:rsidRPr="00665C71">
        <w:rPr>
          <w:rFonts w:ascii="Times New Roman" w:eastAsia="Calibri" w:hAnsi="Times New Roman" w:cs="Times New Roman"/>
          <w:sz w:val="24"/>
          <w:szCs w:val="24"/>
        </w:rPr>
        <w:t>35,44 €</w:t>
      </w:r>
      <w:r w:rsidR="007B79FF">
        <w:rPr>
          <w:rFonts w:ascii="Times New Roman" w:eastAsia="Calibri" w:hAnsi="Times New Roman" w:cs="Times New Roman"/>
          <w:sz w:val="24"/>
          <w:szCs w:val="24"/>
        </w:rPr>
        <w:t>/ noc</w:t>
      </w:r>
      <w:r w:rsidRPr="00665C71">
        <w:rPr>
          <w:rFonts w:ascii="Times New Roman" w:eastAsia="Calibri" w:hAnsi="Times New Roman" w:cs="Times New Roman"/>
          <w:sz w:val="24"/>
          <w:szCs w:val="24"/>
        </w:rPr>
        <w:t xml:space="preserve"> (vyššia cena služieb a dostupnosť doplnkových služieb v zariadení). V širšom okolí dosiahli ubytovacie zariadenia tržby vo výške len 0,2 mil. €, z ktorých približne jednu tretinu vygenerovali zariadenia v meste Revúca. Priemerné tržby všetkých ostatných obcí (okrem obce Muráň) sú len na úrovni od 13 € do 17 € na </w:t>
      </w:r>
      <w:r w:rsidR="007B79FF">
        <w:rPr>
          <w:rFonts w:ascii="Times New Roman" w:eastAsia="Calibri" w:hAnsi="Times New Roman" w:cs="Times New Roman"/>
          <w:sz w:val="24"/>
          <w:szCs w:val="24"/>
        </w:rPr>
        <w:t xml:space="preserve">osobu za </w:t>
      </w:r>
      <w:r w:rsidRPr="00665C71">
        <w:rPr>
          <w:rFonts w:ascii="Times New Roman" w:eastAsia="Calibri" w:hAnsi="Times New Roman" w:cs="Times New Roman"/>
          <w:sz w:val="24"/>
          <w:szCs w:val="24"/>
        </w:rPr>
        <w:t>prenocovanie, čo vyplýva práve z nedostatku zariadení vo vyššej kategórii a štandarde.</w:t>
      </w:r>
    </w:p>
    <w:p w14:paraId="32265B3F" w14:textId="2FB5B574" w:rsidR="00122468" w:rsidRDefault="00122468" w:rsidP="00806A7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4D3">
        <w:rPr>
          <w:rFonts w:ascii="Times New Roman" w:eastAsia="Calibri" w:hAnsi="Times New Roman" w:cs="Times New Roman"/>
          <w:sz w:val="24"/>
          <w:szCs w:val="24"/>
        </w:rPr>
        <w:t xml:space="preserve">Kvôli absencii hodnoverných dát o vzťahu výkonov cestovného ruchu a počtu zamestnancov v cestovnom ruchu v regióne nie je možné tento vplyv kvantifikovať. Podľa disponibilných štatistických údajov narástol počet prenocovaní v katastrálnom území Muráň z 17 751 v roku 2014 na 33 626 </w:t>
      </w:r>
      <w:r w:rsidR="009E47C7">
        <w:rPr>
          <w:rFonts w:ascii="Times New Roman" w:eastAsia="Calibri" w:hAnsi="Times New Roman" w:cs="Times New Roman"/>
          <w:sz w:val="24"/>
          <w:szCs w:val="24"/>
        </w:rPr>
        <w:t xml:space="preserve">v </w:t>
      </w:r>
      <w:r w:rsidRPr="003754D3">
        <w:rPr>
          <w:rFonts w:ascii="Times New Roman" w:eastAsia="Calibri" w:hAnsi="Times New Roman" w:cs="Times New Roman"/>
          <w:sz w:val="24"/>
          <w:szCs w:val="24"/>
        </w:rPr>
        <w:t>roku 2019. Po realizácii cieľov ochrany a manažmentu NP Muránska planina a z nich plynúcich opatrení sa očakáva akcelerácia rastu tohto ukazovateľa, ktorý poukazuje aj na rast počtu pracovných príležitostí v cestovnom ruchu v regióne.</w:t>
      </w:r>
    </w:p>
    <w:p w14:paraId="68FEDFD5" w14:textId="38821E2A" w:rsidR="004F1163" w:rsidRDefault="004F1163" w:rsidP="00806A7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533D30" w14:textId="77777777" w:rsidR="00142154" w:rsidRDefault="00142154" w:rsidP="0035473B">
      <w:pPr>
        <w:spacing w:after="0"/>
        <w:ind w:firstLine="708"/>
        <w:jc w:val="both"/>
      </w:pPr>
    </w:p>
    <w:sectPr w:rsidR="00142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C0663" w14:textId="77777777" w:rsidR="001E17EA" w:rsidRDefault="001E17EA" w:rsidP="00054C41">
      <w:pPr>
        <w:spacing w:after="0" w:line="240" w:lineRule="auto"/>
      </w:pPr>
      <w:r>
        <w:separator/>
      </w:r>
    </w:p>
  </w:endnote>
  <w:endnote w:type="continuationSeparator" w:id="0">
    <w:p w14:paraId="10B6D84A" w14:textId="77777777" w:rsidR="001E17EA" w:rsidRDefault="001E17EA" w:rsidP="0005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98995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802BB14" w14:textId="31A83B20" w:rsidR="00142154" w:rsidRPr="006045CB" w:rsidRDefault="00142154" w:rsidP="00054C41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4DF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BCF9B5F" w14:textId="77777777" w:rsidR="00142154" w:rsidRPr="00FF7125" w:rsidRDefault="00142154" w:rsidP="00054C41">
    <w:pPr>
      <w:pStyle w:val="Pta"/>
      <w:rPr>
        <w:sz w:val="24"/>
        <w:szCs w:val="24"/>
      </w:rPr>
    </w:pPr>
  </w:p>
  <w:p w14:paraId="168872B1" w14:textId="77777777" w:rsidR="00142154" w:rsidRDefault="0014215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E00C9" w14:textId="77777777" w:rsidR="001E17EA" w:rsidRDefault="001E17EA" w:rsidP="00054C41">
      <w:pPr>
        <w:spacing w:after="0" w:line="240" w:lineRule="auto"/>
      </w:pPr>
      <w:r>
        <w:separator/>
      </w:r>
    </w:p>
  </w:footnote>
  <w:footnote w:type="continuationSeparator" w:id="0">
    <w:p w14:paraId="2A945596" w14:textId="77777777" w:rsidR="001E17EA" w:rsidRDefault="001E17EA" w:rsidP="00054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7F2FC" w14:textId="77777777" w:rsidR="00142154" w:rsidRPr="006045CB" w:rsidRDefault="00142154" w:rsidP="00142154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6045CB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Príloha č. </w:t>
    </w:r>
    <w:r>
      <w:rPr>
        <w:rFonts w:ascii="Times New Roman" w:eastAsia="Times New Roman" w:hAnsi="Times New Roman" w:cs="Times New Roman"/>
        <w:sz w:val="24"/>
        <w:szCs w:val="24"/>
        <w:lang w:eastAsia="sk-SK"/>
      </w:rPr>
      <w:t>3a</w:t>
    </w:r>
  </w:p>
  <w:p w14:paraId="4BD1886F" w14:textId="77777777" w:rsidR="00142154" w:rsidRPr="006045CB" w:rsidRDefault="00142154" w:rsidP="0014215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66859"/>
    <w:multiLevelType w:val="hybridMultilevel"/>
    <w:tmpl w:val="6BFACF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E2235"/>
    <w:multiLevelType w:val="hybridMultilevel"/>
    <w:tmpl w:val="93EC2C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442D4"/>
    <w:multiLevelType w:val="multilevel"/>
    <w:tmpl w:val="D54EAD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3" w15:restartNumberingAfterBreak="0">
    <w:nsid w:val="5AC45921"/>
    <w:multiLevelType w:val="hybridMultilevel"/>
    <w:tmpl w:val="15C486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52805"/>
    <w:multiLevelType w:val="hybridMultilevel"/>
    <w:tmpl w:val="74CC4C46"/>
    <w:lvl w:ilvl="0" w:tplc="1952A8A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B77D5"/>
    <w:multiLevelType w:val="hybridMultilevel"/>
    <w:tmpl w:val="F7CE663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6C4BD0"/>
    <w:multiLevelType w:val="hybridMultilevel"/>
    <w:tmpl w:val="5AD88732"/>
    <w:lvl w:ilvl="0" w:tplc="3E049D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41"/>
    <w:rsid w:val="0000768C"/>
    <w:rsid w:val="00053DBF"/>
    <w:rsid w:val="00054C41"/>
    <w:rsid w:val="0005544A"/>
    <w:rsid w:val="00060DA1"/>
    <w:rsid w:val="00061D66"/>
    <w:rsid w:val="00074DF2"/>
    <w:rsid w:val="000A2D81"/>
    <w:rsid w:val="000B2798"/>
    <w:rsid w:val="000C5E9A"/>
    <w:rsid w:val="000E1813"/>
    <w:rsid w:val="000E612A"/>
    <w:rsid w:val="000F2147"/>
    <w:rsid w:val="001018ED"/>
    <w:rsid w:val="00120C3D"/>
    <w:rsid w:val="00122468"/>
    <w:rsid w:val="00127453"/>
    <w:rsid w:val="00142154"/>
    <w:rsid w:val="00150F19"/>
    <w:rsid w:val="00153950"/>
    <w:rsid w:val="00176DFF"/>
    <w:rsid w:val="00185A2B"/>
    <w:rsid w:val="00187FA4"/>
    <w:rsid w:val="001B4C03"/>
    <w:rsid w:val="001D1083"/>
    <w:rsid w:val="001D2193"/>
    <w:rsid w:val="001D3FA0"/>
    <w:rsid w:val="001E17EA"/>
    <w:rsid w:val="001E53CB"/>
    <w:rsid w:val="00225A83"/>
    <w:rsid w:val="00226DE8"/>
    <w:rsid w:val="00234744"/>
    <w:rsid w:val="00244EAC"/>
    <w:rsid w:val="00250F31"/>
    <w:rsid w:val="00270EA5"/>
    <w:rsid w:val="0027166B"/>
    <w:rsid w:val="002730A1"/>
    <w:rsid w:val="00292C17"/>
    <w:rsid w:val="002D4864"/>
    <w:rsid w:val="002D6A9A"/>
    <w:rsid w:val="00301658"/>
    <w:rsid w:val="00340CFD"/>
    <w:rsid w:val="0035473B"/>
    <w:rsid w:val="0035664B"/>
    <w:rsid w:val="0038255E"/>
    <w:rsid w:val="00391648"/>
    <w:rsid w:val="0039304E"/>
    <w:rsid w:val="003A1A4A"/>
    <w:rsid w:val="003B13C7"/>
    <w:rsid w:val="003E58B8"/>
    <w:rsid w:val="003F06D7"/>
    <w:rsid w:val="003F7B0D"/>
    <w:rsid w:val="00445638"/>
    <w:rsid w:val="00446432"/>
    <w:rsid w:val="004524FF"/>
    <w:rsid w:val="00455D27"/>
    <w:rsid w:val="004901D5"/>
    <w:rsid w:val="004A1BBF"/>
    <w:rsid w:val="004A362B"/>
    <w:rsid w:val="004D20CB"/>
    <w:rsid w:val="004E6B89"/>
    <w:rsid w:val="004F1163"/>
    <w:rsid w:val="00555D9B"/>
    <w:rsid w:val="00575327"/>
    <w:rsid w:val="005A59A4"/>
    <w:rsid w:val="005C67C3"/>
    <w:rsid w:val="005C756B"/>
    <w:rsid w:val="005D403B"/>
    <w:rsid w:val="005D53DF"/>
    <w:rsid w:val="00610D83"/>
    <w:rsid w:val="006225ED"/>
    <w:rsid w:val="006330A8"/>
    <w:rsid w:val="00636C7C"/>
    <w:rsid w:val="00636E2B"/>
    <w:rsid w:val="00651911"/>
    <w:rsid w:val="00662F82"/>
    <w:rsid w:val="00692140"/>
    <w:rsid w:val="006B5882"/>
    <w:rsid w:val="0070635E"/>
    <w:rsid w:val="0071136A"/>
    <w:rsid w:val="00715C46"/>
    <w:rsid w:val="007259CB"/>
    <w:rsid w:val="007363F4"/>
    <w:rsid w:val="0074795D"/>
    <w:rsid w:val="00763B74"/>
    <w:rsid w:val="0077106D"/>
    <w:rsid w:val="007A66EA"/>
    <w:rsid w:val="007A6923"/>
    <w:rsid w:val="007B40FB"/>
    <w:rsid w:val="007B79FF"/>
    <w:rsid w:val="007D1DF1"/>
    <w:rsid w:val="007E24B2"/>
    <w:rsid w:val="00806A7F"/>
    <w:rsid w:val="00851ACF"/>
    <w:rsid w:val="008634E9"/>
    <w:rsid w:val="008801B5"/>
    <w:rsid w:val="00887EE3"/>
    <w:rsid w:val="008A76C7"/>
    <w:rsid w:val="008B3D66"/>
    <w:rsid w:val="008B4AA1"/>
    <w:rsid w:val="008B525B"/>
    <w:rsid w:val="008C1C71"/>
    <w:rsid w:val="008D074C"/>
    <w:rsid w:val="008D7D8A"/>
    <w:rsid w:val="008F05AB"/>
    <w:rsid w:val="008F3333"/>
    <w:rsid w:val="00923C0C"/>
    <w:rsid w:val="009369C3"/>
    <w:rsid w:val="00936E8F"/>
    <w:rsid w:val="009516D6"/>
    <w:rsid w:val="009538C0"/>
    <w:rsid w:val="00954E5B"/>
    <w:rsid w:val="009601E2"/>
    <w:rsid w:val="00963CC6"/>
    <w:rsid w:val="00975155"/>
    <w:rsid w:val="009774F1"/>
    <w:rsid w:val="009852C8"/>
    <w:rsid w:val="00992256"/>
    <w:rsid w:val="009A4D56"/>
    <w:rsid w:val="009D2891"/>
    <w:rsid w:val="009E09F7"/>
    <w:rsid w:val="009E47C7"/>
    <w:rsid w:val="00A000DA"/>
    <w:rsid w:val="00A1736E"/>
    <w:rsid w:val="00A34B34"/>
    <w:rsid w:val="00A93620"/>
    <w:rsid w:val="00AB1303"/>
    <w:rsid w:val="00AD520E"/>
    <w:rsid w:val="00AE4524"/>
    <w:rsid w:val="00B01047"/>
    <w:rsid w:val="00B0539C"/>
    <w:rsid w:val="00B06FB1"/>
    <w:rsid w:val="00B070E1"/>
    <w:rsid w:val="00B43EA1"/>
    <w:rsid w:val="00B66E33"/>
    <w:rsid w:val="00B771D0"/>
    <w:rsid w:val="00B918B0"/>
    <w:rsid w:val="00BD0EF7"/>
    <w:rsid w:val="00C05405"/>
    <w:rsid w:val="00C206CB"/>
    <w:rsid w:val="00C21399"/>
    <w:rsid w:val="00C22BA3"/>
    <w:rsid w:val="00C363A3"/>
    <w:rsid w:val="00C560C4"/>
    <w:rsid w:val="00C6748F"/>
    <w:rsid w:val="00CB124E"/>
    <w:rsid w:val="00D005F2"/>
    <w:rsid w:val="00D22FE9"/>
    <w:rsid w:val="00D26D67"/>
    <w:rsid w:val="00D4046C"/>
    <w:rsid w:val="00D47B14"/>
    <w:rsid w:val="00D528F5"/>
    <w:rsid w:val="00D631FA"/>
    <w:rsid w:val="00D72271"/>
    <w:rsid w:val="00D82356"/>
    <w:rsid w:val="00D84EEE"/>
    <w:rsid w:val="00D90A61"/>
    <w:rsid w:val="00DC04E1"/>
    <w:rsid w:val="00DF02CE"/>
    <w:rsid w:val="00E030DA"/>
    <w:rsid w:val="00E03A25"/>
    <w:rsid w:val="00E06472"/>
    <w:rsid w:val="00E11CC3"/>
    <w:rsid w:val="00E21E75"/>
    <w:rsid w:val="00E70352"/>
    <w:rsid w:val="00EA2109"/>
    <w:rsid w:val="00EA5795"/>
    <w:rsid w:val="00EB2BEC"/>
    <w:rsid w:val="00EC0704"/>
    <w:rsid w:val="00ED2406"/>
    <w:rsid w:val="00ED6B5D"/>
    <w:rsid w:val="00EE4C10"/>
    <w:rsid w:val="00EE4C99"/>
    <w:rsid w:val="00F07417"/>
    <w:rsid w:val="00F07B0B"/>
    <w:rsid w:val="00F10162"/>
    <w:rsid w:val="00F22A1A"/>
    <w:rsid w:val="00F406AF"/>
    <w:rsid w:val="00F7385A"/>
    <w:rsid w:val="00F74FC9"/>
    <w:rsid w:val="00FC0901"/>
    <w:rsid w:val="00FF414B"/>
    <w:rsid w:val="00FF4B7A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530F"/>
  <w15:chartTrackingRefBased/>
  <w15:docId w15:val="{D25F4236-6AA0-4B56-8F99-9645C440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4C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54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4C41"/>
  </w:style>
  <w:style w:type="paragraph" w:styleId="Normlnywebov">
    <w:name w:val="Normal (Web)"/>
    <w:basedOn w:val="Normlny"/>
    <w:uiPriority w:val="99"/>
    <w:unhideWhenUsed/>
    <w:rsid w:val="00054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2">
    <w:name w:val="Mriežka tabuľky2"/>
    <w:basedOn w:val="Normlnatabuka"/>
    <w:next w:val="Mriekatabuky"/>
    <w:uiPriority w:val="59"/>
    <w:rsid w:val="0005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05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054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4C41"/>
  </w:style>
  <w:style w:type="paragraph" w:styleId="Textbubliny">
    <w:name w:val="Balloon Text"/>
    <w:basedOn w:val="Normlny"/>
    <w:link w:val="TextbublinyChar"/>
    <w:uiPriority w:val="99"/>
    <w:semiHidden/>
    <w:unhideWhenUsed/>
    <w:rsid w:val="001B4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4C0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B4C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B4C0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B4C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4C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4C03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EE4C99"/>
    <w:pPr>
      <w:ind w:left="720"/>
      <w:contextualSpacing/>
    </w:pPr>
  </w:style>
  <w:style w:type="paragraph" w:styleId="Revzia">
    <w:name w:val="Revision"/>
    <w:hidden/>
    <w:uiPriority w:val="99"/>
    <w:semiHidden/>
    <w:rsid w:val="00763B74"/>
    <w:pPr>
      <w:spacing w:after="0" w:line="240" w:lineRule="auto"/>
    </w:pPr>
  </w:style>
  <w:style w:type="paragraph" w:customStyle="1" w:styleId="Heading1orobas">
    <w:name w:val="Heading 1.Čo robí (časť)"/>
    <w:basedOn w:val="Normlny"/>
    <w:next w:val="Normlny"/>
    <w:uiPriority w:val="99"/>
    <w:rsid w:val="004F1163"/>
    <w:pPr>
      <w:keepNext/>
      <w:numPr>
        <w:numId w:val="9"/>
      </w:numPr>
      <w:spacing w:before="360" w:after="0" w:line="240" w:lineRule="auto"/>
    </w:pPr>
    <w:rPr>
      <w:rFonts w:ascii="Times New Roman" w:eastAsiaTheme="minorEastAsia" w:hAnsi="Times New Roman" w:cs="Times New Roman"/>
      <w:b/>
      <w:bCs/>
      <w:kern w:val="32"/>
      <w:sz w:val="28"/>
      <w:szCs w:val="28"/>
    </w:rPr>
  </w:style>
  <w:style w:type="paragraph" w:customStyle="1" w:styleId="Heading2loha">
    <w:name w:val="Heading 2.Úloha"/>
    <w:basedOn w:val="Normlny"/>
    <w:uiPriority w:val="99"/>
    <w:rsid w:val="004F1163"/>
    <w:pPr>
      <w:numPr>
        <w:ilvl w:val="1"/>
        <w:numId w:val="9"/>
      </w:numPr>
      <w:spacing w:before="120"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mhsr.sk/podnikatelske-prostredie/lepsia-regulacia/regulacne-zatazenie/kalkulacka-nakladov-regulaci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2E88B3F78A349989BFD1CB9544B3E" ma:contentTypeVersion="7" ma:contentTypeDescription="Create a new document." ma:contentTypeScope="" ma:versionID="55a538a356f95bde8b8580f5d4d3b013">
  <xsd:schema xmlns:xsd="http://www.w3.org/2001/XMLSchema" xmlns:xs="http://www.w3.org/2001/XMLSchema" xmlns:p="http://schemas.microsoft.com/office/2006/metadata/properties" xmlns:ns3="f5e17c0a-3c50-43d1-948a-92efdaffedb7" targetNamespace="http://schemas.microsoft.com/office/2006/metadata/properties" ma:root="true" ma:fieldsID="a873880a969d6b2ef4d2902fb95a08a4" ns3:_="">
    <xsd:import namespace="f5e17c0a-3c50-43d1-948a-92efdaffed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17c0a-3c50-43d1-948a-92efdaffe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f:fields xmlns:f="http://schemas.fabasoft.com/folio/2007/fields">
  <f:record ref="">
    <f:field ref="objname" par="" edit="true" text="05_c-podnikat-prost-Muran-planina-MPK-final"/>
    <f:field ref="objsubject" par="" edit="true" text=""/>
    <f:field ref="objcreatedby" par="" text="Hallonová, Valéria, JUDr."/>
    <f:field ref="objcreatedat" par="" text="29.4.2022 14:09:27"/>
    <f:field ref="objchangedby" par="" text="Administrator, System"/>
    <f:field ref="objmodifiedat" par="" text="29.4.2022 14:09:2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87469-1742-4BE1-9997-025D305E01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597C18-771A-4FA6-BDAC-D1F4FF4013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5482E1-F6BB-43E8-A3E2-FC84825E1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e17c0a-3c50-43d1-948a-92efdaffe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57D28D5C-6E3B-457E-AC3E-DBE93A36B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2162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Hallonová Valéria</cp:lastModifiedBy>
  <cp:revision>2</cp:revision>
  <cp:lastPrinted>2022-07-07T12:39:00Z</cp:lastPrinted>
  <dcterms:created xsi:type="dcterms:W3CDTF">2022-07-12T14:06:00Z</dcterms:created>
  <dcterms:modified xsi:type="dcterms:W3CDTF">2022-07-12T14:06:00Z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&lt;p&gt;Zámer vyhlásiť Národný park Muránska planina, jeho zóny a&amp;nbsp;ochranné pásmo bol oznámený listom Okresného úradu Banská Bystrica OUBB-OSZP1 2020/007031-2ku z&amp;nbsp;24. januára 2020 dotknutým subjektom podľa § 50 zákona č. 543/2002 Z. z. o ochrane príro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Valéria Hallonová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vyhlasuje Národný park Muránska planina, jeho zóny a ochranné pásmo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 na mesiace jún až december 2021</vt:lpwstr>
  </property>
  <property fmtid="{D5CDD505-2E9C-101B-9397-08002B2CF9AE}" pid="23" name="FSC#SKEDITIONSLOVLEX@103.510:plnynazovpredpis">
    <vt:lpwstr> Nariadenie vlády  Slovenskej republiky, ktorým sa vyhlasuje Národný park Muránska planina, jeho zóny a ochranné pásmo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7968/2022-1.7.3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LP/2022/237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191 až 193 Zmluvy o fungovaní Európskej únie v platnom znení.</vt:lpwstr>
  </property>
  <property fmtid="{D5CDD505-2E9C-101B-9397-08002B2CF9AE}" pid="47" name="FSC#SKEDITIONSLOVLEX@103.510:AttrStrListDocPropSekundarneLegPravoPO">
    <vt:lpwstr>Smernica Rady 92/43/EHS z 21. mája 1992 o ochrane prirodzených biotopov a voľne žijúcich živočíchov a rastlín (Ú. v. ES L 206, 22.7.1992; Mimoriadne vydanie Ú. v. EÚ, kap. 15/zv. 2) v platnom znení, gestor: Ministerstvo životného prostredia Slovenskej rep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- navrhovaný materiál nie je upravený v judikatúre Súdneho dvora Európskej únie.</vt:lpwstr>
  </property>
  <property fmtid="{D5CDD505-2E9C-101B-9397-08002B2CF9AE}" pid="52" name="FSC#SKEDITIONSLOVLEX@103.510:AttrStrListDocPropLehotaPrebratieSmernice">
    <vt:lpwstr>Členské štáty EÚ majú 6 ročnú lehotu na to, aby lokality národného zoznamu území európskeho významu uvedené schválené následne Európskou komisiou označili za osobitne chránené územie a stanovili ciele ochrany a opatrenia ochrany pre biotopy a druhy, ktoré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Odôvodnené stanovisko v konaní o porušení zmlúv č. 2019/2141 týkajúce sa nesplnenia povinnosti vyplývajúcej z článku 4 ods. 4 a článku 6 ods. 1 smernice Rady 92/43/EHS z 21. mája 1992 o ochrane prirodzených biotopov a voľne žijúcich živočíchov a rastlín (</vt:lpwstr>
  </property>
  <property fmtid="{D5CDD505-2E9C-101B-9397-08002B2CF9AE}" pid="55" name="FSC#SKEDITIONSLOVLEX@103.510:AttrStrListDocPropInfoUzPreberanePP">
    <vt:lpwstr>Smernica Rady 92/43/EHS z 21. mája 1992 o ochrane prirodzených biotopov a voľne žijúcich živočíchov a rastlín (Ú. v. ES L 206, 22.7.1992; Mimoriadne vydanie Ú. v. EÚ, kap. 15/zv. 2) je prebratá _x000d_
- zákonom č. 543/2002 Z. z. o ochrane prírody a krajiny v z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7. 4. 2022</vt:lpwstr>
  </property>
  <property fmtid="{D5CDD505-2E9C-101B-9397-08002B2CF9AE}" pid="59" name="FSC#SKEDITIONSLOVLEX@103.510:AttrDateDocPropUkonceniePKK">
    <vt:lpwstr>20. 4. 2022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Pozitívne_x000d_
Negatívne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Prekladaný návrh vyhlásenia NP Muránska planina, jeho zón a ochranného pásma je alternatívou k súčasnému právnemu stavu vyplývajúcemu z nariadenia vlády z roku 1997, ako aj k zámeru vyhlásenia NP Muránska planina z roku 2020 (ktorým bolo navrhnuté zosúlad</vt:lpwstr>
  </property>
  <property fmtid="{D5CDD505-2E9C-101B-9397-08002B2CF9AE}" pid="67" name="FSC#SKEDITIONSLOVLEX@103.510:AttrStrListDocPropStanoviskoGest">
    <vt:lpwstr>Súhlasné s návrhom na dopracovanie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životného prostredia Slovenskej republiky (MŽP SR) predkladá podľa § 17 ods. 1 písm. b), § 19 ods. 1 a&amp;nbsp;6 a § 30 ods. 7 543/2002 Z. z. o&amp;nbsp;ochrane prírody a&amp;nbsp;krajiny v&amp;nbsp;znení neskorších predpisov (ďalej len „zákon“) na rokov</vt:lpwstr>
  </property>
  <property fmtid="{D5CDD505-2E9C-101B-9397-08002B2CF9AE}" pid="150" name="FSC#SKEDITIONSLOVLEX@103.510:vytvorenedna">
    <vt:lpwstr>29. 4. 2022</vt:lpwstr>
  </property>
  <property fmtid="{D5CDD505-2E9C-101B-9397-08002B2CF9AE}" pid="151" name="FSC#COOSYSTEM@1.1:Container">
    <vt:lpwstr>COO.2145.1000.3.4935914</vt:lpwstr>
  </property>
  <property fmtid="{D5CDD505-2E9C-101B-9397-08002B2CF9AE}" pid="152" name="FSC#FSCFOLIO@1.1001:docpropproject">
    <vt:lpwstr/>
  </property>
  <property fmtid="{D5CDD505-2E9C-101B-9397-08002B2CF9AE}" pid="153" name="ContentTypeId">
    <vt:lpwstr>0x0101007BF2E88B3F78A349989BFD1CB9544B3E</vt:lpwstr>
  </property>
</Properties>
</file>