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313462" w:rsidP="00F91EE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w:t>
            </w:r>
            <w:r w:rsidR="00F91EE4" w:rsidRPr="00F91EE4">
              <w:rPr>
                <w:rFonts w:ascii="Times New Roman" w:eastAsia="Times New Roman" w:hAnsi="Times New Roman" w:cs="Times New Roman"/>
                <w:sz w:val="20"/>
                <w:szCs w:val="20"/>
                <w:lang w:eastAsia="sk-SK"/>
              </w:rPr>
              <w:t xml:space="preserve">ktorým sa mení a dopĺňa  zákon č. 281/2015  Z. z. o štátnej službe profesionálnych vojakov a </w:t>
            </w:r>
            <w:r w:rsidR="00F91EE4">
              <w:rPr>
                <w:rFonts w:ascii="Times New Roman" w:eastAsia="Times New Roman" w:hAnsi="Times New Roman" w:cs="Times New Roman"/>
                <w:sz w:val="20"/>
                <w:szCs w:val="20"/>
                <w:lang w:eastAsia="sk-SK"/>
              </w:rPr>
              <w:br/>
            </w:r>
            <w:r w:rsidR="00F91EE4" w:rsidRPr="00F91EE4">
              <w:rPr>
                <w:rFonts w:ascii="Times New Roman" w:eastAsia="Times New Roman" w:hAnsi="Times New Roman" w:cs="Times New Roman"/>
                <w:sz w:val="20"/>
                <w:szCs w:val="20"/>
                <w:lang w:eastAsia="sk-SK"/>
              </w:rPr>
              <w:t>o zmene a doplnení niektorých zákonov v znení neskorších predpisov</w:t>
            </w:r>
            <w:r w:rsidR="00F91EE4">
              <w:rPr>
                <w:rFonts w:ascii="Times New Roman" w:eastAsia="Times New Roman" w:hAnsi="Times New Roman" w:cs="Times New Roman"/>
                <w:sz w:val="20"/>
                <w:szCs w:val="20"/>
                <w:lang w:eastAsia="sk-SK"/>
              </w:rPr>
              <w:t xml:space="preserve"> </w:t>
            </w:r>
            <w:r w:rsidR="00F91EE4" w:rsidRPr="00F91EE4">
              <w:rPr>
                <w:rFonts w:ascii="Times New Roman" w:eastAsia="Times New Roman" w:hAnsi="Times New Roman" w:cs="Times New Roman"/>
                <w:sz w:val="20"/>
                <w:szCs w:val="20"/>
                <w:lang w:eastAsia="sk-SK"/>
              </w:rPr>
              <w:t xml:space="preserve">a </w:t>
            </w:r>
            <w:r w:rsidR="00D05ECC" w:rsidRPr="00D05ECC">
              <w:rPr>
                <w:rFonts w:ascii="Times New Roman" w:eastAsia="Times New Roman" w:hAnsi="Times New Roman" w:cs="Times New Roman"/>
                <w:sz w:val="20"/>
                <w:szCs w:val="20"/>
                <w:lang w:eastAsia="sk-SK"/>
              </w:rPr>
              <w:t>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313462"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Jaroslav </w:t>
            </w:r>
            <w:proofErr w:type="spellStart"/>
            <w:r>
              <w:rPr>
                <w:rFonts w:ascii="Times New Roman" w:eastAsia="Times New Roman" w:hAnsi="Times New Roman" w:cs="Times New Roman"/>
                <w:sz w:val="20"/>
                <w:szCs w:val="20"/>
                <w:lang w:eastAsia="sk-SK"/>
              </w:rPr>
              <w:t>Naď</w:t>
            </w:r>
            <w:proofErr w:type="spellEnd"/>
            <w:r>
              <w:rPr>
                <w:rFonts w:ascii="Times New Roman" w:eastAsia="Times New Roman" w:hAnsi="Times New Roman" w:cs="Times New Roman"/>
                <w:sz w:val="20"/>
                <w:szCs w:val="20"/>
                <w:lang w:eastAsia="sk-SK"/>
              </w:rPr>
              <w:t>, minister obrany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313462" w:rsidP="00313462">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D70642" w:rsidP="00D70642">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9C4CC6" w:rsidP="00F51D31">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28.2.2022/9.3.2022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F51D31" w:rsidP="000800FC">
            <w:pPr>
              <w:rPr>
                <w:rFonts w:ascii="Times New Roman" w:eastAsia="Times New Roman" w:hAnsi="Times New Roman" w:cs="Times New Roman"/>
                <w:i/>
                <w:sz w:val="20"/>
                <w:szCs w:val="20"/>
                <w:lang w:eastAsia="sk-SK"/>
              </w:rPr>
            </w:pPr>
            <w:r w:rsidRPr="00347061">
              <w:rPr>
                <w:rFonts w:ascii="Times New Roman" w:eastAsia="Times New Roman" w:hAnsi="Times New Roman" w:cs="Times New Roman"/>
                <w:i/>
                <w:sz w:val="20"/>
                <w:szCs w:val="20"/>
                <w:lang w:eastAsia="sk-SK"/>
              </w:rPr>
              <w:t>marec</w:t>
            </w:r>
            <w:r w:rsidR="00F91EE4" w:rsidRPr="00347061">
              <w:rPr>
                <w:rFonts w:ascii="Times New Roman" w:eastAsia="Times New Roman" w:hAnsi="Times New Roman" w:cs="Times New Roman"/>
                <w:i/>
                <w:sz w:val="20"/>
                <w:szCs w:val="20"/>
                <w:lang w:eastAsia="sk-SK"/>
              </w:rPr>
              <w:t xml:space="preserve"> </w:t>
            </w:r>
            <w:r w:rsidR="00C80219" w:rsidRPr="00347061">
              <w:rPr>
                <w:rFonts w:ascii="Times New Roman" w:eastAsia="Times New Roman" w:hAnsi="Times New Roman" w:cs="Times New Roman"/>
                <w:i/>
                <w:sz w:val="20"/>
                <w:szCs w:val="20"/>
                <w:lang w:eastAsia="sk-SK"/>
              </w:rPr>
              <w:t>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C80219" w:rsidRDefault="009C4CC6">
            <w:pPr>
              <w:rPr>
                <w:rFonts w:ascii="Times New Roman" w:eastAsia="Times New Roman" w:hAnsi="Times New Roman" w:cs="Times New Roman"/>
                <w:i/>
                <w:sz w:val="20"/>
                <w:szCs w:val="20"/>
                <w:highlight w:val="yellow"/>
                <w:lang w:eastAsia="sk-SK"/>
              </w:rPr>
            </w:pPr>
            <w:r>
              <w:rPr>
                <w:rFonts w:ascii="Times New Roman" w:eastAsia="Times New Roman" w:hAnsi="Times New Roman" w:cs="Times New Roman"/>
                <w:i/>
                <w:sz w:val="20"/>
                <w:szCs w:val="20"/>
                <w:lang w:eastAsia="sk-SK"/>
              </w:rPr>
              <w:t>j</w:t>
            </w:r>
            <w:r w:rsidRPr="009C4CC6">
              <w:rPr>
                <w:rFonts w:ascii="Times New Roman" w:eastAsia="Times New Roman" w:hAnsi="Times New Roman" w:cs="Times New Roman"/>
                <w:i/>
                <w:sz w:val="20"/>
                <w:szCs w:val="20"/>
                <w:lang w:eastAsia="sk-SK"/>
              </w:rPr>
              <w:t>ún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C80219" w:rsidRDefault="001B23B7" w:rsidP="000800FC">
            <w:pPr>
              <w:rPr>
                <w:rFonts w:ascii="Times New Roman" w:eastAsia="Times New Roman" w:hAnsi="Times New Roman" w:cs="Times New Roman"/>
                <w:i/>
                <w:sz w:val="20"/>
                <w:szCs w:val="20"/>
                <w:highlight w:val="yellow"/>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8C33B4" w:rsidRPr="00A30ED3" w:rsidRDefault="008C33B4" w:rsidP="0052686F">
            <w:pPr>
              <w:jc w:val="both"/>
              <w:rPr>
                <w:rFonts w:ascii="Times New Roman" w:eastAsia="Times New Roman" w:hAnsi="Times New Roman" w:cs="Times New Roman"/>
                <w:sz w:val="20"/>
                <w:szCs w:val="20"/>
                <w:lang w:eastAsia="sk-SK"/>
              </w:rPr>
            </w:pPr>
            <w:r w:rsidRPr="008C33B4">
              <w:rPr>
                <w:rFonts w:ascii="Times New Roman" w:eastAsia="Times New Roman" w:hAnsi="Times New Roman" w:cs="Times New Roman"/>
                <w:sz w:val="20"/>
                <w:szCs w:val="20"/>
                <w:lang w:eastAsia="sk-SK"/>
              </w:rPr>
              <w:t>Z dôvodu, že aplikačná prax poukázala na potrebu viac spružniť personálne činnosti s profesionálnymi vojakmi, zefektívniť vstup, priebeh a skončenie štátnej služby profesionálnych vojakov, ako aj z dôvodu, že je potrebné ustanoviť, resp. novelizovať ustanovenia v súlade s požiadavkami vyplývajúcimi z Programového vyhlásenia vlády Slovenskej republiky na roky 2021 – 2024, pristupuje sa k novelizácii predmetného zákona.</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B23B7" w:rsidRPr="00B043B4" w:rsidRDefault="00A30ED3" w:rsidP="00CA295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Cieľom </w:t>
            </w:r>
            <w:r w:rsidR="0052686F">
              <w:rPr>
                <w:rFonts w:ascii="Times New Roman" w:eastAsia="Times New Roman" w:hAnsi="Times New Roman" w:cs="Times New Roman"/>
                <w:sz w:val="20"/>
                <w:szCs w:val="20"/>
                <w:lang w:eastAsia="sk-SK"/>
              </w:rPr>
              <w:t>návrhu zákona je skvalitnenie</w:t>
            </w:r>
            <w:r>
              <w:rPr>
                <w:rFonts w:ascii="Times New Roman" w:eastAsia="Times New Roman" w:hAnsi="Times New Roman" w:cs="Times New Roman"/>
                <w:sz w:val="20"/>
                <w:szCs w:val="20"/>
                <w:lang w:eastAsia="sk-SK"/>
              </w:rPr>
              <w:t xml:space="preserve"> podmien</w:t>
            </w:r>
            <w:r w:rsidR="0052686F">
              <w:rPr>
                <w:rFonts w:ascii="Times New Roman" w:eastAsia="Times New Roman" w:hAnsi="Times New Roman" w:cs="Times New Roman"/>
                <w:sz w:val="20"/>
                <w:szCs w:val="20"/>
                <w:lang w:eastAsia="sk-SK"/>
              </w:rPr>
              <w:t>ok</w:t>
            </w:r>
            <w:r>
              <w:rPr>
                <w:rFonts w:ascii="Times New Roman" w:eastAsia="Times New Roman" w:hAnsi="Times New Roman" w:cs="Times New Roman"/>
                <w:sz w:val="20"/>
                <w:szCs w:val="20"/>
                <w:lang w:eastAsia="sk-SK"/>
              </w:rPr>
              <w:t xml:space="preserve"> a </w:t>
            </w:r>
            <w:r w:rsidR="0052686F">
              <w:rPr>
                <w:rFonts w:ascii="Times New Roman" w:eastAsia="Times New Roman" w:hAnsi="Times New Roman" w:cs="Times New Roman"/>
                <w:sz w:val="20"/>
                <w:szCs w:val="20"/>
                <w:lang w:eastAsia="sk-SK"/>
              </w:rPr>
              <w:t>zefektívnenie</w:t>
            </w:r>
            <w:r>
              <w:rPr>
                <w:rFonts w:ascii="Times New Roman" w:eastAsia="Times New Roman" w:hAnsi="Times New Roman" w:cs="Times New Roman"/>
                <w:sz w:val="20"/>
                <w:szCs w:val="20"/>
                <w:lang w:eastAsia="sk-SK"/>
              </w:rPr>
              <w:t xml:space="preserve"> </w:t>
            </w:r>
            <w:r w:rsidR="0052686F">
              <w:rPr>
                <w:rFonts w:ascii="Times New Roman" w:eastAsia="Times New Roman" w:hAnsi="Times New Roman" w:cs="Times New Roman"/>
                <w:sz w:val="20"/>
                <w:szCs w:val="20"/>
                <w:lang w:eastAsia="sk-SK"/>
              </w:rPr>
              <w:t>výkonu štátnej služby, rozšírenie možností</w:t>
            </w:r>
            <w:r w:rsidR="0052686F" w:rsidRPr="006F115D">
              <w:rPr>
                <w:rFonts w:ascii="Times New Roman" w:eastAsia="Times New Roman" w:hAnsi="Times New Roman" w:cs="Times New Roman"/>
                <w:sz w:val="20"/>
                <w:szCs w:val="20"/>
                <w:lang w:eastAsia="sk-SK"/>
              </w:rPr>
              <w:t xml:space="preserve"> a zvýšenie kvality vzdelávania, vytvorenie predpokladov na rozvoj celoživotného vzdelávania profesionálnych vojakov, zabezpečenie objektivizácie kariérneho postupu a hodnotenia</w:t>
            </w:r>
            <w:r w:rsidR="006318BB">
              <w:rPr>
                <w:rFonts w:ascii="Times New Roman" w:eastAsia="Times New Roman" w:hAnsi="Times New Roman" w:cs="Times New Roman"/>
                <w:sz w:val="20"/>
                <w:szCs w:val="20"/>
                <w:lang w:eastAsia="sk-SK"/>
              </w:rPr>
              <w:t xml:space="preserve"> profesionálnych vojakov, </w:t>
            </w:r>
            <w:r w:rsidR="00C345FA" w:rsidRPr="00C345FA">
              <w:rPr>
                <w:rFonts w:ascii="Times New Roman" w:eastAsia="Times New Roman" w:hAnsi="Times New Roman" w:cs="Times New Roman"/>
                <w:sz w:val="20"/>
                <w:szCs w:val="20"/>
                <w:lang w:eastAsia="sk-SK"/>
              </w:rPr>
              <w:t>vytvárani</w:t>
            </w:r>
            <w:r w:rsidR="007750CF">
              <w:rPr>
                <w:rFonts w:ascii="Times New Roman" w:eastAsia="Times New Roman" w:hAnsi="Times New Roman" w:cs="Times New Roman"/>
                <w:sz w:val="20"/>
                <w:szCs w:val="20"/>
                <w:lang w:eastAsia="sk-SK"/>
              </w:rPr>
              <w:t>e</w:t>
            </w:r>
            <w:r w:rsidR="00C345FA" w:rsidRPr="00C345FA">
              <w:rPr>
                <w:rFonts w:ascii="Times New Roman" w:eastAsia="Times New Roman" w:hAnsi="Times New Roman" w:cs="Times New Roman"/>
                <w:sz w:val="20"/>
                <w:szCs w:val="20"/>
                <w:lang w:eastAsia="sk-SK"/>
              </w:rPr>
              <w:t xml:space="preserve"> podmienok pre zvyšovanie starostlivosti </w:t>
            </w:r>
            <w:r w:rsidR="0052686F" w:rsidRPr="006F115D">
              <w:rPr>
                <w:rFonts w:ascii="Times New Roman" w:eastAsia="Times New Roman" w:hAnsi="Times New Roman" w:cs="Times New Roman"/>
                <w:sz w:val="20"/>
                <w:szCs w:val="20"/>
                <w:lang w:eastAsia="sk-SK"/>
              </w:rPr>
              <w:t xml:space="preserve">o profesionálneho vojaka a jeho rodinu. </w:t>
            </w:r>
            <w:r w:rsidR="006318BB">
              <w:rPr>
                <w:rFonts w:ascii="Times New Roman" w:eastAsia="Times New Roman" w:hAnsi="Times New Roman" w:cs="Times New Roman"/>
                <w:sz w:val="20"/>
                <w:szCs w:val="20"/>
                <w:lang w:eastAsia="sk-SK"/>
              </w:rPr>
              <w:t>V</w:t>
            </w:r>
            <w:r w:rsidR="0052686F" w:rsidRPr="006F115D">
              <w:rPr>
                <w:rFonts w:ascii="Times New Roman" w:eastAsia="Times New Roman" w:hAnsi="Times New Roman" w:cs="Times New Roman"/>
                <w:sz w:val="20"/>
                <w:szCs w:val="20"/>
                <w:lang w:eastAsia="sk-SK"/>
              </w:rPr>
              <w:t xml:space="preserve"> záujme lepšej ochrany profesionálnych vojakov </w:t>
            </w:r>
            <w:r w:rsidR="006318BB">
              <w:rPr>
                <w:rFonts w:ascii="Times New Roman" w:eastAsia="Times New Roman" w:hAnsi="Times New Roman" w:cs="Times New Roman"/>
                <w:sz w:val="20"/>
                <w:szCs w:val="20"/>
                <w:lang w:eastAsia="sk-SK"/>
              </w:rPr>
              <w:t>je cieľom vytvorenie</w:t>
            </w:r>
            <w:r w:rsidR="0052686F" w:rsidRPr="006F115D">
              <w:rPr>
                <w:rFonts w:ascii="Times New Roman" w:eastAsia="Times New Roman" w:hAnsi="Times New Roman" w:cs="Times New Roman"/>
                <w:sz w:val="20"/>
                <w:szCs w:val="20"/>
                <w:lang w:eastAsia="sk-SK"/>
              </w:rPr>
              <w:t xml:space="preserve"> inštitút</w:t>
            </w:r>
            <w:r w:rsidR="006318BB">
              <w:rPr>
                <w:rFonts w:ascii="Times New Roman" w:eastAsia="Times New Roman" w:hAnsi="Times New Roman" w:cs="Times New Roman"/>
                <w:sz w:val="20"/>
                <w:szCs w:val="20"/>
                <w:lang w:eastAsia="sk-SK"/>
              </w:rPr>
              <w:t>u</w:t>
            </w:r>
            <w:r w:rsidR="0052686F" w:rsidRPr="006F115D">
              <w:rPr>
                <w:rFonts w:ascii="Times New Roman" w:eastAsia="Times New Roman" w:hAnsi="Times New Roman" w:cs="Times New Roman"/>
                <w:sz w:val="20"/>
                <w:szCs w:val="20"/>
                <w:lang w:eastAsia="sk-SK"/>
              </w:rPr>
              <w:t xml:space="preserve"> vojenského ombudsmana. </w:t>
            </w:r>
            <w:r w:rsidR="006318BB">
              <w:rPr>
                <w:rFonts w:ascii="Times New Roman" w:eastAsia="Times New Roman" w:hAnsi="Times New Roman" w:cs="Times New Roman"/>
                <w:sz w:val="20"/>
                <w:szCs w:val="20"/>
                <w:lang w:eastAsia="sk-SK"/>
              </w:rPr>
              <w:t>Účelom skvalitnenia</w:t>
            </w:r>
            <w:r w:rsidR="0052686F" w:rsidRPr="006F115D">
              <w:rPr>
                <w:rFonts w:ascii="Times New Roman" w:eastAsia="Times New Roman" w:hAnsi="Times New Roman" w:cs="Times New Roman"/>
                <w:sz w:val="20"/>
                <w:szCs w:val="20"/>
                <w:lang w:eastAsia="sk-SK"/>
              </w:rPr>
              <w:t xml:space="preserve"> doplňovania vojenského personálu </w:t>
            </w:r>
            <w:r w:rsidR="006318BB">
              <w:rPr>
                <w:rFonts w:ascii="Times New Roman" w:eastAsia="Times New Roman" w:hAnsi="Times New Roman" w:cs="Times New Roman"/>
                <w:sz w:val="20"/>
                <w:szCs w:val="20"/>
                <w:lang w:eastAsia="sk-SK"/>
              </w:rPr>
              <w:t xml:space="preserve">je </w:t>
            </w:r>
            <w:r w:rsidR="0052686F" w:rsidRPr="006F115D">
              <w:rPr>
                <w:rFonts w:ascii="Times New Roman" w:eastAsia="Times New Roman" w:hAnsi="Times New Roman" w:cs="Times New Roman"/>
                <w:sz w:val="20"/>
                <w:szCs w:val="20"/>
                <w:lang w:eastAsia="sk-SK"/>
              </w:rPr>
              <w:t xml:space="preserve">zmodernizovať </w:t>
            </w:r>
            <w:proofErr w:type="spellStart"/>
            <w:r w:rsidR="00C345FA">
              <w:rPr>
                <w:rFonts w:ascii="Times New Roman" w:eastAsia="Times New Roman" w:hAnsi="Times New Roman" w:cs="Times New Roman"/>
                <w:sz w:val="20"/>
                <w:szCs w:val="20"/>
                <w:lang w:eastAsia="sk-SK"/>
              </w:rPr>
              <w:t>regrut</w:t>
            </w:r>
            <w:r w:rsidR="00CA295A">
              <w:rPr>
                <w:rFonts w:ascii="Times New Roman" w:eastAsia="Times New Roman" w:hAnsi="Times New Roman" w:cs="Times New Roman"/>
                <w:sz w:val="20"/>
                <w:szCs w:val="20"/>
                <w:lang w:eastAsia="sk-SK"/>
              </w:rPr>
              <w:t>a</w:t>
            </w:r>
            <w:r w:rsidR="00C345FA">
              <w:rPr>
                <w:rFonts w:ascii="Times New Roman" w:eastAsia="Times New Roman" w:hAnsi="Times New Roman" w:cs="Times New Roman"/>
                <w:sz w:val="20"/>
                <w:szCs w:val="20"/>
                <w:lang w:eastAsia="sk-SK"/>
              </w:rPr>
              <w:t>čný</w:t>
            </w:r>
            <w:proofErr w:type="spellEnd"/>
            <w:r w:rsidR="00C345FA" w:rsidRPr="006F115D">
              <w:rPr>
                <w:rFonts w:ascii="Times New Roman" w:eastAsia="Times New Roman" w:hAnsi="Times New Roman" w:cs="Times New Roman"/>
                <w:sz w:val="20"/>
                <w:szCs w:val="20"/>
                <w:lang w:eastAsia="sk-SK"/>
              </w:rPr>
              <w:t xml:space="preserve"> </w:t>
            </w:r>
            <w:r w:rsidR="008C33B4" w:rsidRPr="006F115D">
              <w:rPr>
                <w:rFonts w:ascii="Times New Roman" w:eastAsia="Times New Roman" w:hAnsi="Times New Roman" w:cs="Times New Roman"/>
                <w:sz w:val="20"/>
                <w:szCs w:val="20"/>
                <w:lang w:eastAsia="sk-SK"/>
              </w:rPr>
              <w:t xml:space="preserve">systém </w:t>
            </w:r>
            <w:r w:rsidR="0052686F" w:rsidRPr="006F115D">
              <w:rPr>
                <w:rFonts w:ascii="Times New Roman" w:eastAsia="Times New Roman" w:hAnsi="Times New Roman" w:cs="Times New Roman"/>
                <w:sz w:val="20"/>
                <w:szCs w:val="20"/>
                <w:lang w:eastAsia="sk-SK"/>
              </w:rPr>
              <w:t>ozbrojených síl.</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724AD7" w:rsidRPr="00A30ED3" w:rsidRDefault="00A30ED3" w:rsidP="00724AD7">
            <w:pPr>
              <w:rPr>
                <w:rFonts w:ascii="Times New Roman" w:eastAsia="Times New Roman" w:hAnsi="Times New Roman" w:cs="Times New Roman"/>
                <w:sz w:val="20"/>
                <w:szCs w:val="20"/>
                <w:lang w:eastAsia="sk-SK"/>
              </w:rPr>
            </w:pPr>
            <w:r w:rsidRPr="00A30ED3">
              <w:rPr>
                <w:rFonts w:ascii="Times New Roman" w:eastAsia="Times New Roman" w:hAnsi="Times New Roman" w:cs="Times New Roman"/>
                <w:sz w:val="20"/>
                <w:szCs w:val="20"/>
                <w:lang w:eastAsia="sk-SK"/>
              </w:rPr>
              <w:t xml:space="preserve">Predložený návrh zákona má dopad na profesionálnych vojakov a na občanov uchádzajúcich sa o výkon štátnej služby profesionálneho vojaka v kontexte s cieľom predkladaného materiálu. </w:t>
            </w:r>
          </w:p>
        </w:tc>
      </w:tr>
      <w:tr w:rsidR="00724AD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724AD7" w:rsidRPr="00B043B4" w:rsidRDefault="00724AD7" w:rsidP="00724AD7">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tc>
      </w:tr>
      <w:tr w:rsidR="00724AD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724AD7" w:rsidRPr="00B043B4" w:rsidRDefault="00724AD7" w:rsidP="00724AD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724AD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24AD7" w:rsidRPr="00B043B4" w:rsidRDefault="00724AD7" w:rsidP="00724AD7">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9C4CC6" w:rsidRDefault="009C4CC6" w:rsidP="00724AD7">
            <w:pPr>
              <w:jc w:val="both"/>
              <w:rPr>
                <w:rFonts w:ascii="Times New Roman" w:eastAsia="Times New Roman" w:hAnsi="Times New Roman" w:cs="Times New Roman"/>
                <w:i/>
                <w:sz w:val="20"/>
                <w:szCs w:val="20"/>
                <w:lang w:eastAsia="sk-SK"/>
              </w:rPr>
            </w:pPr>
          </w:p>
          <w:p w:rsidR="00724AD7" w:rsidRDefault="00724AD7" w:rsidP="00724AD7">
            <w:pPr>
              <w:jc w:val="both"/>
              <w:rPr>
                <w:rFonts w:ascii="Times New Roman" w:eastAsia="Times New Roman" w:hAnsi="Times New Roman" w:cs="Times New Roman"/>
                <w:i/>
                <w:sz w:val="20"/>
                <w:szCs w:val="20"/>
                <w:lang w:eastAsia="sk-SK"/>
              </w:rPr>
            </w:pPr>
            <w:bookmarkStart w:id="0" w:name="_GoBack"/>
            <w:bookmarkEnd w:id="0"/>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FB73AF" w:rsidRPr="003420FE" w:rsidRDefault="00FB73AF" w:rsidP="00DD1735">
            <w:pPr>
              <w:jc w:val="both"/>
              <w:rPr>
                <w:rFonts w:ascii="Times New Roman" w:eastAsia="Times New Roman" w:hAnsi="Times New Roman" w:cs="Times New Roman"/>
                <w:sz w:val="20"/>
                <w:szCs w:val="20"/>
                <w:lang w:eastAsia="sk-SK"/>
              </w:rPr>
            </w:pPr>
            <w:r w:rsidRPr="00C7614A">
              <w:rPr>
                <w:rFonts w:ascii="Times New Roman" w:eastAsia="Times New Roman" w:hAnsi="Times New Roman" w:cs="Times New Roman"/>
                <w:sz w:val="20"/>
                <w:szCs w:val="20"/>
                <w:lang w:eastAsia="sk-SK"/>
              </w:rPr>
              <w:t xml:space="preserve">Alternatívnym riešením a zároveň nultým variantom je ponechanie súčasného právneho stavu, ktorý </w:t>
            </w:r>
            <w:r w:rsidR="000849FF">
              <w:rPr>
                <w:rFonts w:ascii="Times New Roman" w:eastAsia="Times New Roman" w:hAnsi="Times New Roman" w:cs="Times New Roman"/>
                <w:sz w:val="20"/>
                <w:szCs w:val="20"/>
                <w:lang w:eastAsia="sk-SK"/>
              </w:rPr>
              <w:t xml:space="preserve">sa môže </w:t>
            </w:r>
            <w:r w:rsidR="00693E95">
              <w:rPr>
                <w:rFonts w:ascii="Times New Roman" w:eastAsia="Times New Roman" w:hAnsi="Times New Roman" w:cs="Times New Roman"/>
                <w:sz w:val="20"/>
                <w:szCs w:val="20"/>
                <w:lang w:eastAsia="sk-SK"/>
              </w:rPr>
              <w:t xml:space="preserve">vzhľadom na vyvíjajúce prostredie trhu práce </w:t>
            </w:r>
            <w:r w:rsidR="000849FF">
              <w:rPr>
                <w:rFonts w:ascii="Times New Roman" w:eastAsia="Times New Roman" w:hAnsi="Times New Roman" w:cs="Times New Roman"/>
                <w:sz w:val="20"/>
                <w:szCs w:val="20"/>
                <w:lang w:eastAsia="sk-SK"/>
              </w:rPr>
              <w:t xml:space="preserve">javiť </w:t>
            </w:r>
            <w:r w:rsidRPr="00C7614A">
              <w:rPr>
                <w:rFonts w:ascii="Times New Roman" w:eastAsia="Times New Roman" w:hAnsi="Times New Roman" w:cs="Times New Roman"/>
                <w:sz w:val="20"/>
                <w:szCs w:val="20"/>
                <w:lang w:eastAsia="sk-SK"/>
              </w:rPr>
              <w:t xml:space="preserve">z dlhodobého hľadiska </w:t>
            </w:r>
            <w:r w:rsidR="00693E95">
              <w:rPr>
                <w:rFonts w:ascii="Times New Roman" w:eastAsia="Times New Roman" w:hAnsi="Times New Roman" w:cs="Times New Roman"/>
                <w:sz w:val="20"/>
                <w:szCs w:val="20"/>
                <w:lang w:eastAsia="sk-SK"/>
              </w:rPr>
              <w:t xml:space="preserve">ako statický, a </w:t>
            </w:r>
            <w:r w:rsidR="003420FE">
              <w:rPr>
                <w:rFonts w:ascii="Times New Roman" w:eastAsia="Times New Roman" w:hAnsi="Times New Roman" w:cs="Times New Roman"/>
                <w:sz w:val="20"/>
                <w:szCs w:val="20"/>
                <w:lang w:eastAsia="sk-SK"/>
              </w:rPr>
              <w:t xml:space="preserve">preto </w:t>
            </w:r>
            <w:r w:rsidRPr="00C7614A">
              <w:rPr>
                <w:rFonts w:ascii="Times New Roman" w:eastAsia="Times New Roman" w:hAnsi="Times New Roman" w:cs="Times New Roman"/>
                <w:sz w:val="20"/>
                <w:szCs w:val="20"/>
                <w:lang w:eastAsia="sk-SK"/>
              </w:rPr>
              <w:t xml:space="preserve">nie je </w:t>
            </w:r>
            <w:r w:rsidR="005B5A86" w:rsidRPr="00C7614A">
              <w:rPr>
                <w:rFonts w:ascii="Times New Roman" w:eastAsia="Times New Roman" w:hAnsi="Times New Roman" w:cs="Times New Roman"/>
                <w:sz w:val="20"/>
                <w:szCs w:val="20"/>
                <w:lang w:eastAsia="sk-SK"/>
              </w:rPr>
              <w:t>žiaduce</w:t>
            </w:r>
            <w:r w:rsidRPr="00C7614A">
              <w:rPr>
                <w:rFonts w:ascii="Times New Roman" w:eastAsia="Times New Roman" w:hAnsi="Times New Roman" w:cs="Times New Roman"/>
                <w:sz w:val="20"/>
                <w:szCs w:val="20"/>
                <w:lang w:eastAsia="sk-SK"/>
              </w:rPr>
              <w:t xml:space="preserve"> naďalej ponechať prax bez </w:t>
            </w:r>
            <w:r w:rsidR="005B5A86" w:rsidRPr="00C7614A">
              <w:rPr>
                <w:rFonts w:ascii="Times New Roman" w:eastAsia="Times New Roman" w:hAnsi="Times New Roman" w:cs="Times New Roman"/>
                <w:sz w:val="20"/>
                <w:szCs w:val="20"/>
                <w:lang w:eastAsia="sk-SK"/>
              </w:rPr>
              <w:t xml:space="preserve">zavedenia inštitútov a konkrétnych zmien </w:t>
            </w:r>
            <w:r w:rsidR="003F0B7D" w:rsidRPr="00C7614A">
              <w:rPr>
                <w:rFonts w:ascii="Times New Roman" w:eastAsia="Times New Roman" w:hAnsi="Times New Roman" w:cs="Times New Roman"/>
                <w:sz w:val="20"/>
                <w:szCs w:val="20"/>
                <w:lang w:eastAsia="sk-SK"/>
              </w:rPr>
              <w:t>v spôsobe</w:t>
            </w:r>
            <w:r w:rsidR="005B5A86" w:rsidRPr="00C7614A">
              <w:rPr>
                <w:rFonts w:ascii="Times New Roman" w:eastAsia="Times New Roman" w:hAnsi="Times New Roman" w:cs="Times New Roman"/>
                <w:sz w:val="20"/>
                <w:szCs w:val="20"/>
                <w:lang w:eastAsia="sk-SK"/>
              </w:rPr>
              <w:t xml:space="preserve"> prijímania občanov do štátnej služby,</w:t>
            </w:r>
            <w:r w:rsidR="003F0B7D" w:rsidRPr="00C7614A">
              <w:rPr>
                <w:rFonts w:ascii="Times New Roman" w:eastAsia="Times New Roman" w:hAnsi="Times New Roman" w:cs="Times New Roman"/>
                <w:sz w:val="20"/>
                <w:szCs w:val="20"/>
                <w:lang w:eastAsia="sk-SK"/>
              </w:rPr>
              <w:t xml:space="preserve"> v kariérnom postupe a služobnom hodnotení, bez </w:t>
            </w:r>
            <w:r w:rsidR="005B5A86" w:rsidRPr="00C7614A">
              <w:rPr>
                <w:rFonts w:ascii="Times New Roman" w:eastAsia="Times New Roman" w:hAnsi="Times New Roman" w:cs="Times New Roman"/>
                <w:sz w:val="20"/>
                <w:szCs w:val="20"/>
                <w:lang w:eastAsia="sk-SK"/>
              </w:rPr>
              <w:t xml:space="preserve">rozšírenia možností vzdelávania </w:t>
            </w:r>
            <w:r w:rsidR="003F0B7D" w:rsidRPr="00C7614A">
              <w:rPr>
                <w:rFonts w:ascii="Times New Roman" w:eastAsia="Times New Roman" w:hAnsi="Times New Roman" w:cs="Times New Roman"/>
                <w:sz w:val="20"/>
                <w:szCs w:val="20"/>
                <w:lang w:eastAsia="sk-SK"/>
              </w:rPr>
              <w:t>profesionálnych vojakov a bez úpravy vybraných podmienok štátnej služby profes</w:t>
            </w:r>
            <w:r w:rsidR="003420FE">
              <w:rPr>
                <w:rFonts w:ascii="Times New Roman" w:eastAsia="Times New Roman" w:hAnsi="Times New Roman" w:cs="Times New Roman"/>
                <w:sz w:val="20"/>
                <w:szCs w:val="20"/>
                <w:lang w:eastAsia="sk-SK"/>
              </w:rPr>
              <w:t>ionálneho vojaka a iných úprav.</w:t>
            </w:r>
          </w:p>
        </w:tc>
      </w:tr>
      <w:tr w:rsidR="00724AD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24AD7" w:rsidRPr="00B043B4" w:rsidRDefault="00724AD7" w:rsidP="00724AD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724AD7" w:rsidRPr="00B043B4" w:rsidTr="000800FC">
        <w:tc>
          <w:tcPr>
            <w:tcW w:w="6203" w:type="dxa"/>
            <w:gridSpan w:val="7"/>
            <w:tcBorders>
              <w:top w:val="single" w:sz="4" w:space="0" w:color="FFFFFF"/>
              <w:left w:val="single" w:sz="4" w:space="0" w:color="auto"/>
              <w:bottom w:val="nil"/>
              <w:right w:val="nil"/>
            </w:tcBorders>
            <w:shd w:val="clear" w:color="auto" w:fill="FFFFFF"/>
          </w:tcPr>
          <w:p w:rsidR="00724AD7" w:rsidRPr="00B043B4" w:rsidRDefault="00724AD7" w:rsidP="00724AD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24AD7" w:rsidRPr="00B043B4" w:rsidRDefault="008E0C5B" w:rsidP="003F0B7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3F0B7D">
                  <w:rPr>
                    <w:rFonts w:ascii="Segoe UI Symbol" w:eastAsia="Times New Roman" w:hAnsi="Segoe UI Symbol" w:cs="Segoe UI Symbol"/>
                    <w:b/>
                    <w:sz w:val="20"/>
                    <w:szCs w:val="20"/>
                    <w:lang w:eastAsia="sk-SK"/>
                  </w:rPr>
                  <w:t>x</w:t>
                </w:r>
              </w:sdtContent>
            </w:sdt>
            <w:r w:rsidR="00724AD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724AD7" w:rsidRPr="00B043B4" w:rsidRDefault="008E0C5B" w:rsidP="00724AD7">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724AD7" w:rsidRPr="00B043B4">
                  <w:rPr>
                    <w:rFonts w:ascii="Segoe UI Symbol" w:eastAsia="Times New Roman" w:hAnsi="Segoe UI Symbol" w:cs="Segoe UI Symbol"/>
                    <w:b/>
                    <w:sz w:val="20"/>
                    <w:szCs w:val="20"/>
                    <w:lang w:eastAsia="sk-SK"/>
                  </w:rPr>
                  <w:t>☐</w:t>
                </w:r>
              </w:sdtContent>
            </w:sdt>
            <w:r w:rsidR="00724AD7" w:rsidRPr="00B043B4">
              <w:rPr>
                <w:rFonts w:ascii="Times New Roman" w:eastAsia="Times New Roman" w:hAnsi="Times New Roman" w:cs="Times New Roman"/>
                <w:b/>
                <w:sz w:val="20"/>
                <w:szCs w:val="20"/>
                <w:lang w:eastAsia="sk-SK"/>
              </w:rPr>
              <w:t xml:space="preserve">  Nie</w:t>
            </w:r>
          </w:p>
        </w:tc>
      </w:tr>
      <w:tr w:rsidR="00724AD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724AD7" w:rsidRPr="00D80404" w:rsidRDefault="00724AD7" w:rsidP="00724AD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801647" w:rsidRPr="00DD1735" w:rsidRDefault="009F253E" w:rsidP="009F253E">
            <w:pPr>
              <w:jc w:val="both"/>
              <w:rPr>
                <w:rFonts w:ascii="Times New Roman" w:eastAsia="Times New Roman" w:hAnsi="Times New Roman" w:cs="Times New Roman"/>
                <w:sz w:val="20"/>
                <w:szCs w:val="20"/>
                <w:lang w:eastAsia="sk-SK"/>
              </w:rPr>
            </w:pPr>
            <w:r w:rsidRPr="00D80404">
              <w:rPr>
                <w:rFonts w:ascii="Times New Roman" w:eastAsia="Times New Roman" w:hAnsi="Times New Roman" w:cs="Times New Roman"/>
                <w:sz w:val="20"/>
                <w:szCs w:val="20"/>
                <w:lang w:eastAsia="sk-SK"/>
              </w:rPr>
              <w:t xml:space="preserve">Vyhláška </w:t>
            </w:r>
            <w:r w:rsidR="00B60C22" w:rsidRPr="00D80404">
              <w:rPr>
                <w:rFonts w:ascii="Times New Roman" w:eastAsia="Times New Roman" w:hAnsi="Times New Roman" w:cs="Times New Roman"/>
                <w:sz w:val="20"/>
                <w:szCs w:val="20"/>
                <w:lang w:eastAsia="sk-SK"/>
              </w:rPr>
              <w:t xml:space="preserve">Ministerstva obrany Slovenskej republiky </w:t>
            </w:r>
            <w:r w:rsidRPr="00D80404">
              <w:rPr>
                <w:rFonts w:ascii="Times New Roman" w:eastAsia="Times New Roman" w:hAnsi="Times New Roman" w:cs="Times New Roman"/>
                <w:sz w:val="20"/>
                <w:szCs w:val="20"/>
                <w:lang w:eastAsia="sk-SK"/>
              </w:rPr>
              <w:t xml:space="preserve">č. 426/2015 Z. z. zo 4. decembra 2015 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w:t>
            </w:r>
            <w:r w:rsidRPr="00DD1735">
              <w:rPr>
                <w:rFonts w:ascii="Times New Roman" w:eastAsia="Times New Roman" w:hAnsi="Times New Roman" w:cs="Times New Roman"/>
                <w:sz w:val="20"/>
                <w:szCs w:val="20"/>
                <w:lang w:eastAsia="sk-SK"/>
              </w:rPr>
              <w:t>vojaka alebo na výkon funkcie</w:t>
            </w:r>
          </w:p>
          <w:p w:rsidR="00DB49B7" w:rsidRDefault="00DB49B7" w:rsidP="00B60C22">
            <w:pPr>
              <w:jc w:val="both"/>
              <w:rPr>
                <w:rFonts w:ascii="Times New Roman" w:eastAsia="Times New Roman" w:hAnsi="Times New Roman" w:cs="Times New Roman"/>
                <w:sz w:val="20"/>
                <w:szCs w:val="20"/>
                <w:lang w:eastAsia="sk-SK"/>
              </w:rPr>
            </w:pPr>
            <w:r w:rsidRPr="00DD1735">
              <w:rPr>
                <w:rFonts w:ascii="Times New Roman" w:eastAsia="Times New Roman" w:hAnsi="Times New Roman" w:cs="Times New Roman"/>
                <w:sz w:val="20"/>
                <w:szCs w:val="20"/>
                <w:lang w:eastAsia="sk-SK"/>
              </w:rPr>
              <w:t xml:space="preserve">Vyhláška </w:t>
            </w:r>
            <w:r w:rsidR="00B60C22" w:rsidRPr="00DD1735">
              <w:rPr>
                <w:rFonts w:ascii="Times New Roman" w:eastAsia="Times New Roman" w:hAnsi="Times New Roman" w:cs="Times New Roman"/>
                <w:sz w:val="20"/>
                <w:szCs w:val="20"/>
                <w:lang w:eastAsia="sk-SK"/>
              </w:rPr>
              <w:t xml:space="preserve">Ministerstva obrany Slovenskej republiky </w:t>
            </w:r>
            <w:r w:rsidRPr="00DD1735">
              <w:rPr>
                <w:rFonts w:ascii="Times New Roman" w:eastAsia="Times New Roman" w:hAnsi="Times New Roman" w:cs="Times New Roman"/>
                <w:sz w:val="20"/>
                <w:szCs w:val="20"/>
                <w:lang w:eastAsia="sk-SK"/>
              </w:rPr>
              <w:t>č. 443/2019 Z. z. zo 16. decembra 2019 o požadovaných študijných odboroch a učebných odboroch stredného vzdelania, požadovaných študijných odboroch vysokoškolského vzdelania na výkon funkcie a o požadovanej odbornej spôsobilosti na výkon niektorých odborných činností v štátnej službe profesionálnych vojakov</w:t>
            </w:r>
          </w:p>
          <w:p w:rsidR="009C4CC6" w:rsidRPr="00B043B4" w:rsidRDefault="009C4CC6" w:rsidP="009C4CC6">
            <w:pPr>
              <w:tabs>
                <w:tab w:val="left" w:pos="1260"/>
              </w:tabs>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Výnos Ministerstva obrany Slovenskej republiky </w:t>
            </w:r>
            <w:r w:rsidRPr="009C4CC6">
              <w:rPr>
                <w:rFonts w:ascii="Times New Roman" w:eastAsia="Times New Roman" w:hAnsi="Times New Roman" w:cs="Times New Roman"/>
                <w:sz w:val="20"/>
                <w:szCs w:val="20"/>
                <w:lang w:eastAsia="sk-SK"/>
              </w:rPr>
              <w:t xml:space="preserve">zo 4. decembra 2015 č. ÚLP-11-32/2015-OdL, ktorým sa ustanovujú druhy vojenskej rovnošaty, </w:t>
            </w:r>
            <w:proofErr w:type="spellStart"/>
            <w:r w:rsidRPr="009C4CC6">
              <w:rPr>
                <w:rFonts w:ascii="Times New Roman" w:eastAsia="Times New Roman" w:hAnsi="Times New Roman" w:cs="Times New Roman"/>
                <w:sz w:val="20"/>
                <w:szCs w:val="20"/>
                <w:lang w:eastAsia="sk-SK"/>
              </w:rPr>
              <w:t>výstrojových</w:t>
            </w:r>
            <w:proofErr w:type="spellEnd"/>
            <w:r w:rsidRPr="009C4CC6">
              <w:rPr>
                <w:rFonts w:ascii="Times New Roman" w:eastAsia="Times New Roman" w:hAnsi="Times New Roman" w:cs="Times New Roman"/>
                <w:sz w:val="20"/>
                <w:szCs w:val="20"/>
                <w:lang w:eastAsia="sk-SK"/>
              </w:rPr>
              <w:t xml:space="preserve"> súčiastok, špecifických znakov vojenskej rovnošaty, ich nosenie a používanie a spôsob nosenia vyznamenaní na vojenskej rovnošate v znení neskorších predpisov</w:t>
            </w:r>
          </w:p>
        </w:tc>
      </w:tr>
      <w:tr w:rsidR="00724AD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24AD7" w:rsidRPr="00B043B4" w:rsidRDefault="00724AD7" w:rsidP="00724AD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724AD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724AD7" w:rsidRPr="00B043B4" w:rsidRDefault="00724AD7" w:rsidP="00724AD7">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724AD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C7614A" w:rsidRPr="00B043B4" w:rsidRDefault="00C7614A" w:rsidP="0087250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návrhu zákona sa nejde nad uvedený rámec. </w:t>
            </w:r>
          </w:p>
        </w:tc>
      </w:tr>
      <w:tr w:rsidR="00724AD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24AD7" w:rsidRPr="00B043B4" w:rsidRDefault="00724AD7" w:rsidP="00724AD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724AD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24AD7" w:rsidRPr="00B043B4" w:rsidRDefault="00724AD7" w:rsidP="00724AD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724AD7" w:rsidRPr="00B043B4" w:rsidRDefault="00724AD7" w:rsidP="00724AD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C7614A" w:rsidRPr="00B043B4" w:rsidRDefault="00C7614A" w:rsidP="00B60C22">
            <w:pPr>
              <w:jc w:val="both"/>
              <w:rPr>
                <w:rFonts w:ascii="Times New Roman" w:eastAsia="Times New Roman" w:hAnsi="Times New Roman" w:cs="Times New Roman"/>
                <w:i/>
                <w:sz w:val="20"/>
                <w:szCs w:val="20"/>
                <w:lang w:eastAsia="sk-SK"/>
              </w:rPr>
            </w:pPr>
            <w:r w:rsidRPr="00C7614A">
              <w:rPr>
                <w:rFonts w:ascii="Times New Roman" w:eastAsia="Times New Roman" w:hAnsi="Times New Roman" w:cs="Times New Roman"/>
                <w:sz w:val="20"/>
                <w:szCs w:val="20"/>
                <w:lang w:eastAsia="sk-SK"/>
              </w:rPr>
              <w:t xml:space="preserve">Termín preskúmania účelnosti zákona sa </w:t>
            </w:r>
            <w:r w:rsidR="007750CF">
              <w:rPr>
                <w:rFonts w:ascii="Times New Roman" w:eastAsia="Times New Roman" w:hAnsi="Times New Roman" w:cs="Times New Roman"/>
                <w:sz w:val="20"/>
                <w:szCs w:val="20"/>
                <w:lang w:eastAsia="sk-SK"/>
              </w:rPr>
              <w:t>zrealizuje v rok</w:t>
            </w:r>
            <w:r w:rsidR="00B60C22">
              <w:rPr>
                <w:rFonts w:ascii="Times New Roman" w:eastAsia="Times New Roman" w:hAnsi="Times New Roman" w:cs="Times New Roman"/>
                <w:sz w:val="20"/>
                <w:szCs w:val="20"/>
                <w:lang w:eastAsia="sk-SK"/>
              </w:rPr>
              <w:t>och</w:t>
            </w:r>
            <w:r w:rsidR="007750CF">
              <w:rPr>
                <w:rFonts w:ascii="Times New Roman" w:eastAsia="Times New Roman" w:hAnsi="Times New Roman" w:cs="Times New Roman"/>
                <w:sz w:val="20"/>
                <w:szCs w:val="20"/>
                <w:lang w:eastAsia="sk-SK"/>
              </w:rPr>
              <w:t xml:space="preserve"> 2023 až 2024</w:t>
            </w:r>
            <w:r w:rsidRPr="00D80404">
              <w:rPr>
                <w:rFonts w:ascii="Times New Roman" w:eastAsia="Times New Roman" w:hAnsi="Times New Roman" w:cs="Times New Roman"/>
                <w:sz w:val="20"/>
                <w:szCs w:val="20"/>
                <w:lang w:eastAsia="sk-SK"/>
              </w:rPr>
              <w:t xml:space="preserve"> na základe</w:t>
            </w:r>
            <w:r w:rsidRPr="00C7614A">
              <w:rPr>
                <w:rFonts w:ascii="Times New Roman" w:eastAsia="Times New Roman" w:hAnsi="Times New Roman" w:cs="Times New Roman"/>
                <w:sz w:val="20"/>
                <w:szCs w:val="20"/>
                <w:lang w:eastAsia="sk-SK"/>
              </w:rPr>
              <w:t xml:space="preserve"> získaných poznatkov z aplikačnej praxe</w:t>
            </w:r>
            <w:r w:rsidR="00722696">
              <w:rPr>
                <w:rFonts w:ascii="Times New Roman" w:eastAsia="Times New Roman" w:hAnsi="Times New Roman" w:cs="Times New Roman"/>
                <w:sz w:val="20"/>
                <w:szCs w:val="20"/>
                <w:lang w:eastAsia="sk-SK"/>
              </w:rPr>
              <w:t xml:space="preserve"> podľa naplnenost</w:t>
            </w:r>
            <w:r w:rsidR="00C345FA">
              <w:rPr>
                <w:rFonts w:ascii="Times New Roman" w:eastAsia="Times New Roman" w:hAnsi="Times New Roman" w:cs="Times New Roman"/>
                <w:sz w:val="20"/>
                <w:szCs w:val="20"/>
                <w:lang w:eastAsia="sk-SK"/>
              </w:rPr>
              <w:t>i ozbrojených síl SR (súvisiacej</w:t>
            </w:r>
            <w:r w:rsidR="00722696">
              <w:rPr>
                <w:rFonts w:ascii="Times New Roman" w:eastAsia="Times New Roman" w:hAnsi="Times New Roman" w:cs="Times New Roman"/>
                <w:sz w:val="20"/>
                <w:szCs w:val="20"/>
                <w:lang w:eastAsia="sk-SK"/>
              </w:rPr>
              <w:t xml:space="preserve"> s kvalitou prijímaného personálu a </w:t>
            </w:r>
            <w:proofErr w:type="spellStart"/>
            <w:r w:rsidR="00722696">
              <w:rPr>
                <w:rFonts w:ascii="Times New Roman" w:eastAsia="Times New Roman" w:hAnsi="Times New Roman" w:cs="Times New Roman"/>
                <w:sz w:val="20"/>
                <w:szCs w:val="20"/>
                <w:lang w:eastAsia="sk-SK"/>
              </w:rPr>
              <w:t>odchodovosťou</w:t>
            </w:r>
            <w:proofErr w:type="spellEnd"/>
            <w:r w:rsidR="00722696">
              <w:rPr>
                <w:rFonts w:ascii="Times New Roman" w:eastAsia="Times New Roman" w:hAnsi="Times New Roman" w:cs="Times New Roman"/>
                <w:sz w:val="20"/>
                <w:szCs w:val="20"/>
                <w:lang w:eastAsia="sk-SK"/>
              </w:rPr>
              <w:t xml:space="preserve"> profesionálnych vojakov)</w:t>
            </w:r>
            <w:r w:rsidRPr="00C7614A">
              <w:rPr>
                <w:rFonts w:ascii="Times New Roman" w:eastAsia="Times New Roman" w:hAnsi="Times New Roman" w:cs="Times New Roman"/>
                <w:sz w:val="20"/>
                <w:szCs w:val="20"/>
                <w:lang w:eastAsia="sk-SK"/>
              </w:rPr>
              <w:t>.</w:t>
            </w:r>
          </w:p>
        </w:tc>
      </w:tr>
      <w:tr w:rsidR="00724AD7" w:rsidRPr="00B043B4" w:rsidTr="000800FC">
        <w:tc>
          <w:tcPr>
            <w:tcW w:w="9180" w:type="dxa"/>
            <w:gridSpan w:val="11"/>
            <w:tcBorders>
              <w:top w:val="nil"/>
              <w:left w:val="nil"/>
              <w:bottom w:val="single" w:sz="4" w:space="0" w:color="auto"/>
              <w:right w:val="nil"/>
            </w:tcBorders>
            <w:shd w:val="clear" w:color="auto" w:fill="FFFFFF"/>
          </w:tcPr>
          <w:p w:rsidR="00724AD7" w:rsidRPr="00B043B4" w:rsidRDefault="00724AD7" w:rsidP="00724AD7">
            <w:pPr>
              <w:rPr>
                <w:rFonts w:ascii="Times New Roman" w:eastAsia="Times New Roman" w:hAnsi="Times New Roman" w:cs="Times New Roman"/>
                <w:b/>
                <w:sz w:val="20"/>
                <w:szCs w:val="20"/>
                <w:lang w:eastAsia="sk-SK"/>
              </w:rPr>
            </w:pPr>
          </w:p>
        </w:tc>
      </w:tr>
      <w:tr w:rsidR="00724AD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724AD7" w:rsidRPr="00B043B4" w:rsidRDefault="00724AD7" w:rsidP="00724AD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724AD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724AD7" w:rsidRPr="00B043B4" w:rsidRDefault="00C7614A" w:rsidP="00C7614A">
                <w:pPr>
                  <w:ind w:left="-107"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rsidR="00724AD7" w:rsidRPr="00B043B4" w:rsidRDefault="00724AD7" w:rsidP="00724AD7">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24AD7" w:rsidRPr="00B043B4" w:rsidTr="009431E3">
        <w:tc>
          <w:tcPr>
            <w:tcW w:w="3812" w:type="dxa"/>
            <w:tcBorders>
              <w:top w:val="nil"/>
              <w:left w:val="single" w:sz="4" w:space="0" w:color="auto"/>
              <w:bottom w:val="single" w:sz="4" w:space="0" w:color="000000"/>
              <w:right w:val="single" w:sz="4" w:space="0" w:color="auto"/>
            </w:tcBorders>
            <w:shd w:val="clear" w:color="auto" w:fill="E2E2E2"/>
          </w:tcPr>
          <w:p w:rsidR="00724AD7" w:rsidRDefault="00724AD7" w:rsidP="00724AD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724AD7" w:rsidRDefault="00724AD7" w:rsidP="00724AD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724AD7" w:rsidRPr="00A340BB" w:rsidRDefault="00724AD7" w:rsidP="00724AD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rsidR="00724AD7" w:rsidRPr="00C345FA" w:rsidRDefault="00C7614A" w:rsidP="00C7614A">
                <w:pPr>
                  <w:jc w:val="center"/>
                  <w:rPr>
                    <w:rFonts w:ascii="Times New Roman" w:eastAsia="Times New Roman" w:hAnsi="Times New Roman" w:cs="Times New Roman"/>
                    <w:sz w:val="20"/>
                    <w:szCs w:val="20"/>
                    <w:lang w:eastAsia="sk-SK"/>
                  </w:rPr>
                </w:pPr>
                <w:r w:rsidRPr="00C345FA">
                  <w:rPr>
                    <w:rFonts w:ascii="Segoe UI Symbol" w:eastAsia="Times New Roman" w:hAnsi="Segoe UI Symbol" w:cs="Segoe UI Symbol"/>
                    <w:sz w:val="20"/>
                    <w:szCs w:val="20"/>
                    <w:lang w:eastAsia="sk-SK"/>
                  </w:rPr>
                  <w:t>x</w:t>
                </w:r>
              </w:p>
            </w:tc>
          </w:sdtContent>
        </w:sdt>
        <w:tc>
          <w:tcPr>
            <w:tcW w:w="1312" w:type="dxa"/>
            <w:gridSpan w:val="2"/>
            <w:tcBorders>
              <w:top w:val="dotted" w:sz="4" w:space="0" w:color="auto"/>
              <w:left w:val="nil"/>
              <w:bottom w:val="single" w:sz="4" w:space="0" w:color="auto"/>
              <w:right w:val="nil"/>
            </w:tcBorders>
          </w:tcPr>
          <w:p w:rsidR="00724AD7" w:rsidRPr="00C345FA" w:rsidRDefault="00724AD7" w:rsidP="00724AD7">
            <w:pPr>
              <w:rPr>
                <w:rFonts w:ascii="Times New Roman" w:eastAsia="Times New Roman" w:hAnsi="Times New Roman" w:cs="Times New Roman"/>
                <w:sz w:val="20"/>
                <w:szCs w:val="20"/>
                <w:lang w:eastAsia="sk-SK"/>
              </w:rPr>
            </w:pPr>
            <w:r w:rsidRPr="00C345F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tc>
              <w:tcPr>
                <w:tcW w:w="538" w:type="dxa"/>
                <w:gridSpan w:val="2"/>
                <w:tcBorders>
                  <w:top w:val="dotted"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tcPr>
          <w:p w:rsidR="00724AD7" w:rsidRPr="00B043B4" w:rsidRDefault="00724AD7" w:rsidP="00724AD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rsidR="00724AD7" w:rsidRPr="00B043B4" w:rsidRDefault="00724AD7" w:rsidP="00724AD7">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724AD7" w:rsidRPr="00B043B4" w:rsidRDefault="00724AD7" w:rsidP="00724AD7">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724AD7" w:rsidRPr="00B043B4" w:rsidTr="009431E3">
        <w:tc>
          <w:tcPr>
            <w:tcW w:w="3812" w:type="dxa"/>
            <w:tcBorders>
              <w:top w:val="single" w:sz="4" w:space="0" w:color="000000"/>
              <w:left w:val="single" w:sz="4" w:space="0" w:color="auto"/>
              <w:bottom w:val="nil"/>
              <w:right w:val="single" w:sz="4" w:space="0" w:color="auto"/>
            </w:tcBorders>
            <w:shd w:val="clear" w:color="auto" w:fill="E2E2E2"/>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724AD7" w:rsidRPr="00B043B4" w:rsidRDefault="00724AD7" w:rsidP="00724AD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rsidR="00724AD7" w:rsidRPr="00B043B4" w:rsidRDefault="00C7614A" w:rsidP="00C7614A">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dotted"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724AD7" w:rsidRPr="00B043B4" w:rsidRDefault="00724AD7" w:rsidP="00724AD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24AD7" w:rsidRPr="00B043B4" w:rsidTr="009431E3">
        <w:tc>
          <w:tcPr>
            <w:tcW w:w="3812" w:type="dxa"/>
            <w:tcBorders>
              <w:top w:val="nil"/>
              <w:left w:val="single" w:sz="4" w:space="0" w:color="000000"/>
              <w:bottom w:val="nil"/>
              <w:right w:val="single" w:sz="4" w:space="0" w:color="000000"/>
            </w:tcBorders>
            <w:shd w:val="clear" w:color="auto" w:fill="E2E2E2"/>
          </w:tcPr>
          <w:p w:rsidR="00724AD7" w:rsidRPr="00B043B4" w:rsidRDefault="00724AD7" w:rsidP="00724AD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724AD7" w:rsidRPr="00B043B4" w:rsidRDefault="00724AD7" w:rsidP="00724AD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724AD7" w:rsidRPr="00B043B4" w:rsidRDefault="00724AD7" w:rsidP="00724AD7">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724AD7" w:rsidRPr="00B043B4" w:rsidRDefault="00724AD7" w:rsidP="00724AD7">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724AD7" w:rsidRPr="00B043B4" w:rsidRDefault="00724AD7" w:rsidP="00724AD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724AD7" w:rsidRPr="00B043B4" w:rsidRDefault="00724AD7" w:rsidP="00724AD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724AD7" w:rsidRPr="00B043B4" w:rsidRDefault="00724AD7" w:rsidP="00724AD7">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724AD7" w:rsidRPr="00B043B4" w:rsidRDefault="00724AD7" w:rsidP="00724AD7">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724AD7" w:rsidRPr="00B043B4" w:rsidTr="000800FC">
        <w:tc>
          <w:tcPr>
            <w:tcW w:w="3812" w:type="dxa"/>
            <w:tcBorders>
              <w:top w:val="nil"/>
              <w:left w:val="single" w:sz="4" w:space="0" w:color="auto"/>
              <w:bottom w:val="single" w:sz="4" w:space="0" w:color="auto"/>
              <w:right w:val="single" w:sz="4" w:space="0" w:color="auto"/>
            </w:tcBorders>
            <w:shd w:val="clear" w:color="auto" w:fill="E2E2E2"/>
          </w:tcPr>
          <w:p w:rsidR="00724AD7" w:rsidRDefault="00724AD7" w:rsidP="00724AD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724AD7" w:rsidRPr="00B043B4" w:rsidRDefault="00724AD7" w:rsidP="00724AD7">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724AD7" w:rsidRPr="00B043B4" w:rsidRDefault="00724AD7" w:rsidP="00724AD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724AD7" w:rsidRPr="00B043B4" w:rsidRDefault="00724AD7" w:rsidP="00724AD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724AD7"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rsidR="00724AD7" w:rsidRPr="00C345FA" w:rsidRDefault="009B2D82" w:rsidP="009B2D82">
                <w:pPr>
                  <w:jc w:val="center"/>
                  <w:rPr>
                    <w:rFonts w:ascii="Times New Roman" w:eastAsia="Times New Roman" w:hAnsi="Times New Roman" w:cs="Times New Roman"/>
                    <w:b/>
                    <w:sz w:val="20"/>
                    <w:szCs w:val="20"/>
                    <w:lang w:eastAsia="sk-SK"/>
                  </w:rPr>
                </w:pPr>
                <w:r w:rsidRPr="00C345FA">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rsidR="00724AD7" w:rsidRPr="00C345FA" w:rsidRDefault="00724AD7" w:rsidP="00724AD7">
            <w:pPr>
              <w:ind w:right="-108"/>
              <w:rPr>
                <w:rFonts w:ascii="Times New Roman" w:eastAsia="Times New Roman" w:hAnsi="Times New Roman" w:cs="Times New Roman"/>
                <w:b/>
                <w:sz w:val="20"/>
                <w:szCs w:val="20"/>
                <w:lang w:eastAsia="sk-SK"/>
              </w:rPr>
            </w:pPr>
            <w:r w:rsidRPr="00C345F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9431E3">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24AD7" w:rsidRPr="00B043B4" w:rsidRDefault="00724AD7" w:rsidP="00724AD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24AD7"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724AD7" w:rsidRPr="00B043B4" w:rsidRDefault="00724AD7" w:rsidP="00724AD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724AD7" w:rsidRPr="00B043B4" w:rsidRDefault="00722696" w:rsidP="00722696">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24AD7" w:rsidRPr="00B043B4" w:rsidRDefault="00724AD7" w:rsidP="00724AD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24AD7"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724AD7" w:rsidRPr="00B043B4" w:rsidRDefault="00724AD7" w:rsidP="00724AD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tc>
              <w:tcPr>
                <w:tcW w:w="538" w:type="dxa"/>
                <w:gridSpan w:val="2"/>
                <w:tcBorders>
                  <w:top w:val="single" w:sz="4" w:space="0" w:color="auto"/>
                  <w:left w:val="nil"/>
                  <w:bottom w:val="single" w:sz="4" w:space="0" w:color="auto"/>
                  <w:right w:val="nil"/>
                </w:tcBorders>
              </w:tcPr>
              <w:p w:rsidR="00724AD7" w:rsidRPr="00B043B4" w:rsidRDefault="009B2D82" w:rsidP="009B2D82">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724AD7" w:rsidRPr="00B043B4" w:rsidRDefault="00724AD7" w:rsidP="00724AD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724AD7" w:rsidRPr="00B043B4" w:rsidRDefault="00724AD7" w:rsidP="00724AD7">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24AD7" w:rsidRPr="00B043B4" w:rsidRDefault="00724AD7" w:rsidP="00724AD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9431E3">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B043B4" w:rsidRDefault="009B2D82" w:rsidP="009B2D8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x</w:t>
                </w:r>
              </w:p>
            </w:tc>
          </w:sdtContent>
        </w:sdt>
        <w:tc>
          <w:tcPr>
            <w:tcW w:w="1133" w:type="dxa"/>
            <w:tcBorders>
              <w:top w:val="nil"/>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A2BF4">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B043B4" w:rsidRDefault="009B2D82" w:rsidP="009B2D82">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x</w:t>
                </w:r>
              </w:p>
            </w:tc>
          </w:sdtContent>
        </w:sdt>
        <w:tc>
          <w:tcPr>
            <w:tcW w:w="1133"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181859210"/>
              </w:sdtPr>
              <w:sdtEndPr/>
              <w:sdtContent>
                <w:tc>
                  <w:tcPr>
                    <w:tcW w:w="541" w:type="dxa"/>
                    <w:tcBorders>
                      <w:top w:val="single" w:sz="4" w:space="0" w:color="auto"/>
                      <w:left w:val="single" w:sz="4" w:space="0" w:color="auto"/>
                      <w:bottom w:val="single" w:sz="4" w:space="0" w:color="auto"/>
                      <w:right w:val="nil"/>
                    </w:tcBorders>
                  </w:tcPr>
                  <w:p w:rsidR="00A340BB" w:rsidRPr="00745276" w:rsidRDefault="00C345FA" w:rsidP="00AA592B">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sdtContent>
        </w:sdt>
        <w:tc>
          <w:tcPr>
            <w:tcW w:w="1312" w:type="dxa"/>
            <w:tcBorders>
              <w:top w:val="single" w:sz="4" w:space="0" w:color="auto"/>
              <w:left w:val="nil"/>
              <w:bottom w:val="single" w:sz="4" w:space="0" w:color="auto"/>
              <w:right w:val="nil"/>
            </w:tcBorders>
          </w:tcPr>
          <w:p w:rsidR="00A340BB" w:rsidRPr="00745276" w:rsidRDefault="00A340BB" w:rsidP="00AA592B">
            <w:pPr>
              <w:ind w:right="-108"/>
              <w:rPr>
                <w:rFonts w:ascii="Times New Roman" w:eastAsia="Times New Roman" w:hAnsi="Times New Roman" w:cs="Times New Roman"/>
                <w:b/>
                <w:sz w:val="20"/>
                <w:szCs w:val="20"/>
                <w:lang w:eastAsia="sk-SK"/>
              </w:rPr>
            </w:pPr>
            <w:r w:rsidRPr="0074527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630823754"/>
          </w:sdtPr>
          <w:sdtEndPr/>
          <w:sdtContent>
            <w:tc>
              <w:tcPr>
                <w:tcW w:w="538" w:type="dxa"/>
                <w:tcBorders>
                  <w:top w:val="single" w:sz="4" w:space="0" w:color="auto"/>
                  <w:left w:val="nil"/>
                  <w:bottom w:val="single" w:sz="4" w:space="0" w:color="auto"/>
                  <w:right w:val="nil"/>
                </w:tcBorders>
              </w:tcPr>
              <w:p w:rsidR="00A340BB" w:rsidRPr="00B043B4" w:rsidRDefault="00C345FA" w:rsidP="00745276">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745276" w:rsidRPr="006635D4" w:rsidRDefault="002C6B44" w:rsidP="006635D4">
            <w:pPr>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bude mať pozitívny vplyv na kvalitu života profesionálnych vojakov vrátane ich rodín a hospodárenie domácností. Pozitívny vplyv sa prejaví progresívnejším priebehom štátnej služby</w:t>
            </w:r>
            <w:r w:rsidR="00A03EE4">
              <w:rPr>
                <w:rFonts w:ascii="Times New Roman" w:eastAsia="Calibri" w:hAnsi="Times New Roman" w:cs="Times New Roman"/>
                <w:sz w:val="20"/>
                <w:szCs w:val="20"/>
                <w:lang w:eastAsia="sk-SK"/>
              </w:rPr>
              <w:t xml:space="preserve"> profesionálnych vojakov</w:t>
            </w:r>
            <w:r>
              <w:rPr>
                <w:rFonts w:ascii="Times New Roman" w:eastAsia="Calibri" w:hAnsi="Times New Roman" w:cs="Times New Roman"/>
                <w:sz w:val="20"/>
                <w:szCs w:val="20"/>
                <w:lang w:eastAsia="sk-SK"/>
              </w:rPr>
              <w:t>.</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37366B" w:rsidRDefault="0037366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plk. Ing. Tomáš Szalai, </w:t>
            </w:r>
            <w:hyperlink r:id="rId8" w:history="1">
              <w:r w:rsidRPr="002F6FFF">
                <w:rPr>
                  <w:rStyle w:val="Hypertextovprepojenie"/>
                  <w:rFonts w:ascii="Times New Roman" w:eastAsia="Times New Roman" w:hAnsi="Times New Roman" w:cs="Times New Roman"/>
                  <w:sz w:val="20"/>
                  <w:szCs w:val="20"/>
                  <w:lang w:eastAsia="sk-SK"/>
                </w:rPr>
                <w:t>tomas.szalai@mil.sk</w:t>
              </w:r>
            </w:hyperlink>
            <w:r>
              <w:rPr>
                <w:rFonts w:ascii="Times New Roman" w:eastAsia="Times New Roman" w:hAnsi="Times New Roman" w:cs="Times New Roman"/>
                <w:sz w:val="20"/>
                <w:szCs w:val="20"/>
                <w:lang w:eastAsia="sk-SK"/>
              </w:rPr>
              <w:t>, 0960 312 782</w:t>
            </w:r>
          </w:p>
          <w:p w:rsidR="00DE3439" w:rsidRDefault="00A03EE4"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E3439">
              <w:rPr>
                <w:rFonts w:ascii="Times New Roman" w:eastAsia="Times New Roman" w:hAnsi="Times New Roman" w:cs="Times New Roman"/>
                <w:sz w:val="20"/>
                <w:szCs w:val="20"/>
                <w:lang w:eastAsia="sk-SK"/>
              </w:rPr>
              <w:t xml:space="preserve">plk. Ing. </w:t>
            </w:r>
            <w:r>
              <w:rPr>
                <w:rFonts w:ascii="Times New Roman" w:eastAsia="Times New Roman" w:hAnsi="Times New Roman" w:cs="Times New Roman"/>
                <w:sz w:val="20"/>
                <w:szCs w:val="20"/>
                <w:lang w:eastAsia="sk-SK"/>
              </w:rPr>
              <w:t xml:space="preserve">Matej </w:t>
            </w:r>
            <w:proofErr w:type="spellStart"/>
            <w:r>
              <w:rPr>
                <w:rFonts w:ascii="Times New Roman" w:eastAsia="Times New Roman" w:hAnsi="Times New Roman" w:cs="Times New Roman"/>
                <w:sz w:val="20"/>
                <w:szCs w:val="20"/>
                <w:lang w:eastAsia="sk-SK"/>
              </w:rPr>
              <w:t>Blažek</w:t>
            </w:r>
            <w:proofErr w:type="spellEnd"/>
            <w:r w:rsidR="00DE3439">
              <w:rPr>
                <w:rFonts w:ascii="Times New Roman" w:eastAsia="Times New Roman" w:hAnsi="Times New Roman" w:cs="Times New Roman"/>
                <w:sz w:val="20"/>
                <w:szCs w:val="20"/>
                <w:lang w:eastAsia="sk-SK"/>
              </w:rPr>
              <w:t xml:space="preserve">, </w:t>
            </w:r>
            <w:hyperlink r:id="rId9" w:history="1">
              <w:r w:rsidR="00BF4B4F" w:rsidRPr="00C12838">
                <w:rPr>
                  <w:rStyle w:val="Hypertextovprepojenie"/>
                  <w:rFonts w:ascii="Times New Roman" w:eastAsia="Times New Roman" w:hAnsi="Times New Roman" w:cs="Times New Roman"/>
                  <w:sz w:val="20"/>
                  <w:szCs w:val="20"/>
                  <w:lang w:eastAsia="sk-SK"/>
                </w:rPr>
                <w:t>matej.blazek@mil.sk</w:t>
              </w:r>
            </w:hyperlink>
            <w:r w:rsidR="00DE3439">
              <w:rPr>
                <w:rFonts w:ascii="Times New Roman" w:eastAsia="Times New Roman" w:hAnsi="Times New Roman" w:cs="Times New Roman"/>
                <w:sz w:val="20"/>
                <w:szCs w:val="20"/>
                <w:lang w:eastAsia="sk-SK"/>
              </w:rPr>
              <w:t>, 0960 313 557</w:t>
            </w:r>
          </w:p>
          <w:p w:rsidR="00DE3439" w:rsidRPr="00DE3439" w:rsidRDefault="00DE3439"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Ing. Miroslava Brezinová, </w:t>
            </w:r>
            <w:hyperlink r:id="rId10" w:history="1">
              <w:r w:rsidRPr="00DC50DE">
                <w:rPr>
                  <w:rStyle w:val="Hypertextovprepojenie"/>
                  <w:rFonts w:ascii="Times New Roman" w:eastAsia="Times New Roman" w:hAnsi="Times New Roman" w:cs="Times New Roman"/>
                  <w:sz w:val="20"/>
                  <w:szCs w:val="20"/>
                  <w:lang w:eastAsia="sk-SK"/>
                </w:rPr>
                <w:t>miroslava.brezinova@mod.gov.sk</w:t>
              </w:r>
            </w:hyperlink>
            <w:r>
              <w:rPr>
                <w:rFonts w:ascii="Times New Roman" w:eastAsia="Times New Roman" w:hAnsi="Times New Roman" w:cs="Times New Roman"/>
                <w:sz w:val="20"/>
                <w:szCs w:val="20"/>
                <w:lang w:eastAsia="sk-SK"/>
              </w:rPr>
              <w:t>, 0960 317 530</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Default="00DE3439" w:rsidP="00DE343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Sociologický prieskum</w:t>
            </w:r>
            <w:r w:rsidRPr="00DE3439">
              <w:rPr>
                <w:rFonts w:ascii="Times New Roman" w:eastAsia="Times New Roman" w:hAnsi="Times New Roman" w:cs="Times New Roman"/>
                <w:sz w:val="20"/>
                <w:szCs w:val="20"/>
                <w:lang w:eastAsia="sk-SK"/>
              </w:rPr>
              <w:t xml:space="preserve"> medzi príslušníkmi ozbrojených síl Slovensk</w:t>
            </w:r>
            <w:r>
              <w:rPr>
                <w:rFonts w:ascii="Times New Roman" w:eastAsia="Times New Roman" w:hAnsi="Times New Roman" w:cs="Times New Roman"/>
                <w:sz w:val="20"/>
                <w:szCs w:val="20"/>
                <w:lang w:eastAsia="sk-SK"/>
              </w:rPr>
              <w:t>ej republiky</w:t>
            </w:r>
            <w:r w:rsidRPr="00DE3439">
              <w:rPr>
                <w:rFonts w:ascii="Times New Roman" w:eastAsia="Times New Roman" w:hAnsi="Times New Roman" w:cs="Times New Roman"/>
                <w:sz w:val="20"/>
                <w:szCs w:val="20"/>
                <w:lang w:eastAsia="sk-SK"/>
              </w:rPr>
              <w:t xml:space="preserve">, ktorý sa uskutočnil </w:t>
            </w:r>
            <w:r>
              <w:rPr>
                <w:rFonts w:ascii="Times New Roman" w:eastAsia="Times New Roman" w:hAnsi="Times New Roman" w:cs="Times New Roman"/>
                <w:sz w:val="20"/>
                <w:szCs w:val="20"/>
                <w:lang w:eastAsia="sk-SK"/>
              </w:rPr>
              <w:t xml:space="preserve">v decembri 2020 </w:t>
            </w:r>
            <w:r w:rsidRPr="00DE3439">
              <w:rPr>
                <w:rFonts w:ascii="Times New Roman" w:eastAsia="Times New Roman" w:hAnsi="Times New Roman" w:cs="Times New Roman"/>
                <w:sz w:val="20"/>
                <w:szCs w:val="20"/>
                <w:lang w:eastAsia="sk-SK"/>
              </w:rPr>
              <w:t>s cieľom získať informácie o subjektívnom vnímaní dodržiavania ľudských práv a právom chránených záujmov vojenského personálu a o miere spokojnosti so súčasným stavom riešenia záležitostí týkajúcich sa oblasti ochrany ľudských práv a právom chránených záujmov vojenského personálu</w:t>
            </w:r>
            <w:r>
              <w:rPr>
                <w:rFonts w:ascii="Times New Roman" w:eastAsia="Times New Roman" w:hAnsi="Times New Roman" w:cs="Times New Roman"/>
                <w:sz w:val="20"/>
                <w:szCs w:val="20"/>
                <w:lang w:eastAsia="sk-SK"/>
              </w:rPr>
              <w:t>.</w:t>
            </w:r>
          </w:p>
          <w:p w:rsidR="00DE3439" w:rsidRDefault="0072756E" w:rsidP="00DE343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Na návrhu zákona aktívne participovali </w:t>
            </w:r>
            <w:r w:rsidRPr="00D80404">
              <w:rPr>
                <w:rFonts w:ascii="Times New Roman" w:eastAsia="Times New Roman" w:hAnsi="Times New Roman" w:cs="Times New Roman"/>
                <w:sz w:val="20"/>
                <w:szCs w:val="20"/>
                <w:lang w:eastAsia="sk-SK"/>
              </w:rPr>
              <w:t xml:space="preserve">zástupcovia </w:t>
            </w:r>
            <w:r w:rsidR="00247ECC" w:rsidRPr="00D80404">
              <w:rPr>
                <w:rFonts w:ascii="Times New Roman" w:eastAsia="Times New Roman" w:hAnsi="Times New Roman" w:cs="Times New Roman"/>
                <w:sz w:val="20"/>
                <w:szCs w:val="20"/>
                <w:lang w:eastAsia="sk-SK"/>
              </w:rPr>
              <w:t>O</w:t>
            </w:r>
            <w:r w:rsidR="00684686" w:rsidRPr="00D80404">
              <w:rPr>
                <w:rFonts w:ascii="Times New Roman" w:eastAsia="Times New Roman" w:hAnsi="Times New Roman" w:cs="Times New Roman"/>
                <w:sz w:val="20"/>
                <w:szCs w:val="20"/>
                <w:lang w:eastAsia="sk-SK"/>
              </w:rPr>
              <w:t>zbrojených</w:t>
            </w:r>
            <w:r w:rsidR="00684686">
              <w:rPr>
                <w:rFonts w:ascii="Times New Roman" w:eastAsia="Times New Roman" w:hAnsi="Times New Roman" w:cs="Times New Roman"/>
                <w:sz w:val="20"/>
                <w:szCs w:val="20"/>
                <w:lang w:eastAsia="sk-SK"/>
              </w:rPr>
              <w:t xml:space="preserve"> síl</w:t>
            </w:r>
            <w:r>
              <w:rPr>
                <w:rFonts w:ascii="Times New Roman" w:eastAsia="Times New Roman" w:hAnsi="Times New Roman" w:cs="Times New Roman"/>
                <w:sz w:val="20"/>
                <w:szCs w:val="20"/>
                <w:lang w:eastAsia="sk-SK"/>
              </w:rPr>
              <w:t xml:space="preserve"> SR.</w:t>
            </w:r>
          </w:p>
          <w:p w:rsidR="0072756E" w:rsidRPr="00DE3439" w:rsidRDefault="0072756E" w:rsidP="00DE343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zohľadňuje podnety a pripomienky vznesené odbornou vojenskou verejnosťou v diskusii o podobe návrhu zákona, ktorá sa uskutočnila v auguste – novembri 2020.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6F7C34">
        <w:tc>
          <w:tcPr>
            <w:tcW w:w="9176" w:type="dxa"/>
            <w:tcBorders>
              <w:top w:val="single" w:sz="4" w:space="0" w:color="auto"/>
              <w:left w:val="single" w:sz="4" w:space="0" w:color="auto"/>
              <w:bottom w:val="single" w:sz="4" w:space="0" w:color="auto"/>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CA295A">
              <w:rPr>
                <w:rFonts w:ascii="Times New Roman" w:eastAsia="Calibri" w:hAnsi="Times New Roman" w:cs="Times New Roman"/>
                <w:b/>
              </w:rPr>
              <w:t>033/2022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7C34">
        <w:trPr>
          <w:trHeight w:val="1236"/>
        </w:trPr>
        <w:tc>
          <w:tcPr>
            <w:tcW w:w="9176" w:type="dxa"/>
            <w:tcBorders>
              <w:top w:val="single" w:sz="4" w:space="0" w:color="auto"/>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8E0C5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8E0C5B" w:rsidP="00B60C2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r w:rsidR="00B60C22">
                        <w:rPr>
                          <w:rFonts w:ascii="Segoe UI Symbol" w:eastAsia="Times New Roman" w:hAnsi="Segoe UI Symbol" w:cs="Segoe UI Symbol"/>
                          <w:b/>
                          <w:sz w:val="20"/>
                          <w:szCs w:val="20"/>
                          <w:lang w:eastAsia="sk-SK"/>
                        </w:rPr>
                        <w:t>x</w:t>
                      </w:r>
                    </w:sdtContent>
                  </w:sdt>
                  <w:r w:rsidR="001B23B7" w:rsidRPr="00B043B4">
                    <w:rPr>
                      <w:rFonts w:ascii="Times New Roman" w:eastAsia="Times New Roman" w:hAnsi="Times New Roman" w:cs="Times New Roman"/>
                      <w:b/>
                      <w:sz w:val="20"/>
                      <w:szCs w:val="20"/>
                      <w:lang w:eastAsia="sk-SK"/>
                    </w:rPr>
                    <w:t xml:space="preserve"> </w:t>
                  </w:r>
                  <w:r w:rsidR="00B60C22">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8E0C5B" w:rsidP="00CA295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872915478"/>
                        </w:sdtPr>
                        <w:sdtEndPr/>
                        <w:sdtContent>
                          <w:r w:rsidR="00B60C22" w:rsidRPr="00B043B4">
                            <w:rPr>
                              <w:rFonts w:ascii="Segoe UI Symbol" w:eastAsia="Times New Roman" w:hAnsi="Segoe UI Symbol" w:cs="Segoe UI Symbol"/>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CA295A" w:rsidRDefault="00CA295A" w:rsidP="00CA295A">
            <w:pPr>
              <w:jc w:val="both"/>
              <w:rPr>
                <w:rFonts w:ascii="Times New Roman" w:hAnsi="Times New Roman" w:cs="Times New Roman"/>
                <w:b/>
                <w:bCs/>
                <w:sz w:val="20"/>
                <w:szCs w:val="20"/>
              </w:rPr>
            </w:pPr>
          </w:p>
          <w:p w:rsidR="00CA295A" w:rsidRPr="00CA295A" w:rsidRDefault="00CA295A" w:rsidP="00CA295A">
            <w:pPr>
              <w:jc w:val="both"/>
              <w:rPr>
                <w:rFonts w:ascii="Times New Roman" w:hAnsi="Times New Roman" w:cs="Times New Roman"/>
                <w:sz w:val="20"/>
                <w:szCs w:val="20"/>
              </w:rPr>
            </w:pPr>
            <w:r w:rsidRPr="00CA295A">
              <w:rPr>
                <w:rFonts w:ascii="Times New Roman" w:hAnsi="Times New Roman" w:cs="Times New Roman"/>
                <w:b/>
                <w:bCs/>
                <w:sz w:val="20"/>
                <w:szCs w:val="20"/>
              </w:rPr>
              <w:t>II. P</w:t>
            </w:r>
            <w:r w:rsidRPr="00CA295A">
              <w:rPr>
                <w:rFonts w:ascii="Times New Roman" w:hAnsi="Times New Roman" w:cs="Times New Roman"/>
                <w:b/>
                <w:sz w:val="20"/>
                <w:szCs w:val="20"/>
              </w:rPr>
              <w:t>r</w:t>
            </w:r>
            <w:r w:rsidRPr="00CA295A">
              <w:rPr>
                <w:rFonts w:ascii="Times New Roman" w:hAnsi="Times New Roman" w:cs="Times New Roman"/>
                <w:b/>
                <w:bCs/>
                <w:sz w:val="20"/>
                <w:szCs w:val="20"/>
              </w:rPr>
              <w:t>ipomienky a návrhy zm</w:t>
            </w:r>
            <w:r w:rsidRPr="00CA295A">
              <w:rPr>
                <w:rFonts w:ascii="Times New Roman" w:hAnsi="Times New Roman" w:cs="Times New Roman"/>
                <w:b/>
                <w:sz w:val="20"/>
                <w:szCs w:val="20"/>
              </w:rPr>
              <w:t>ie</w:t>
            </w:r>
            <w:r w:rsidRPr="00CA295A">
              <w:rPr>
                <w:rFonts w:ascii="Times New Roman" w:hAnsi="Times New Roman" w:cs="Times New Roman"/>
                <w:b/>
                <w:bCs/>
                <w:sz w:val="20"/>
                <w:szCs w:val="20"/>
              </w:rPr>
              <w:t xml:space="preserve">n: </w:t>
            </w:r>
            <w:r w:rsidRPr="00CA295A">
              <w:rPr>
                <w:rFonts w:ascii="Times New Roman" w:hAnsi="Times New Roman" w:cs="Times New Roman"/>
                <w:bCs/>
                <w:sz w:val="20"/>
                <w:szCs w:val="20"/>
              </w:rPr>
              <w:t>Komisia uplatňuje k materiálu nasledovné pripomienky a odporúčania:</w:t>
            </w:r>
          </w:p>
          <w:p w:rsidR="00CA295A" w:rsidRPr="00CA295A" w:rsidRDefault="00CA295A" w:rsidP="00CA295A">
            <w:pPr>
              <w:tabs>
                <w:tab w:val="center" w:pos="6379"/>
              </w:tabs>
              <w:ind w:right="-2"/>
              <w:jc w:val="both"/>
              <w:rPr>
                <w:rFonts w:ascii="Times New Roman" w:hAnsi="Times New Roman" w:cs="Times New Roman"/>
                <w:bCs/>
                <w:sz w:val="20"/>
                <w:szCs w:val="20"/>
              </w:rPr>
            </w:pPr>
          </w:p>
          <w:p w:rsidR="00CA295A" w:rsidRPr="00CA295A" w:rsidRDefault="00CA295A" w:rsidP="00CA295A">
            <w:pPr>
              <w:pStyle w:val="norm00e1lny"/>
              <w:spacing w:line="240" w:lineRule="atLeast"/>
              <w:jc w:val="both"/>
              <w:rPr>
                <w:b/>
              </w:rPr>
            </w:pPr>
            <w:r w:rsidRPr="00CA295A">
              <w:rPr>
                <w:b/>
              </w:rPr>
              <w:t>K vplyvom na rozpočet verejnej správy</w:t>
            </w: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Podľa doložky vybraných vplyvov a analýzy vplyvov na rozpočet verejnej správy návrh zákona bude mať negatívny vplyv na rozpočet verejnej správy, ktorý bude v plnom rozsahu zabezpečený v rámci limitov rozpočtových prostriedkov pridelených kapitole štátneho rozpočtu MO SR na rok 2023 a roky nasledujúce.</w:t>
            </w:r>
          </w:p>
          <w:p w:rsidR="00B60C22" w:rsidRPr="00045BEC" w:rsidRDefault="00B60C22" w:rsidP="00B60C22">
            <w:pPr>
              <w:jc w:val="both"/>
              <w:rPr>
                <w:rFonts w:ascii="Times New Roman" w:hAnsi="Times New Roman" w:cs="Times New Roman"/>
                <w:bCs/>
                <w:iCs/>
                <w:color w:val="000000"/>
                <w:sz w:val="20"/>
                <w:szCs w:val="20"/>
              </w:rPr>
            </w:pP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Podľa údajov v analýze vplyvov na rozpočet v tab. č. 1 návrh zákona má negatívny vplyv na rozpočet verejnej správy v oblasti príjmov v sume 21 233 eur každoročne, pričom predkladateľ v časti 2.2.4. Výpočty vplyvov na verejné financie uvádza, že výpadok predpokladaného príjmu do rozpočtu verejnej správy bude krytý z plnenia celkových príjmov kapitoly MO SR a to aj vzhľadom na skutočnosť, že predmetný príjem má charakter náhodných príjmov a nie je predmetom organizácie vytvárať takýto druh príjmov.</w:t>
            </w:r>
          </w:p>
          <w:p w:rsidR="00B60C22" w:rsidRPr="00045BEC" w:rsidRDefault="00B60C22" w:rsidP="00B60C22">
            <w:pPr>
              <w:jc w:val="both"/>
              <w:rPr>
                <w:rFonts w:ascii="Times New Roman" w:hAnsi="Times New Roman" w:cs="Times New Roman"/>
                <w:bCs/>
                <w:iCs/>
                <w:color w:val="000000"/>
                <w:sz w:val="20"/>
                <w:szCs w:val="20"/>
              </w:rPr>
            </w:pP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 xml:space="preserve">Komisia upozorňuje, že v analýze vplyvov v tabuľke č. 1 v riadku „Príjmy verejnej správy celkom“ je v roku 2024 uvedené kladné číslo 21 233 eur. V tabuľke č. 3 (Príjmy) sa uvádza záporné číslo -21 233 eur. Uvedenú nezrovnalosť je potrebné upraviť. </w:t>
            </w:r>
          </w:p>
          <w:p w:rsidR="00B60C22" w:rsidRPr="00045BEC" w:rsidRDefault="00B60C22" w:rsidP="00B60C22">
            <w:pPr>
              <w:jc w:val="both"/>
              <w:rPr>
                <w:rFonts w:ascii="Times New Roman" w:hAnsi="Times New Roman" w:cs="Times New Roman"/>
                <w:bCs/>
                <w:iCs/>
                <w:color w:val="000000"/>
                <w:sz w:val="20"/>
                <w:szCs w:val="20"/>
              </w:rPr>
            </w:pP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Návrh zákona má negatívny vplyv na rozpočet verejnej správy v oblasti výdavkov v roku 2023 v sume 1 895 586 eur, v roku 2024 v sume 1 223 840 eur a v roku 2025 v sume 1 340 362 eur, pričom rozpočtovo nekrytý vplyv je 0 eur každoročne.</w:t>
            </w:r>
          </w:p>
          <w:p w:rsidR="00B60C22" w:rsidRPr="00045BEC" w:rsidRDefault="00B60C22" w:rsidP="00B60C22">
            <w:pPr>
              <w:jc w:val="both"/>
              <w:rPr>
                <w:rFonts w:ascii="Times New Roman" w:hAnsi="Times New Roman" w:cs="Times New Roman"/>
                <w:bCs/>
                <w:iCs/>
                <w:color w:val="000000"/>
                <w:sz w:val="20"/>
                <w:szCs w:val="20"/>
              </w:rPr>
            </w:pP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Na základe vyššie uvedených skutočností Komisia berie na vedomie tvrdenie predkladateľa, že negatívny vplyv návrhu zákona je rozpočtovo zabezpečený, t. j. všetky negatívne dôsledky súvisiace s realizáciou návrhu zákona budú zabezpečené v rámci schválených limitov kapitoly MO SR na príslušné rozpočtové roky bez dodatočných požiadaviek na štátny rozpočet.</w:t>
            </w:r>
          </w:p>
          <w:p w:rsidR="00B60C22" w:rsidRPr="00045BEC" w:rsidRDefault="00B60C22" w:rsidP="00B60C22">
            <w:pPr>
              <w:jc w:val="both"/>
              <w:rPr>
                <w:rFonts w:ascii="Times New Roman" w:hAnsi="Times New Roman" w:cs="Times New Roman"/>
                <w:bCs/>
                <w:iCs/>
                <w:color w:val="000000"/>
                <w:sz w:val="20"/>
                <w:szCs w:val="20"/>
              </w:rPr>
            </w:pPr>
          </w:p>
          <w:p w:rsidR="00B60C22" w:rsidRPr="00045BEC" w:rsidRDefault="00B60C22" w:rsidP="00B60C22">
            <w:pPr>
              <w:jc w:val="both"/>
              <w:rPr>
                <w:rFonts w:ascii="Times New Roman" w:hAnsi="Times New Roman" w:cs="Times New Roman"/>
                <w:bCs/>
                <w:iCs/>
                <w:color w:val="000000"/>
                <w:sz w:val="20"/>
                <w:szCs w:val="20"/>
              </w:rPr>
            </w:pPr>
            <w:r w:rsidRPr="00045BEC">
              <w:rPr>
                <w:rFonts w:ascii="Times New Roman" w:hAnsi="Times New Roman" w:cs="Times New Roman"/>
                <w:bCs/>
                <w:iCs/>
                <w:color w:val="000000"/>
                <w:sz w:val="20"/>
                <w:szCs w:val="20"/>
              </w:rPr>
              <w:t xml:space="preserve">V prepracovanom materiáli bolo na základe pripomienky MF SR vypustené oslobodenie peňažných prostriedkov poskytnutých profesionálnemu vojakovi na splnenie záväzku voči predchádzajúcemu zamestnávateľovi za náklady vynaložené na vzdelávanie od dane z príjmov. Medzi oslobodenými príjmami sa stále v návrhu na zmenu zákona č. 595/2003 Z. z. o dani z príjmov v znení neskorších predpisov v § 9 ods. 2 písm. </w:t>
            </w:r>
            <w:proofErr w:type="spellStart"/>
            <w:r w:rsidRPr="00045BEC">
              <w:rPr>
                <w:rFonts w:ascii="Times New Roman" w:hAnsi="Times New Roman" w:cs="Times New Roman"/>
                <w:bCs/>
                <w:iCs/>
                <w:color w:val="000000"/>
                <w:sz w:val="20"/>
                <w:szCs w:val="20"/>
              </w:rPr>
              <w:t>ag</w:t>
            </w:r>
            <w:proofErr w:type="spellEnd"/>
            <w:r w:rsidRPr="00045BEC">
              <w:rPr>
                <w:rFonts w:ascii="Times New Roman" w:hAnsi="Times New Roman" w:cs="Times New Roman"/>
                <w:bCs/>
                <w:iCs/>
                <w:color w:val="000000"/>
                <w:sz w:val="20"/>
                <w:szCs w:val="20"/>
              </w:rPr>
              <w:t>) – čl. III navrhuje ponechať jednorazovú peňažnú nenávratnú výpomoc profesionálnemu vojakovi podľa § 188 zákona č. 281/2015 Z. z. v znení zákona č. .../2022 Z. z. S týmto návrhom Komisia nesúhlasí, pretože zavádzanie akýchkoľvek výnimiek v zdanení, zvlášť pre takto úzky okruh daňovníkov, nie je v súlade s Programovým vyhlásením vlády SR.</w:t>
            </w:r>
          </w:p>
          <w:p w:rsidR="00B60C22" w:rsidRDefault="00B60C22" w:rsidP="00B60C22">
            <w:pPr>
              <w:jc w:val="both"/>
              <w:rPr>
                <w:rFonts w:ascii="Times New Roman" w:hAnsi="Times New Roman" w:cs="Times New Roman"/>
                <w:b/>
                <w:bCs/>
                <w:iCs/>
                <w:color w:val="000000"/>
                <w:sz w:val="20"/>
                <w:szCs w:val="20"/>
              </w:rPr>
            </w:pPr>
          </w:p>
          <w:p w:rsidR="00B60C22" w:rsidRPr="00045BEC" w:rsidRDefault="00B60C22" w:rsidP="00B60C22">
            <w:pPr>
              <w:pStyle w:val="norm00e1lny"/>
              <w:spacing w:line="240" w:lineRule="atLeast"/>
              <w:jc w:val="both"/>
              <w:rPr>
                <w:b/>
              </w:rPr>
            </w:pPr>
            <w:r>
              <w:rPr>
                <w:b/>
              </w:rPr>
              <w:t>Vyhodnotenie pripomienok k</w:t>
            </w:r>
            <w:r w:rsidRPr="00045BEC">
              <w:rPr>
                <w:b/>
              </w:rPr>
              <w:t> vplyvom na rozpočet verejnej správy</w:t>
            </w:r>
            <w:r>
              <w:rPr>
                <w:b/>
              </w:rPr>
              <w:t>:</w:t>
            </w:r>
          </w:p>
          <w:p w:rsidR="00B60C22" w:rsidRPr="00E46706" w:rsidRDefault="00B60C22" w:rsidP="00B60C22">
            <w:pPr>
              <w:pStyle w:val="Odsekzoznamu"/>
              <w:numPr>
                <w:ilvl w:val="0"/>
                <w:numId w:val="2"/>
              </w:numPr>
              <w:ind w:left="454"/>
              <w:jc w:val="both"/>
              <w:rPr>
                <w:rFonts w:ascii="Times New Roman" w:hAnsi="Times New Roman"/>
                <w:sz w:val="20"/>
                <w:szCs w:val="20"/>
              </w:rPr>
            </w:pPr>
            <w:r w:rsidRPr="008F260C">
              <w:rPr>
                <w:rFonts w:ascii="Times New Roman" w:hAnsi="Times New Roman"/>
                <w:sz w:val="20"/>
                <w:szCs w:val="20"/>
              </w:rPr>
              <w:t xml:space="preserve">Tabuľku č. 1 v analýze vplyv na rozpočet verejnej správy </w:t>
            </w:r>
            <w:r>
              <w:rPr>
                <w:rFonts w:ascii="Times New Roman" w:hAnsi="Times New Roman"/>
                <w:sz w:val="20"/>
                <w:szCs w:val="20"/>
              </w:rPr>
              <w:t xml:space="preserve">v riadku „Príjmy verejnej správy celkom“ v roku 2024 </w:t>
            </w:r>
            <w:r w:rsidRPr="008F260C">
              <w:rPr>
                <w:rFonts w:ascii="Times New Roman" w:hAnsi="Times New Roman"/>
                <w:sz w:val="20"/>
                <w:szCs w:val="20"/>
              </w:rPr>
              <w:t xml:space="preserve">sme upravili </w:t>
            </w:r>
            <w:r>
              <w:rPr>
                <w:rFonts w:ascii="Times New Roman" w:hAnsi="Times New Roman"/>
                <w:sz w:val="20"/>
                <w:szCs w:val="20"/>
              </w:rPr>
              <w:t>na zápornú hodnotu</w:t>
            </w:r>
            <w:r w:rsidRPr="008F260C">
              <w:rPr>
                <w:rFonts w:ascii="Times New Roman" w:hAnsi="Times New Roman"/>
                <w:sz w:val="20"/>
                <w:szCs w:val="20"/>
              </w:rPr>
              <w:t xml:space="preserve">. </w:t>
            </w:r>
            <w:r>
              <w:rPr>
                <w:rFonts w:ascii="Times New Roman" w:hAnsi="Times New Roman"/>
                <w:sz w:val="20"/>
                <w:szCs w:val="20"/>
              </w:rPr>
              <w:t>Pripomienka akceptovaná.</w:t>
            </w:r>
          </w:p>
          <w:p w:rsidR="00B60C22" w:rsidRPr="008F260C" w:rsidRDefault="00B60C22" w:rsidP="00B60C22">
            <w:pPr>
              <w:pStyle w:val="Odsekzoznamu"/>
              <w:numPr>
                <w:ilvl w:val="0"/>
                <w:numId w:val="2"/>
              </w:numPr>
              <w:ind w:left="454"/>
              <w:jc w:val="both"/>
              <w:rPr>
                <w:rFonts w:ascii="Times New Roman" w:hAnsi="Times New Roman"/>
                <w:sz w:val="20"/>
                <w:szCs w:val="20"/>
              </w:rPr>
            </w:pPr>
            <w:r>
              <w:rPr>
                <w:rFonts w:ascii="Times New Roman" w:hAnsi="Times New Roman"/>
                <w:sz w:val="20"/>
                <w:szCs w:val="20"/>
              </w:rPr>
              <w:lastRenderedPageBreak/>
              <w:t>Z</w:t>
            </w:r>
            <w:r w:rsidRPr="008F260C">
              <w:rPr>
                <w:rFonts w:ascii="Times New Roman" w:hAnsi="Times New Roman"/>
                <w:sz w:val="20"/>
                <w:szCs w:val="20"/>
              </w:rPr>
              <w:t xml:space="preserve"> čl. III </w:t>
            </w:r>
            <w:r>
              <w:rPr>
                <w:rFonts w:ascii="Times New Roman" w:hAnsi="Times New Roman"/>
                <w:sz w:val="20"/>
                <w:szCs w:val="20"/>
              </w:rPr>
              <w:t xml:space="preserve">je vypustený </w:t>
            </w:r>
            <w:r w:rsidRPr="008F260C">
              <w:rPr>
                <w:rFonts w:ascii="Times New Roman" w:hAnsi="Times New Roman"/>
                <w:sz w:val="20"/>
                <w:szCs w:val="20"/>
              </w:rPr>
              <w:t xml:space="preserve">bod 1, takže peňažné prostriedky poskytnuté profesionálnemu vojakovi na splnenie záväzku voči predchádzajúcemu zamestnávateľovi za náklady vynaložené na vzdelávanie budú podliehať dani z príjmu. </w:t>
            </w:r>
            <w:r w:rsidR="006F7C34">
              <w:rPr>
                <w:rFonts w:ascii="Times New Roman" w:hAnsi="Times New Roman"/>
                <w:sz w:val="20"/>
                <w:szCs w:val="20"/>
              </w:rPr>
              <w:t>Pripomienka akceptovaná.</w:t>
            </w:r>
          </w:p>
          <w:p w:rsidR="00B60C22" w:rsidRPr="005956E8" w:rsidRDefault="00B60C22" w:rsidP="006F7C34">
            <w:pPr>
              <w:pStyle w:val="Odsekzoznamu"/>
              <w:numPr>
                <w:ilvl w:val="0"/>
                <w:numId w:val="2"/>
              </w:numPr>
              <w:ind w:left="454"/>
              <w:jc w:val="both"/>
              <w:rPr>
                <w:rFonts w:ascii="Times New Roman" w:hAnsi="Times New Roman"/>
                <w:b/>
                <w:bCs/>
                <w:iCs/>
                <w:color w:val="000000"/>
                <w:sz w:val="20"/>
                <w:szCs w:val="20"/>
              </w:rPr>
            </w:pPr>
            <w:r w:rsidRPr="005956E8">
              <w:rPr>
                <w:rFonts w:ascii="Times New Roman" w:hAnsi="Times New Roman"/>
                <w:sz w:val="20"/>
                <w:szCs w:val="20"/>
              </w:rPr>
              <w:t>V čl. III bodu 2</w:t>
            </w:r>
            <w:r w:rsidR="006F7C34">
              <w:rPr>
                <w:rFonts w:ascii="Times New Roman" w:hAnsi="Times New Roman"/>
                <w:sz w:val="20"/>
                <w:szCs w:val="20"/>
              </w:rPr>
              <w:t xml:space="preserve"> pripomienka neakceptovaná. </w:t>
            </w:r>
            <w:r w:rsidRPr="005956E8">
              <w:rPr>
                <w:rFonts w:ascii="Times New Roman" w:hAnsi="Times New Roman"/>
                <w:sz w:val="20"/>
                <w:szCs w:val="20"/>
              </w:rPr>
              <w:t xml:space="preserve"> </w:t>
            </w:r>
            <w:r w:rsidR="006F7C34">
              <w:rPr>
                <w:rFonts w:ascii="Times New Roman" w:hAnsi="Times New Roman"/>
                <w:sz w:val="20"/>
                <w:szCs w:val="20"/>
              </w:rPr>
              <w:t>A</w:t>
            </w:r>
            <w:r w:rsidRPr="005956E8">
              <w:rPr>
                <w:rFonts w:ascii="Times New Roman" w:hAnsi="Times New Roman"/>
                <w:sz w:val="20"/>
                <w:szCs w:val="20"/>
              </w:rPr>
              <w:t xml:space="preserve">j naďalej </w:t>
            </w:r>
            <w:r w:rsidR="006F7C34">
              <w:rPr>
                <w:rFonts w:ascii="Times New Roman" w:hAnsi="Times New Roman"/>
                <w:sz w:val="20"/>
                <w:szCs w:val="20"/>
              </w:rPr>
              <w:t>navrhujeme</w:t>
            </w:r>
            <w:r w:rsidRPr="005956E8">
              <w:rPr>
                <w:rFonts w:ascii="Times New Roman" w:hAnsi="Times New Roman"/>
                <w:sz w:val="20"/>
                <w:szCs w:val="20"/>
              </w:rPr>
              <w:t xml:space="preserve"> oslobodiť jednorazovú peňažnú nenávratnú výpomoc profesionálnemu vojakovi od dane z príjmu fyzickej osoby, pretože jej prípadné poskytnutie považujeme za istý druh sociálnej výpomoci profesionálnemu vojakovi alebo pozostalým pri vzniknutej ťaživej situácii na preklenutie takého obdobia.  Vzhľadom na povahu jednorazovej peňažnej nenávratnej výpomoci sa táto výpomoc môže priznať v osobitne odôvodnených prípadoch pri vzniku ťaživej sociálnej situácie na zmiernenie podstatnej zmeny rodinného prostredia, napríklad po tragickej ujme</w:t>
            </w:r>
            <w:r w:rsidR="006F7C34">
              <w:rPr>
                <w:rFonts w:ascii="Times New Roman" w:hAnsi="Times New Roman"/>
                <w:sz w:val="20"/>
                <w:szCs w:val="20"/>
              </w:rPr>
              <w:t>. K</w:t>
            </w:r>
            <w:r w:rsidRPr="005956E8">
              <w:rPr>
                <w:rFonts w:ascii="Times New Roman" w:hAnsi="Times New Roman"/>
                <w:sz w:val="20"/>
                <w:szCs w:val="20"/>
              </w:rPr>
              <w:t xml:space="preserve"> úbytku príjmu do rozpočtu verejnej správy</w:t>
            </w:r>
            <w:r w:rsidR="006F7C34">
              <w:rPr>
                <w:rFonts w:ascii="Times New Roman" w:hAnsi="Times New Roman"/>
                <w:sz w:val="20"/>
                <w:szCs w:val="20"/>
              </w:rPr>
              <w:t xml:space="preserve"> však</w:t>
            </w:r>
            <w:r w:rsidRPr="005956E8">
              <w:rPr>
                <w:rFonts w:ascii="Times New Roman" w:hAnsi="Times New Roman"/>
                <w:sz w:val="20"/>
                <w:szCs w:val="20"/>
              </w:rPr>
              <w:t xml:space="preserve"> </w:t>
            </w:r>
            <w:r w:rsidR="006F7C34" w:rsidRPr="005956E8">
              <w:rPr>
                <w:rFonts w:ascii="Times New Roman" w:hAnsi="Times New Roman"/>
                <w:sz w:val="20"/>
                <w:szCs w:val="20"/>
              </w:rPr>
              <w:t xml:space="preserve">vôbec </w:t>
            </w:r>
            <w:r w:rsidRPr="005956E8">
              <w:rPr>
                <w:rFonts w:ascii="Times New Roman" w:hAnsi="Times New Roman"/>
                <w:sz w:val="20"/>
                <w:szCs w:val="20"/>
              </w:rPr>
              <w:t>nemusí dôjsť, pretože priznanie výpomoci má fakultatívny charakter. Zároveň sme kvantifikovali úbytok príjmu do rozpočtu verejnej správy s uvedením komentáru v časti návrhu na riešenie úbytku príjmov.</w:t>
            </w:r>
          </w:p>
          <w:p w:rsidR="00B60C22" w:rsidRPr="00045BEC" w:rsidRDefault="00B60C22" w:rsidP="00B60C22">
            <w:pPr>
              <w:jc w:val="both"/>
              <w:rPr>
                <w:rFonts w:ascii="Times New Roman" w:hAnsi="Times New Roman" w:cs="Times New Roman"/>
                <w:b/>
                <w:bCs/>
                <w:iCs/>
                <w:color w:val="000000"/>
                <w:sz w:val="20"/>
                <w:szCs w:val="20"/>
              </w:rPr>
            </w:pPr>
          </w:p>
          <w:p w:rsidR="00B60C22" w:rsidRPr="00045BEC" w:rsidRDefault="00B60C22" w:rsidP="00B60C22">
            <w:pPr>
              <w:jc w:val="both"/>
              <w:rPr>
                <w:rFonts w:ascii="Times New Roman" w:hAnsi="Times New Roman" w:cs="Times New Roman"/>
                <w:b/>
                <w:sz w:val="20"/>
                <w:szCs w:val="20"/>
              </w:rPr>
            </w:pPr>
            <w:r w:rsidRPr="00045BEC">
              <w:rPr>
                <w:rFonts w:ascii="Times New Roman" w:hAnsi="Times New Roman" w:cs="Times New Roman"/>
                <w:b/>
                <w:sz w:val="20"/>
                <w:szCs w:val="20"/>
              </w:rPr>
              <w:t>K sociálnym vplyvom</w:t>
            </w:r>
          </w:p>
          <w:p w:rsidR="00B60C22" w:rsidRPr="00045BEC" w:rsidRDefault="00B60C22" w:rsidP="00B60C22">
            <w:pPr>
              <w:jc w:val="both"/>
              <w:rPr>
                <w:rFonts w:ascii="Times New Roman" w:hAnsi="Times New Roman" w:cs="Times New Roman"/>
                <w:sz w:val="20"/>
                <w:szCs w:val="20"/>
              </w:rPr>
            </w:pPr>
            <w:r w:rsidRPr="00045BEC">
              <w:rPr>
                <w:rFonts w:ascii="Times New Roman" w:hAnsi="Times New Roman" w:cs="Times New Roman"/>
                <w:sz w:val="20"/>
                <w:szCs w:val="20"/>
              </w:rPr>
              <w:t>Vzhľadom na charakter dôvodov (aj na špecifikáciu ovplyvnených skupín), o ktoré sa rozširuje skončenie štátnej služby profesionálneho vojaka, je Komisia toho názoru, že nejde o negatívny sociálny vplyv, ktorý by mal byť hodnotený v analýze sociálnych vplyvov. Preto je potrebné vypustiť celé hodnotenie z bodu 4.1.2. Negatívny vplyv. Zároveň v tejto súvislosti Komisia upozorňuje, že sociálne vplyvy predloženého návrhu zákona boli identifikované iba ako pozitívne (teda neboli identifikované negatívne sociálne vplyvy).</w:t>
            </w:r>
          </w:p>
          <w:p w:rsidR="00B60C22" w:rsidRPr="00045BEC" w:rsidRDefault="00B60C22" w:rsidP="00B60C22">
            <w:pPr>
              <w:jc w:val="both"/>
              <w:rPr>
                <w:rFonts w:ascii="Times New Roman" w:hAnsi="Times New Roman" w:cs="Times New Roman"/>
                <w:sz w:val="20"/>
                <w:szCs w:val="20"/>
              </w:rPr>
            </w:pPr>
          </w:p>
          <w:p w:rsidR="00B60C22" w:rsidRDefault="00B60C22" w:rsidP="006F7C34">
            <w:pPr>
              <w:jc w:val="both"/>
              <w:rPr>
                <w:rFonts w:ascii="Times New Roman" w:hAnsi="Times New Roman" w:cs="Times New Roman"/>
                <w:sz w:val="20"/>
                <w:szCs w:val="20"/>
              </w:rPr>
            </w:pPr>
            <w:r w:rsidRPr="00045BEC">
              <w:rPr>
                <w:rFonts w:ascii="Times New Roman" w:hAnsi="Times New Roman" w:cs="Times New Roman"/>
                <w:sz w:val="20"/>
                <w:szCs w:val="20"/>
              </w:rPr>
              <w:t>Analýzu sociálnych vplyvov je potrebné upraviť tak, aby pri každom hodnotenom návrhu opatrenia bol zrejmý jeho opis, porovnanie so súčasným stavom, špecifikácia dotknutých skupín a kvalitatívne a pokiaľ možno aj kvantitatívne zhodnotenie sociálneho vplyvu. V rámci predloženého návrhu je potrebné zamerať sa najmä na hodnotenie novelizačného bodu 1, novelizačného bodu 4 (vojenský ombudsman a ochrana základných ľudských práv a slobôd profesionálnych vojakov), novelizačných  bodov 30, 32, 34, 38, 39, 128, 166, 167,168,172,174,175,176 a Prílohy č. 1.</w:t>
            </w:r>
          </w:p>
          <w:p w:rsidR="00B60C22" w:rsidRDefault="00B60C22" w:rsidP="00B60C22">
            <w:pPr>
              <w:pStyle w:val="Odsekzoznamu"/>
              <w:jc w:val="both"/>
              <w:rPr>
                <w:rFonts w:ascii="Times New Roman" w:hAnsi="Times New Roman"/>
                <w:sz w:val="20"/>
                <w:szCs w:val="20"/>
              </w:rPr>
            </w:pPr>
          </w:p>
          <w:p w:rsidR="00B60C22" w:rsidRPr="00045BEC" w:rsidRDefault="00B60C22" w:rsidP="00B60C22">
            <w:pPr>
              <w:jc w:val="both"/>
              <w:rPr>
                <w:rFonts w:ascii="Times New Roman" w:hAnsi="Times New Roman" w:cs="Times New Roman"/>
                <w:b/>
                <w:sz w:val="20"/>
                <w:szCs w:val="20"/>
              </w:rPr>
            </w:pPr>
            <w:r w:rsidRPr="00BD7CD0">
              <w:rPr>
                <w:rFonts w:ascii="Times New Roman" w:hAnsi="Times New Roman" w:cs="Times New Roman"/>
                <w:b/>
                <w:sz w:val="20"/>
                <w:szCs w:val="20"/>
              </w:rPr>
              <w:t xml:space="preserve">Vyhodnotenie pripomienok k </w:t>
            </w:r>
            <w:r w:rsidRPr="00045BEC">
              <w:rPr>
                <w:rFonts w:ascii="Times New Roman" w:hAnsi="Times New Roman" w:cs="Times New Roman"/>
                <w:b/>
                <w:sz w:val="20"/>
                <w:szCs w:val="20"/>
              </w:rPr>
              <w:t>sociálnym vplyvom</w:t>
            </w:r>
            <w:r>
              <w:rPr>
                <w:rFonts w:ascii="Times New Roman" w:hAnsi="Times New Roman" w:cs="Times New Roman"/>
                <w:b/>
                <w:sz w:val="20"/>
                <w:szCs w:val="20"/>
              </w:rPr>
              <w:t>:</w:t>
            </w:r>
          </w:p>
          <w:p w:rsidR="00B60C22" w:rsidRPr="009F20CA" w:rsidRDefault="006F7C34" w:rsidP="00B60C22">
            <w:pPr>
              <w:pStyle w:val="Odsekzoznamu"/>
              <w:numPr>
                <w:ilvl w:val="0"/>
                <w:numId w:val="3"/>
              </w:numPr>
              <w:ind w:left="454"/>
              <w:jc w:val="both"/>
              <w:rPr>
                <w:rFonts w:ascii="Times New Roman" w:eastAsia="Times New Roman" w:hAnsi="Times New Roman"/>
                <w:b/>
                <w:sz w:val="20"/>
                <w:szCs w:val="20"/>
                <w:lang w:eastAsia="sk-SK"/>
              </w:rPr>
            </w:pPr>
            <w:r>
              <w:rPr>
                <w:rFonts w:ascii="Times New Roman" w:hAnsi="Times New Roman"/>
                <w:sz w:val="20"/>
                <w:szCs w:val="20"/>
              </w:rPr>
              <w:t xml:space="preserve">Pripomienky akceptované. </w:t>
            </w:r>
            <w:r w:rsidR="00B60C22" w:rsidRPr="009F20CA">
              <w:rPr>
                <w:rFonts w:ascii="Times New Roman" w:hAnsi="Times New Roman"/>
                <w:sz w:val="20"/>
                <w:szCs w:val="20"/>
              </w:rPr>
              <w:t xml:space="preserve">Na základe odporúčajúcich pripomienok k sociálnym vplyvom </w:t>
            </w:r>
            <w:r w:rsidR="0073590D">
              <w:rPr>
                <w:rFonts w:ascii="Times New Roman" w:hAnsi="Times New Roman"/>
                <w:sz w:val="20"/>
                <w:szCs w:val="20"/>
              </w:rPr>
              <w:t>bolo vypustené</w:t>
            </w:r>
            <w:r w:rsidR="00B60C22" w:rsidRPr="009F20CA">
              <w:rPr>
                <w:rFonts w:ascii="Times New Roman" w:hAnsi="Times New Roman"/>
                <w:sz w:val="20"/>
                <w:szCs w:val="20"/>
              </w:rPr>
              <w:t xml:space="preserve"> hodnotenie negatívnych vplyvov a doplnili </w:t>
            </w:r>
            <w:r w:rsidR="0073590D">
              <w:rPr>
                <w:rFonts w:ascii="Times New Roman" w:hAnsi="Times New Roman"/>
                <w:sz w:val="20"/>
                <w:szCs w:val="20"/>
              </w:rPr>
              <w:t xml:space="preserve">sa </w:t>
            </w:r>
            <w:r w:rsidR="00B60C22" w:rsidRPr="009F20CA">
              <w:rPr>
                <w:rFonts w:ascii="Times New Roman" w:hAnsi="Times New Roman"/>
                <w:sz w:val="20"/>
                <w:szCs w:val="20"/>
              </w:rPr>
              <w:t xml:space="preserve">opatrenia </w:t>
            </w:r>
            <w:r w:rsidR="00B60C22">
              <w:rPr>
                <w:rFonts w:ascii="Times New Roman" w:hAnsi="Times New Roman"/>
                <w:sz w:val="20"/>
                <w:szCs w:val="20"/>
              </w:rPr>
              <w:t xml:space="preserve">k jednotlivým novelizačným bodom </w:t>
            </w:r>
            <w:r w:rsidR="00B60C22" w:rsidRPr="009F20CA">
              <w:rPr>
                <w:rFonts w:ascii="Times New Roman" w:hAnsi="Times New Roman"/>
                <w:sz w:val="20"/>
                <w:szCs w:val="20"/>
              </w:rPr>
              <w:t>s pozitívnym vplyvom vrátane ich opisu, porovnania so súčasným stavom, špecifikáciou dotknutých skupín a zhodnotenie sociálneho vplyvu jednotlivých opatrení.</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FA4FB1">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FA4FB1">
              <w:rPr>
                <w:rFonts w:ascii="Times New Roman" w:eastAsia="Calibri" w:hAnsi="Times New Roman" w:cs="Times New Roman"/>
                <w:b/>
              </w:rPr>
              <w:t>033_/2022</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8E0C5B" w:rsidP="00FA4FB1">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FA4FB1">
                        <w:rPr>
                          <w:rFonts w:ascii="Segoe UI Symbol" w:eastAsia="Times New Roman" w:hAnsi="Segoe UI Symbol" w:cs="Segoe UI Symbol"/>
                          <w:b/>
                          <w:sz w:val="20"/>
                          <w:szCs w:val="20"/>
                          <w:lang w:eastAsia="sk-SK"/>
                        </w:rPr>
                        <w:t>X</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8E0C5B"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8E0C5B"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8E0C5B"/>
    <w:sectPr w:rsidR="00274130"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5B" w:rsidRDefault="008E0C5B" w:rsidP="001B23B7">
      <w:pPr>
        <w:spacing w:after="0" w:line="240" w:lineRule="auto"/>
      </w:pPr>
      <w:r>
        <w:separator/>
      </w:r>
    </w:p>
  </w:endnote>
  <w:endnote w:type="continuationSeparator" w:id="0">
    <w:p w:rsidR="008E0C5B" w:rsidRDefault="008E0C5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C4CC6">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5B" w:rsidRDefault="008E0C5B" w:rsidP="001B23B7">
      <w:pPr>
        <w:spacing w:after="0" w:line="240" w:lineRule="auto"/>
      </w:pPr>
      <w:r>
        <w:separator/>
      </w:r>
    </w:p>
  </w:footnote>
  <w:footnote w:type="continuationSeparator" w:id="0">
    <w:p w:rsidR="008E0C5B" w:rsidRDefault="008E0C5B"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1027F"/>
    <w:multiLevelType w:val="hybridMultilevel"/>
    <w:tmpl w:val="81147B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74EE2409"/>
    <w:multiLevelType w:val="hybridMultilevel"/>
    <w:tmpl w:val="6DA841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17FDE"/>
    <w:rsid w:val="000217E8"/>
    <w:rsid w:val="0003275C"/>
    <w:rsid w:val="00043706"/>
    <w:rsid w:val="000849FF"/>
    <w:rsid w:val="00097069"/>
    <w:rsid w:val="000B36E6"/>
    <w:rsid w:val="000E4AAB"/>
    <w:rsid w:val="000F2BE9"/>
    <w:rsid w:val="001059E3"/>
    <w:rsid w:val="001712C9"/>
    <w:rsid w:val="001B23B7"/>
    <w:rsid w:val="001E3562"/>
    <w:rsid w:val="00210E0D"/>
    <w:rsid w:val="00234DB5"/>
    <w:rsid w:val="00243652"/>
    <w:rsid w:val="00247ECC"/>
    <w:rsid w:val="002C6B44"/>
    <w:rsid w:val="00313462"/>
    <w:rsid w:val="003215C7"/>
    <w:rsid w:val="00325FF4"/>
    <w:rsid w:val="00340DE1"/>
    <w:rsid w:val="003420FE"/>
    <w:rsid w:val="00347061"/>
    <w:rsid w:val="0037366B"/>
    <w:rsid w:val="00394A5F"/>
    <w:rsid w:val="003A057B"/>
    <w:rsid w:val="003D37DA"/>
    <w:rsid w:val="003F0B7D"/>
    <w:rsid w:val="00420539"/>
    <w:rsid w:val="0043503B"/>
    <w:rsid w:val="004900C2"/>
    <w:rsid w:val="00492796"/>
    <w:rsid w:val="0049476D"/>
    <w:rsid w:val="004A4383"/>
    <w:rsid w:val="0052686F"/>
    <w:rsid w:val="00533D54"/>
    <w:rsid w:val="00591EC6"/>
    <w:rsid w:val="005B5A86"/>
    <w:rsid w:val="0060007D"/>
    <w:rsid w:val="00617D16"/>
    <w:rsid w:val="006318BB"/>
    <w:rsid w:val="006635D4"/>
    <w:rsid w:val="00684686"/>
    <w:rsid w:val="00693E95"/>
    <w:rsid w:val="006F115D"/>
    <w:rsid w:val="006F7C34"/>
    <w:rsid w:val="00720322"/>
    <w:rsid w:val="00722696"/>
    <w:rsid w:val="00724AD7"/>
    <w:rsid w:val="0072756E"/>
    <w:rsid w:val="0073590D"/>
    <w:rsid w:val="00745276"/>
    <w:rsid w:val="007701D2"/>
    <w:rsid w:val="007715FA"/>
    <w:rsid w:val="007750CF"/>
    <w:rsid w:val="007B40C1"/>
    <w:rsid w:val="007D0A79"/>
    <w:rsid w:val="00801647"/>
    <w:rsid w:val="00865E81"/>
    <w:rsid w:val="00866D1B"/>
    <w:rsid w:val="00872509"/>
    <w:rsid w:val="008801B5"/>
    <w:rsid w:val="008B222D"/>
    <w:rsid w:val="008C33B4"/>
    <w:rsid w:val="008C4597"/>
    <w:rsid w:val="008C79B7"/>
    <w:rsid w:val="008E0C5B"/>
    <w:rsid w:val="0091732B"/>
    <w:rsid w:val="00920CE2"/>
    <w:rsid w:val="009256CC"/>
    <w:rsid w:val="009431E3"/>
    <w:rsid w:val="009475F5"/>
    <w:rsid w:val="009536F4"/>
    <w:rsid w:val="009717F5"/>
    <w:rsid w:val="009B2D82"/>
    <w:rsid w:val="009C424C"/>
    <w:rsid w:val="009C4CC6"/>
    <w:rsid w:val="009E09F7"/>
    <w:rsid w:val="009F253E"/>
    <w:rsid w:val="009F4832"/>
    <w:rsid w:val="00A03EE4"/>
    <w:rsid w:val="00A30ED3"/>
    <w:rsid w:val="00A340BB"/>
    <w:rsid w:val="00A91D20"/>
    <w:rsid w:val="00B41758"/>
    <w:rsid w:val="00B60C22"/>
    <w:rsid w:val="00B84F87"/>
    <w:rsid w:val="00BA2BF4"/>
    <w:rsid w:val="00BE33F0"/>
    <w:rsid w:val="00BF4B4F"/>
    <w:rsid w:val="00C345FA"/>
    <w:rsid w:val="00C53F14"/>
    <w:rsid w:val="00C7614A"/>
    <w:rsid w:val="00C80219"/>
    <w:rsid w:val="00CA295A"/>
    <w:rsid w:val="00CE3B7C"/>
    <w:rsid w:val="00CE6AAE"/>
    <w:rsid w:val="00CF1A25"/>
    <w:rsid w:val="00D05ECC"/>
    <w:rsid w:val="00D05F45"/>
    <w:rsid w:val="00D2313B"/>
    <w:rsid w:val="00D70642"/>
    <w:rsid w:val="00D80404"/>
    <w:rsid w:val="00DB49B7"/>
    <w:rsid w:val="00DD11E8"/>
    <w:rsid w:val="00DD1735"/>
    <w:rsid w:val="00DE3439"/>
    <w:rsid w:val="00DF357C"/>
    <w:rsid w:val="00E70FA2"/>
    <w:rsid w:val="00E80BC7"/>
    <w:rsid w:val="00F51D31"/>
    <w:rsid w:val="00F87681"/>
    <w:rsid w:val="00F91EE4"/>
    <w:rsid w:val="00FA4FB1"/>
    <w:rsid w:val="00FB7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92A"/>
  <w15:docId w15:val="{F93EDCFC-91E1-4EB3-BB19-589CE106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DE3439"/>
    <w:rPr>
      <w:color w:val="0563C1" w:themeColor="hyperlink"/>
      <w:u w:val="single"/>
    </w:rPr>
  </w:style>
  <w:style w:type="paragraph" w:customStyle="1" w:styleId="norm00e1lny">
    <w:name w:val="norm_00e1lny"/>
    <w:basedOn w:val="Normlny"/>
    <w:rsid w:val="00CA295A"/>
    <w:pPr>
      <w:spacing w:after="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B60C2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488">
      <w:bodyDiv w:val="1"/>
      <w:marLeft w:val="0"/>
      <w:marRight w:val="0"/>
      <w:marTop w:val="0"/>
      <w:marBottom w:val="0"/>
      <w:divBdr>
        <w:top w:val="none" w:sz="0" w:space="0" w:color="auto"/>
        <w:left w:val="none" w:sz="0" w:space="0" w:color="auto"/>
        <w:bottom w:val="none" w:sz="0" w:space="0" w:color="auto"/>
        <w:right w:val="none" w:sz="0" w:space="0" w:color="auto"/>
      </w:divBdr>
    </w:div>
    <w:div w:id="789398870">
      <w:bodyDiv w:val="1"/>
      <w:marLeft w:val="0"/>
      <w:marRight w:val="0"/>
      <w:marTop w:val="0"/>
      <w:marBottom w:val="0"/>
      <w:divBdr>
        <w:top w:val="none" w:sz="0" w:space="0" w:color="auto"/>
        <w:left w:val="none" w:sz="0" w:space="0" w:color="auto"/>
        <w:bottom w:val="none" w:sz="0" w:space="0" w:color="auto"/>
        <w:right w:val="none" w:sz="0" w:space="0" w:color="auto"/>
      </w:divBdr>
      <w:divsChild>
        <w:div w:id="1385249904">
          <w:marLeft w:val="0"/>
          <w:marRight w:val="0"/>
          <w:marTop w:val="100"/>
          <w:marBottom w:val="100"/>
          <w:divBdr>
            <w:top w:val="none" w:sz="0" w:space="0" w:color="auto"/>
            <w:left w:val="none" w:sz="0" w:space="0" w:color="auto"/>
            <w:bottom w:val="none" w:sz="0" w:space="0" w:color="auto"/>
            <w:right w:val="none" w:sz="0" w:space="0" w:color="auto"/>
          </w:divBdr>
          <w:divsChild>
            <w:div w:id="1584073517">
              <w:marLeft w:val="0"/>
              <w:marRight w:val="0"/>
              <w:marTop w:val="225"/>
              <w:marBottom w:val="750"/>
              <w:divBdr>
                <w:top w:val="none" w:sz="0" w:space="0" w:color="auto"/>
                <w:left w:val="none" w:sz="0" w:space="0" w:color="auto"/>
                <w:bottom w:val="none" w:sz="0" w:space="0" w:color="auto"/>
                <w:right w:val="none" w:sz="0" w:space="0" w:color="auto"/>
              </w:divBdr>
              <w:divsChild>
                <w:div w:id="1900824049">
                  <w:marLeft w:val="0"/>
                  <w:marRight w:val="0"/>
                  <w:marTop w:val="0"/>
                  <w:marBottom w:val="0"/>
                  <w:divBdr>
                    <w:top w:val="none" w:sz="0" w:space="0" w:color="auto"/>
                    <w:left w:val="none" w:sz="0" w:space="0" w:color="auto"/>
                    <w:bottom w:val="none" w:sz="0" w:space="0" w:color="auto"/>
                    <w:right w:val="none" w:sz="0" w:space="0" w:color="auto"/>
                  </w:divBdr>
                  <w:divsChild>
                    <w:div w:id="1849057396">
                      <w:marLeft w:val="0"/>
                      <w:marRight w:val="0"/>
                      <w:marTop w:val="0"/>
                      <w:marBottom w:val="0"/>
                      <w:divBdr>
                        <w:top w:val="none" w:sz="0" w:space="0" w:color="auto"/>
                        <w:left w:val="none" w:sz="0" w:space="0" w:color="auto"/>
                        <w:bottom w:val="none" w:sz="0" w:space="0" w:color="auto"/>
                        <w:right w:val="none" w:sz="0" w:space="0" w:color="auto"/>
                      </w:divBdr>
                      <w:divsChild>
                        <w:div w:id="729423470">
                          <w:marLeft w:val="0"/>
                          <w:marRight w:val="0"/>
                          <w:marTop w:val="0"/>
                          <w:marBottom w:val="0"/>
                          <w:divBdr>
                            <w:top w:val="none" w:sz="0" w:space="0" w:color="auto"/>
                            <w:left w:val="none" w:sz="0" w:space="0" w:color="auto"/>
                            <w:bottom w:val="none" w:sz="0" w:space="0" w:color="auto"/>
                            <w:right w:val="none" w:sz="0" w:space="0" w:color="auto"/>
                          </w:divBdr>
                          <w:divsChild>
                            <w:div w:id="356389870">
                              <w:marLeft w:val="0"/>
                              <w:marRight w:val="0"/>
                              <w:marTop w:val="0"/>
                              <w:marBottom w:val="0"/>
                              <w:divBdr>
                                <w:top w:val="none" w:sz="0" w:space="0" w:color="auto"/>
                                <w:left w:val="none" w:sz="0" w:space="0" w:color="auto"/>
                                <w:bottom w:val="none" w:sz="0" w:space="0" w:color="auto"/>
                                <w:right w:val="none" w:sz="0" w:space="0" w:color="auto"/>
                              </w:divBdr>
                              <w:divsChild>
                                <w:div w:id="219362899">
                                  <w:marLeft w:val="0"/>
                                  <w:marRight w:val="0"/>
                                  <w:marTop w:val="0"/>
                                  <w:marBottom w:val="0"/>
                                  <w:divBdr>
                                    <w:top w:val="none" w:sz="0" w:space="0" w:color="auto"/>
                                    <w:left w:val="none" w:sz="0" w:space="0" w:color="auto"/>
                                    <w:bottom w:val="none" w:sz="0" w:space="0" w:color="auto"/>
                                    <w:right w:val="none" w:sz="0" w:space="0" w:color="auto"/>
                                  </w:divBdr>
                                  <w:divsChild>
                                    <w:div w:id="47265579">
                                      <w:marLeft w:val="0"/>
                                      <w:marRight w:val="0"/>
                                      <w:marTop w:val="0"/>
                                      <w:marBottom w:val="0"/>
                                      <w:divBdr>
                                        <w:top w:val="none" w:sz="0" w:space="0" w:color="auto"/>
                                        <w:left w:val="none" w:sz="0" w:space="0" w:color="auto"/>
                                        <w:bottom w:val="none" w:sz="0" w:space="0" w:color="auto"/>
                                        <w:right w:val="none" w:sz="0" w:space="0" w:color="auto"/>
                                      </w:divBdr>
                                      <w:divsChild>
                                        <w:div w:id="1104307914">
                                          <w:marLeft w:val="0"/>
                                          <w:marRight w:val="0"/>
                                          <w:marTop w:val="0"/>
                                          <w:marBottom w:val="0"/>
                                          <w:divBdr>
                                            <w:top w:val="none" w:sz="0" w:space="0" w:color="auto"/>
                                            <w:left w:val="none" w:sz="0" w:space="0" w:color="auto"/>
                                            <w:bottom w:val="none" w:sz="0" w:space="0" w:color="auto"/>
                                            <w:right w:val="none" w:sz="0" w:space="0" w:color="auto"/>
                                          </w:divBdr>
                                          <w:divsChild>
                                            <w:div w:id="446582845">
                                              <w:marLeft w:val="0"/>
                                              <w:marRight w:val="0"/>
                                              <w:marTop w:val="0"/>
                                              <w:marBottom w:val="0"/>
                                              <w:divBdr>
                                                <w:top w:val="none" w:sz="0" w:space="0" w:color="auto"/>
                                                <w:left w:val="none" w:sz="0" w:space="0" w:color="auto"/>
                                                <w:bottom w:val="none" w:sz="0" w:space="0" w:color="auto"/>
                                                <w:right w:val="none" w:sz="0" w:space="0" w:color="auto"/>
                                              </w:divBdr>
                                              <w:divsChild>
                                                <w:div w:id="1034354779">
                                                  <w:marLeft w:val="0"/>
                                                  <w:marRight w:val="0"/>
                                                  <w:marTop w:val="0"/>
                                                  <w:marBottom w:val="0"/>
                                                  <w:divBdr>
                                                    <w:top w:val="none" w:sz="0" w:space="0" w:color="auto"/>
                                                    <w:left w:val="none" w:sz="0" w:space="0" w:color="auto"/>
                                                    <w:bottom w:val="none" w:sz="0" w:space="0" w:color="auto"/>
                                                    <w:right w:val="none" w:sz="0" w:space="0" w:color="auto"/>
                                                  </w:divBdr>
                                                  <w:divsChild>
                                                    <w:div w:id="1487160988">
                                                      <w:marLeft w:val="0"/>
                                                      <w:marRight w:val="0"/>
                                                      <w:marTop w:val="0"/>
                                                      <w:marBottom w:val="0"/>
                                                      <w:divBdr>
                                                        <w:top w:val="none" w:sz="0" w:space="0" w:color="auto"/>
                                                        <w:left w:val="none" w:sz="0" w:space="0" w:color="auto"/>
                                                        <w:bottom w:val="none" w:sz="0" w:space="0" w:color="auto"/>
                                                        <w:right w:val="none" w:sz="0" w:space="0" w:color="auto"/>
                                                      </w:divBdr>
                                                    </w:div>
                                                    <w:div w:id="1804689929">
                                                      <w:marLeft w:val="0"/>
                                                      <w:marRight w:val="0"/>
                                                      <w:marTop w:val="0"/>
                                                      <w:marBottom w:val="0"/>
                                                      <w:divBdr>
                                                        <w:top w:val="none" w:sz="0" w:space="0" w:color="auto"/>
                                                        <w:left w:val="none" w:sz="0" w:space="0" w:color="auto"/>
                                                        <w:bottom w:val="none" w:sz="0" w:space="0" w:color="auto"/>
                                                        <w:right w:val="none" w:sz="0" w:space="0" w:color="auto"/>
                                                      </w:divBdr>
                                                    </w:div>
                                                    <w:div w:id="500589726">
                                                      <w:marLeft w:val="0"/>
                                                      <w:marRight w:val="0"/>
                                                      <w:marTop w:val="0"/>
                                                      <w:marBottom w:val="0"/>
                                                      <w:divBdr>
                                                        <w:top w:val="none" w:sz="0" w:space="0" w:color="auto"/>
                                                        <w:left w:val="none" w:sz="0" w:space="0" w:color="auto"/>
                                                        <w:bottom w:val="none" w:sz="0" w:space="0" w:color="auto"/>
                                                        <w:right w:val="none" w:sz="0" w:space="0" w:color="auto"/>
                                                      </w:divBdr>
                                                    </w:div>
                                                    <w:div w:id="382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zalai@mil.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oslava.brezinova@mod.gov.sk" TargetMode="External"/><Relationship Id="rId4" Type="http://schemas.openxmlformats.org/officeDocument/2006/relationships/settings" Target="settings.xml"/><Relationship Id="rId9" Type="http://schemas.openxmlformats.org/officeDocument/2006/relationships/hyperlink" Target="mailto:matej.blazek@mil.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2164</Words>
  <Characters>12335</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DONATOVA Dasa</cp:lastModifiedBy>
  <cp:revision>9</cp:revision>
  <dcterms:created xsi:type="dcterms:W3CDTF">2022-05-16T05:55:00Z</dcterms:created>
  <dcterms:modified xsi:type="dcterms:W3CDTF">2022-06-16T09:36:00Z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