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E60901" w:rsidRDefault="00E60901">
      <w:pPr>
        <w:jc w:val="center"/>
        <w:divId w:val="1257444836"/>
        <w:rPr>
          <w:rFonts w:ascii="Times" w:hAnsi="Times" w:cs="Times"/>
          <w:sz w:val="25"/>
          <w:szCs w:val="25"/>
        </w:rPr>
      </w:pPr>
      <w:r>
        <w:rPr>
          <w:rFonts w:ascii="Times" w:hAnsi="Times" w:cs="Times"/>
          <w:sz w:val="25"/>
          <w:szCs w:val="25"/>
        </w:rPr>
        <w:t>Návrh na uzavretie Dohody o ochrane investícií medzi Európskou úniou a jej členskými štátmi na jednej strane a Singapurskou republikou na strane druhej</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E60901" w:rsidP="00E60901">
            <w:pPr>
              <w:spacing w:after="0" w:line="240" w:lineRule="auto"/>
              <w:rPr>
                <w:rFonts w:ascii="Times New Roman" w:hAnsi="Times New Roman" w:cs="Calibri"/>
                <w:sz w:val="20"/>
                <w:szCs w:val="20"/>
              </w:rPr>
            </w:pPr>
            <w:r>
              <w:rPr>
                <w:rFonts w:ascii="Times" w:hAnsi="Times" w:cs="Times"/>
                <w:sz w:val="25"/>
                <w:szCs w:val="25"/>
              </w:rPr>
              <w:t>6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E60901" w:rsidP="00E60901">
            <w:pPr>
              <w:spacing w:after="0" w:line="240" w:lineRule="auto"/>
              <w:rPr>
                <w:rFonts w:ascii="Times New Roman" w:hAnsi="Times New Roman" w:cs="Calibri"/>
                <w:sz w:val="20"/>
                <w:szCs w:val="20"/>
              </w:rPr>
            </w:pPr>
            <w:r>
              <w:rPr>
                <w:rFonts w:ascii="Times" w:hAnsi="Times" w:cs="Times"/>
                <w:sz w:val="25"/>
                <w:szCs w:val="25"/>
              </w:rPr>
              <w:t>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E60901" w:rsidP="00E60901">
            <w:pPr>
              <w:spacing w:after="0" w:line="240" w:lineRule="auto"/>
              <w:rPr>
                <w:rFonts w:ascii="Times New Roman" w:hAnsi="Times New Roman" w:cs="Calibri"/>
                <w:sz w:val="20"/>
                <w:szCs w:val="20"/>
              </w:rPr>
            </w:pPr>
            <w:r>
              <w:rPr>
                <w:rFonts w:ascii="Times" w:hAnsi="Times" w:cs="Times"/>
                <w:sz w:val="25"/>
                <w:szCs w:val="25"/>
              </w:rPr>
              <w:t>6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E60901" w:rsidP="00E60901">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E60901" w:rsidP="00E60901">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E60901" w:rsidRDefault="00E60901"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E60901">
        <w:trPr>
          <w:divId w:val="78426976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jc w:val="center"/>
              <w:rPr>
                <w:rFonts w:ascii="Times" w:hAnsi="Times" w:cs="Times"/>
                <w:b/>
                <w:bCs/>
                <w:sz w:val="25"/>
                <w:szCs w:val="25"/>
              </w:rPr>
            </w:pPr>
            <w:r>
              <w:rPr>
                <w:rFonts w:ascii="Times" w:hAnsi="Times" w:cs="Times"/>
                <w:b/>
                <w:bCs/>
                <w:sz w:val="25"/>
                <w:szCs w:val="25"/>
              </w:rPr>
              <w:t>Vôbec nezaslali</w:t>
            </w: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sz w:val="20"/>
                <w:szCs w:val="20"/>
              </w:rPr>
            </w:pP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sz w:val="20"/>
                <w:szCs w:val="20"/>
              </w:rPr>
            </w:pP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sz w:val="20"/>
                <w:szCs w:val="20"/>
              </w:rPr>
            </w:pP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sz w:val="20"/>
                <w:szCs w:val="20"/>
              </w:rPr>
            </w:pP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x</w:t>
            </w:r>
          </w:p>
        </w:tc>
      </w:tr>
      <w:tr w:rsidR="00E60901">
        <w:trPr>
          <w:divId w:val="784269762"/>
          <w:jc w:val="center"/>
        </w:trPr>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60901" w:rsidRDefault="00E60901">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E60901" w:rsidRDefault="00E60901"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24"/>
        <w:gridCol w:w="4398"/>
        <w:gridCol w:w="446"/>
        <w:gridCol w:w="523"/>
        <w:gridCol w:w="2465"/>
      </w:tblGrid>
      <w:tr w:rsidR="00E60901">
        <w:trPr>
          <w:divId w:val="3444074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jc w:val="center"/>
              <w:rPr>
                <w:rFonts w:ascii="Times" w:hAnsi="Times" w:cs="Times"/>
                <w:b/>
                <w:bCs/>
                <w:sz w:val="25"/>
                <w:szCs w:val="25"/>
              </w:rPr>
            </w:pPr>
            <w:r>
              <w:rPr>
                <w:rFonts w:ascii="Times" w:hAnsi="Times" w:cs="Times"/>
                <w:b/>
                <w:bCs/>
                <w:sz w:val="25"/>
                <w:szCs w:val="25"/>
              </w:rPr>
              <w:t>Spôsob vyhodnotenia</w:t>
            </w:r>
          </w:p>
        </w:tc>
      </w:tr>
      <w:tr w:rsidR="00E60901">
        <w:trPr>
          <w:divId w:val="3444074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rPr>
                <w:rFonts w:ascii="Times" w:hAnsi="Times" w:cs="Times"/>
                <w:sz w:val="25"/>
                <w:szCs w:val="25"/>
              </w:rPr>
            </w:pPr>
            <w:r>
              <w:rPr>
                <w:rFonts w:ascii="Times" w:hAnsi="Times" w:cs="Times"/>
                <w:sz w:val="25"/>
                <w:szCs w:val="25"/>
              </w:rPr>
              <w:br/>
              <w:t>K doložke vybraných vplyvov: Odporúčame v bode 5. Alternatívne riešenia uviesť minimálne nulový variant a v bode 8. Preskúmanie účelnosti odporúčame doplniť termín, kedy by malo dôjsť k preskúmaniu účelnosti predkladaného materiálu a kritériá, na základe ktorých bude preskúmanie vykonané. Odôvodnenie: V zmysle jednotnej metodiky na posudzovanie vplyvov predkladateľ vyplní všetky povinné polia Doložky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rPr>
                <w:rFonts w:ascii="Times" w:hAnsi="Times" w:cs="Times"/>
                <w:sz w:val="25"/>
                <w:szCs w:val="25"/>
              </w:rPr>
            </w:pPr>
            <w:r>
              <w:rPr>
                <w:rFonts w:ascii="Times" w:hAnsi="Times" w:cs="Times"/>
                <w:sz w:val="25"/>
                <w:szCs w:val="25"/>
              </w:rPr>
              <w:t>Doložka vybraných vplyvov upravená v zmysle pripomienky.</w:t>
            </w:r>
          </w:p>
        </w:tc>
      </w:tr>
      <w:tr w:rsidR="00E60901">
        <w:trPr>
          <w:divId w:val="3444074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rPr>
                <w:rFonts w:ascii="Times" w:hAnsi="Times" w:cs="Times"/>
                <w:sz w:val="25"/>
                <w:szCs w:val="25"/>
              </w:rPr>
            </w:pPr>
            <w:r>
              <w:rPr>
                <w:rFonts w:ascii="Times" w:hAnsi="Times" w:cs="Times"/>
                <w:sz w:val="25"/>
                <w:szCs w:val="25"/>
              </w:rPr>
              <w:br/>
              <w:t xml:space="preserve">K doložke prednosti medzinárodnej zmluvy pred zákonmi: Navrhujeme uvádzať celé názvy právnych predpisov v súlade s legislatívno-technickými pokynmi pri príprave právnych predpisov (Legislatívne pravidlá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rPr>
                <w:rFonts w:ascii="Times" w:hAnsi="Times" w:cs="Times"/>
                <w:sz w:val="25"/>
                <w:szCs w:val="25"/>
              </w:rPr>
            </w:pPr>
            <w:r>
              <w:rPr>
                <w:rFonts w:ascii="Times" w:hAnsi="Times" w:cs="Times"/>
                <w:sz w:val="25"/>
                <w:szCs w:val="25"/>
              </w:rPr>
              <w:t>Doložka prednosti upravená v zmysle pripomienky.</w:t>
            </w:r>
          </w:p>
        </w:tc>
      </w:tr>
      <w:tr w:rsidR="00E60901">
        <w:trPr>
          <w:divId w:val="3444074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rPr>
                <w:rFonts w:ascii="Times" w:hAnsi="Times" w:cs="Times"/>
                <w:sz w:val="25"/>
                <w:szCs w:val="25"/>
              </w:rPr>
            </w:pPr>
            <w:r>
              <w:rPr>
                <w:rFonts w:ascii="Times" w:hAnsi="Times" w:cs="Times"/>
                <w:sz w:val="25"/>
                <w:szCs w:val="25"/>
              </w:rPr>
              <w:br/>
              <w:t>K doložke vybraných vplyvov: V predloženej doložke vybraných vplyvov je potrebné uviesť povinné informácie v bode 8. Preskúmanie účelnosti, a to v súlade s časťou II. Obsahové požiadavky doložky Jednotnej metodiky na posudzovanie vybraných vplyvov účinnej od 1. júna 2021. Odôvodnenie: Potreba úpravy vyplýva z Jednotnej metodiky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rPr>
                <w:rFonts w:ascii="Times" w:hAnsi="Times" w:cs="Times"/>
                <w:sz w:val="25"/>
                <w:szCs w:val="25"/>
              </w:rPr>
            </w:pPr>
            <w:r>
              <w:rPr>
                <w:rFonts w:ascii="Times" w:hAnsi="Times" w:cs="Times"/>
                <w:sz w:val="25"/>
                <w:szCs w:val="25"/>
              </w:rPr>
              <w:t>Bod 8. Preskúmanie účelnosti bol doplnený.</w:t>
            </w:r>
          </w:p>
        </w:tc>
      </w:tr>
      <w:tr w:rsidR="00E60901">
        <w:trPr>
          <w:divId w:val="3444074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rPr>
                <w:rFonts w:ascii="Times" w:hAnsi="Times" w:cs="Times"/>
                <w:sz w:val="25"/>
                <w:szCs w:val="25"/>
              </w:rPr>
            </w:pPr>
            <w:r>
              <w:rPr>
                <w:rFonts w:ascii="Times" w:hAnsi="Times" w:cs="Times"/>
                <w:sz w:val="25"/>
                <w:szCs w:val="25"/>
              </w:rPr>
              <w:br/>
              <w:t>K predkladacej správe: V súlade s doložkou vybraných vplyvov odporúčame doplniť aj informáciu o vplyvoch predloženého návrhu na manželstvo, rodičovstvo a rodinu.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rPr>
                <w:rFonts w:ascii="Times" w:hAnsi="Times" w:cs="Times"/>
                <w:sz w:val="25"/>
                <w:szCs w:val="25"/>
              </w:rPr>
            </w:pPr>
            <w:r>
              <w:rPr>
                <w:rFonts w:ascii="Times" w:hAnsi="Times" w:cs="Times"/>
                <w:sz w:val="25"/>
                <w:szCs w:val="25"/>
              </w:rPr>
              <w:t>Predkladacia správa upravená v zmysle pripomienky.</w:t>
            </w:r>
          </w:p>
        </w:tc>
      </w:tr>
      <w:tr w:rsidR="00E60901">
        <w:trPr>
          <w:divId w:val="3444074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rPr>
                <w:rFonts w:ascii="Times" w:hAnsi="Times" w:cs="Times"/>
                <w:sz w:val="25"/>
                <w:szCs w:val="25"/>
              </w:rPr>
            </w:pPr>
            <w:r>
              <w:rPr>
                <w:rFonts w:ascii="Times" w:hAnsi="Times" w:cs="Times"/>
                <w:sz w:val="25"/>
                <w:szCs w:val="25"/>
              </w:rPr>
              <w:br/>
              <w:t>K návrhu uznesenia vlády SR: v časti B je potrebné slovo "odvoláva" nahradiť slovom "odporúča".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rPr>
                <w:rFonts w:ascii="Times" w:hAnsi="Times" w:cs="Times"/>
                <w:sz w:val="25"/>
                <w:szCs w:val="25"/>
              </w:rPr>
            </w:pPr>
            <w:r>
              <w:rPr>
                <w:rFonts w:ascii="Times" w:hAnsi="Times" w:cs="Times"/>
                <w:sz w:val="25"/>
                <w:szCs w:val="25"/>
              </w:rPr>
              <w:t>Návrh uznesenia vlády SR upravený v zmysle pripomienky.</w:t>
            </w:r>
          </w:p>
        </w:tc>
      </w:tr>
      <w:tr w:rsidR="00E60901">
        <w:trPr>
          <w:divId w:val="3444074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rPr>
                <w:rFonts w:ascii="Times" w:hAnsi="Times" w:cs="Times"/>
                <w:sz w:val="25"/>
                <w:szCs w:val="25"/>
              </w:rPr>
            </w:pPr>
            <w:r>
              <w:rPr>
                <w:rFonts w:ascii="Times" w:hAnsi="Times" w:cs="Times"/>
                <w:sz w:val="25"/>
                <w:szCs w:val="25"/>
              </w:rPr>
              <w:br/>
              <w:t xml:space="preserve">K predkladacej správe: V texte predkladacej správy odporúčame zjednotiť používanú terminológiu a skratky (napr. Európska únia/EÚ, Európska komisia/Komisia, Singapur/SG). K doložke prednosti: Dikciu legislatívneho odkazu v názve doložky prednosti: „čl. 7 ods. 5 ústavy” odporúčame v zmysle Prílohy č. 5 k platným Legislatívnym pravidlám vlády Slovenskej republiky nahradiť dikciou: „čl. 7 ods. 5 Ústavy Slovenskej republiky”. V texte doložky prednosti zároveň odporúčame uvádzať celé názvy príslušných právnych predpisov. Odôvodnenie: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0901" w:rsidRDefault="00E60901">
            <w:pPr>
              <w:rPr>
                <w:rFonts w:ascii="Times" w:hAnsi="Times" w:cs="Times"/>
                <w:sz w:val="25"/>
                <w:szCs w:val="25"/>
              </w:rPr>
            </w:pPr>
            <w:r>
              <w:rPr>
                <w:rFonts w:ascii="Times" w:hAnsi="Times" w:cs="Times"/>
                <w:sz w:val="25"/>
                <w:szCs w:val="25"/>
              </w:rPr>
              <w:t>Terminológia v predkladacej správe bola zjednotená. Doložka prednosti bola upravená v zmysle pripomienky.</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60901"/>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7497">
      <w:bodyDiv w:val="1"/>
      <w:marLeft w:val="0"/>
      <w:marRight w:val="0"/>
      <w:marTop w:val="0"/>
      <w:marBottom w:val="0"/>
      <w:divBdr>
        <w:top w:val="none" w:sz="0" w:space="0" w:color="auto"/>
        <w:left w:val="none" w:sz="0" w:space="0" w:color="auto"/>
        <w:bottom w:val="none" w:sz="0" w:space="0" w:color="auto"/>
        <w:right w:val="none" w:sz="0" w:space="0" w:color="auto"/>
      </w:divBdr>
    </w:div>
    <w:div w:id="505092472">
      <w:bodyDiv w:val="1"/>
      <w:marLeft w:val="0"/>
      <w:marRight w:val="0"/>
      <w:marTop w:val="0"/>
      <w:marBottom w:val="0"/>
      <w:divBdr>
        <w:top w:val="none" w:sz="0" w:space="0" w:color="auto"/>
        <w:left w:val="none" w:sz="0" w:space="0" w:color="auto"/>
        <w:bottom w:val="none" w:sz="0" w:space="0" w:color="auto"/>
        <w:right w:val="none" w:sz="0" w:space="0" w:color="auto"/>
      </w:divBdr>
    </w:div>
    <w:div w:id="784269762">
      <w:bodyDiv w:val="1"/>
      <w:marLeft w:val="0"/>
      <w:marRight w:val="0"/>
      <w:marTop w:val="0"/>
      <w:marBottom w:val="0"/>
      <w:divBdr>
        <w:top w:val="none" w:sz="0" w:space="0" w:color="auto"/>
        <w:left w:val="none" w:sz="0" w:space="0" w:color="auto"/>
        <w:bottom w:val="none" w:sz="0" w:space="0" w:color="auto"/>
        <w:right w:val="none" w:sz="0" w:space="0" w:color="auto"/>
      </w:divBdr>
    </w:div>
    <w:div w:id="822162331">
      <w:bodyDiv w:val="1"/>
      <w:marLeft w:val="0"/>
      <w:marRight w:val="0"/>
      <w:marTop w:val="0"/>
      <w:marBottom w:val="0"/>
      <w:divBdr>
        <w:top w:val="none" w:sz="0" w:space="0" w:color="auto"/>
        <w:left w:val="none" w:sz="0" w:space="0" w:color="auto"/>
        <w:bottom w:val="none" w:sz="0" w:space="0" w:color="auto"/>
        <w:right w:val="none" w:sz="0" w:space="0" w:color="auto"/>
      </w:divBdr>
    </w:div>
    <w:div w:id="1219635823">
      <w:bodyDiv w:val="1"/>
      <w:marLeft w:val="0"/>
      <w:marRight w:val="0"/>
      <w:marTop w:val="0"/>
      <w:marBottom w:val="0"/>
      <w:divBdr>
        <w:top w:val="none" w:sz="0" w:space="0" w:color="auto"/>
        <w:left w:val="none" w:sz="0" w:space="0" w:color="auto"/>
        <w:bottom w:val="none" w:sz="0" w:space="0" w:color="auto"/>
        <w:right w:val="none" w:sz="0" w:space="0" w:color="auto"/>
      </w:divBdr>
    </w:div>
    <w:div w:id="1257444836">
      <w:bodyDiv w:val="1"/>
      <w:marLeft w:val="0"/>
      <w:marRight w:val="0"/>
      <w:marTop w:val="0"/>
      <w:marBottom w:val="0"/>
      <w:divBdr>
        <w:top w:val="none" w:sz="0" w:space="0" w:color="auto"/>
        <w:left w:val="none" w:sz="0" w:space="0" w:color="auto"/>
        <w:bottom w:val="none" w:sz="0" w:space="0" w:color="auto"/>
        <w:right w:val="none" w:sz="0" w:space="0" w:color="auto"/>
      </w:divBdr>
    </w:div>
    <w:div w:id="1612975039">
      <w:bodyDiv w:val="1"/>
      <w:marLeft w:val="0"/>
      <w:marRight w:val="0"/>
      <w:marTop w:val="0"/>
      <w:marBottom w:val="0"/>
      <w:divBdr>
        <w:top w:val="none" w:sz="0" w:space="0" w:color="auto"/>
        <w:left w:val="none" w:sz="0" w:space="0" w:color="auto"/>
        <w:bottom w:val="none" w:sz="0" w:space="0" w:color="auto"/>
        <w:right w:val="none" w:sz="0" w:space="0" w:color="auto"/>
      </w:divBdr>
    </w:div>
    <w:div w:id="16907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3.5.2022 15:01:16"/>
    <f:field ref="objchangedby" par="" text="Administrator, System"/>
    <f:field ref="objmodifiedat" par="" text="13.5.2022 15:01:2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998</Words>
  <Characters>5693</Characters>
  <Application>Microsoft Office Word</Application>
  <DocSecurity>4</DocSecurity>
  <Lines>47</Lines>
  <Paragraphs>13</Paragraphs>
  <ScaleCrop>false</ScaleCrop>
  <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2022-05-13T13:01:00Z</dcterms:created>
  <dcterms:modified xsi:type="dcterms:W3CDTF">2022-05-13T13:01:00Z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Akt medzinárodného práva</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Medzinárodné zmluvy, dohody, dohovory</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JUDr. Radovan Hronský</vt:lpwstr>
  </property>
  <property name="FSC#SKEDITIONSLOVLEX@103.510:zodppredkladatel" pid="11" fmtid="{D5CDD505-2E9C-101B-9397-08002B2CF9AE}">
    <vt:lpwstr>Igor Matovič</vt:lpwstr>
  </property>
  <property name="FSC#SKEDITIONSLOVLEX@103.510:dalsipredkladatel" pid="12" fmtid="{D5CDD505-2E9C-101B-9397-08002B2CF9AE}">
    <vt:lpwstr/>
  </property>
  <property name="FSC#SKEDITIONSLOVLEX@103.510:nazovpredpis" pid="13" fmtid="{D5CDD505-2E9C-101B-9397-08002B2CF9AE}">
    <vt:lpwstr> Návrh na uzavretie Dohody o ochrane investícií medzi Európskou úniou a jej členskými štátmi na jednej strane a Singapurskou republikou na strane druhej</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financií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Iniciatívny materiál</vt:lpwstr>
  </property>
  <property name="FSC#SKEDITIONSLOVLEX@103.510:plnynazovpredpis" pid="22" fmtid="{D5CDD505-2E9C-101B-9397-08002B2CF9AE}">
    <vt:lpwstr> Návrh na uzavretie Dohody o ochrane investícií medzi Európskou úniou a jej členskými štátmi na jednej strane a Singapurskou republikou na strane druhej</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MF/015015/2021-1841</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LP/2021/664</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vlády_x000d__x000a_podpredseda vlády a minister financií SR_x000d__x000a_minister zahraničných vecí a európskych záležitostí</vt:lpwstr>
  </property>
  <property name="FSC#SKEDITIONSLOVLEX@103.510:AttrStrListDocPropUznesenieNaVedomie" pid="136" fmtid="{D5CDD505-2E9C-101B-9397-08002B2CF9AE}">
    <vt:lpwstr>prezidentka SR_x000d__x000a_predseda Národnej rady SR</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
  </property>
  <property name="FSC#SKEDITIONSLOVLEX@103.510:funkciaZodpPredAkuzativ" pid="141" fmtid="{D5CDD505-2E9C-101B-9397-08002B2CF9AE}">
    <vt:lpwstr/>
  </property>
  <property name="FSC#SKEDITIONSLOVLEX@103.510:funkciaZodpPredDativ" pid="142" fmtid="{D5CDD505-2E9C-101B-9397-08002B2CF9AE}">
    <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Igor Matovič</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style="margin-left:141.6pt;"&gt;&amp;nbsp;&lt;/p&gt;&lt;p style="margin-left:2.25pt;"&gt;Návrh na uzavretie Dohody o ochrane investícií medzi Európskou úniou a jej členskými štátmi na jednej strane a Singapurskou republikou na strane druhej (ďalej aj „Dohoda o&amp;nbsp;ochrane investícií medzi EU a&amp;nbsp;SG“ alebo len „dohoda“) predkladá Ministerstvo financií Slovenskej republiky (ďalej len „MF SR“) ako iniciatívny materiál.&lt;/p&gt;&lt;p style="margin-left:2.25pt;"&gt;Cieľom dohody je zabezpečiť vysokú úroveň ochrany investícií pri zachovaní práv EÚ a Singapuru na reguláciu a sledovanie cieľov verejnej politiky, ako je ochrana verejného zdravia, bezpečnosti a životného prostredia.&lt;/p&gt;&lt;p style="margin-left:2.25pt;"&gt;Dohoda o ochrane investícií medzi EU a SG je prvá samostatná dohoda o ochrane investícií, ktorú uzatvorí EÚ a jej členské štáty. Oddelenie samostatných investičných dohôd sa uskutočnilo v reakcii na rozhodnutie Súdneho dvora EÚ v konaní Stanovisko 2/15. Predmetné konanie potvrdilo zmiešanú povahu obchodnej dohody s investičnou kapitolou. Následne Komisia rozhodla o rozdelení dohôd o voľnom obchode na obchodné dohody vo výlučnej kompetencii EÚ a investičných dohôd v zdieľanej kompetencii EÚ a členských štátov.&lt;/p&gt;&lt;p style="margin-left:2.25pt;"&gt;Medzinárodné investičné dohody sú uzatvárané za účelom ochrany zahraničných investorov pred možným nepriaznivým konaním zo strany hosťujúceho štátu. Takéto konanie môže zahŕňať napríklad nezákonné vyvlastnenie alebo opatrenie rovnajúce sa vyvlastneniu, diskrimináciu, porušenie práva na spravodlivý proces, obmedzenie prevodu kapitálu, odobratie licencie a iné. Bez investičnej dohody má zahraničný investor ako fórum na riešenie sporov k dispozícii iba národný súd. Ten môže byť v&amp;nbsp;niektorých prípadoch zaujatý voči zahraničnému investorovi. Tieto dohody poskytujú zahraničným investorom záruky, že s ich investíciami bude zaobchádzané spravodlivo a rovnocenne s národnými investormi.&lt;/p&gt;&lt;p style="margin-left:2.25pt;"&gt;Dohodu dňa 19. októbra 2018 v Bruseli za Európsku úniu podpísala Európska komisia, za Singapur vláda Singapurskej republiky. Dňa 13. februára 2019 bola dohoda schválená Európskym parlamentom. EÚ tým ukončila vnútorné schvaľovacie postupy dohody.&lt;/p&gt;&lt;p style="margin-left:2.25pt;"&gt;Predkladaná dohoda je zmiešanou úniovou zmluvou, t. j. zmluvou, ktorá pokrýva oblasť spoločných právomocí EÚ a jej členských štátov. Preto je potrebné jej schválenie aj v&amp;nbsp;národných parlamentoch. V súlade s čl. 3 ods. 3 Pravidiel pre uzatváranie medzinárodných zmlúv a zmluvnú prax sa dohoda predkladá na rokovanie vlády SR po podpise.&lt;/p&gt;&lt;p style="margin-left:2.25pt;"&gt;Dohoda je podľa článku 7 ods. 4 Ústavy SR medzinárodnou zmluvou, ktorá priamo zakladá práva alebo povinnosti fyzických osôb alebo právnických osôb, a preto podlieha pred jej ratifikáciou vysloveniu súhlasu Národnej rady Slovenskej republiky. Zároveň je dohoda medzinárodnou zmluvou podľa článku 7 ods. 5 Ústavy SR (medzinárodná zmluva, na ktorej vykonanie nie je potrebný zákon a medzinárodná zmluva, ktorá priamo zakladá práva alebo povinnosti fyzických osôb alebo právnických osôb), ktorá po ratifikácii a vyhlásení spôsobom ustanoveným zákonom, má prednosť pred zákonmi SR. Dohoda je v súlade so zahraničnopolitickými záujmami SR, ako aj v súlade s medzinárodnoprávnymi záväzkami SR.&lt;/p&gt;&lt;p style="margin-left:2.25pt;"&gt;S&amp;nbsp;ohľadom na zdieľanú právomoc EÚ a&amp;nbsp;členských štátov Európska komisia nenavrhla predbežné vykonávanie dohody&lt;em&gt;.&lt;/em&gt;&lt;/p&gt;&lt;p style="margin-left:2.25pt;"&gt;Dohoda obsahuje všetky aspekty nového prístupu EÚ k ochrane investícií a riešenia investičných sporov, ktoré nie sú súčasťou existujúcich bilaterálnych investičných dohôd medzi Singapurom a členskými štátmi EÚ. Celkovo 13 členských štátov EÚ, vrátane Slovenskej republiky, má uzatvorené bilaterálne investičné dohody so Singapurom. Dohoda nahradí 12 existujúcich bilaterálnych investičných zmlúv a zavedie moderný spoločný rámec na ochranu investícií pre všetkých investorov z EÚ v Singapure.&lt;/p&gt;&lt;p style="margin-left:2.25pt;"&gt;Podľa dohody Singapur zaručuje, že EÚ investori a ich investície v Singapure budú mať spravodlivé a rovné zaobchádzanie a nebudú diskriminovaní a diskriminované v porovnaní s domácimi investormi a investíciami v porovnateľných situáciách. Zároveň táto dohoda chráni EÚ investorov a ich investície vo Singapure pred vyvlastnením, pokiaľ nie je na verejné účely v súlade so spravodlivým procesom, na nediskriminačnom základe a za zaplatenie okamžitej, primeranej a účinnej náhrady podľa trhovej hodnoty vyvlastnenej investície. Dohoda je obojstranná, takže rovnaké náležitosti sa kladú aj na EÚ a jednotlivé štáty voči investorom zo SG.&lt;/p&gt;&lt;p style="margin-left:2.25pt;"&gt;Dohoda zavádza moderný a reformovaný Investičný súdny systém na riešenie sporov, ktorý je podobný ako v Komplexnej hospodárskej a obchodnej dohody (CETA) medzi Kanadou na jednej strane a Európskou úniou a jej členskými štátmi na strane druhej. Tento systém zabezpečuje dodržiavanie pravidiel ochrany investícií a usiluje sa o dosiahnutie rovnováhy medzi transparentnou ochranou investorov a ochranou práva štátu na reguláciu s cieľom plniť ciele verejnej politiky. Systém investičných súdov nahradí mechanizmus urovnávania sporov medzi investormi a štátom (ISDS) v bilaterálnych investičných dohodách členských štátov. Dohoda stanovuje stály medzinárodný a úplne nezávislý systém riešenia sporov, ktorého základnými kameňmi sú stály investičný tribunál prvého stupňa a odvolací tribunál, ktorý zabezpečí právnu správnosť a istotu v súvislosti s výkladom dohody. Všetci členovia súdov budú vymenovaní v EÚ a Singapure vopred a budú podliehať prísnym pravidlám nezávislosti, integrity a etického správania. Všetci členovia súdu budú dodržiavať záväzný Etický kódex uvedený v&amp;nbsp;dohode. EÚ a Singapur vymenujú len členov tribunálu, ktorí preukázali svoje odborné znalosti v oblasti medzinárodného práva verejného a majú kvalifikáciu vyžadovanú vo svojich krajinách na vymenovanie do súdnych funkcií alebo sú uznávaní kompetentní právnici. Konanie pred tribunálmi bude úplne transparentné. Dokumenty budú sprístupnené verejnosti a pojednávania budú prístupné verejnosti. Zúčastnené tretie strany budú môcť podať podania v konaní pred tribunálom. Paralelné alebo viacnásobné spory budú zakázané.&lt;/p&gt;&lt;p style="margin-left:2.25pt;"&gt;Predkladaný materiál nemá vplyv na rozpočet verejnej správy, sociálne vplyvy, vplyv na životné prostredie, vplyv na informatizáciu spoločnosti ani vplyvy na služby verejnej správy pre občana a&amp;nbsp;potenciálne môže mať pozitívny vplyv na podnikateľské prostredie.&lt;/p&gt;</vt:lpwstr>
  </property>
  <property name="FSC#COOSYSTEM@1.1:Container" pid="149" fmtid="{D5CDD505-2E9C-101B-9397-08002B2CF9AE}">
    <vt:lpwstr>COO.2145.1000.3.4954456</vt:lpwstr>
  </property>
  <property name="FSC#FSCFOLIO@1.1001:docpropproject" pid="150" fmtid="{D5CDD505-2E9C-101B-9397-08002B2CF9AE}">
    <vt:lpwstr/>
  </property>
  <property name="FSC#SKEDITIONSLOVLEX@103.510:aktualnyrok" pid="151" fmtid="{D5CDD505-2E9C-101B-9397-08002B2CF9AE}">
    <vt:lpwstr>2022</vt:lpwstr>
  </property>
  <property name="FSC#SKEDITIONSLOVLEX@103.510:vytvorenedna" pid="152" fmtid="{D5CDD505-2E9C-101B-9397-08002B2CF9AE}">
    <vt:lpwstr>13. 5. 2022</vt:lpwstr>
  </property>
</Properties>
</file>