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959F9" w14:textId="77777777" w:rsidR="00D477C6" w:rsidRPr="00CE509E" w:rsidRDefault="00D477C6" w:rsidP="00D477C6">
      <w:pPr>
        <w:pStyle w:val="Default"/>
        <w:ind w:left="360"/>
        <w:jc w:val="center"/>
        <w:rPr>
          <w:color w:val="auto"/>
        </w:rPr>
      </w:pPr>
      <w:bookmarkStart w:id="0" w:name="_GoBack"/>
      <w:bookmarkEnd w:id="0"/>
      <w:r w:rsidRPr="00CE509E">
        <w:rPr>
          <w:b/>
          <w:bCs/>
          <w:color w:val="auto"/>
        </w:rPr>
        <w:t>DOLOŽKA ZLUČITEĽNOSTI</w:t>
      </w:r>
    </w:p>
    <w:p w14:paraId="568D96E6" w14:textId="79D102B2" w:rsidR="005542B1" w:rsidRPr="00CE509E" w:rsidRDefault="0043053C" w:rsidP="00D477C6">
      <w:pPr>
        <w:pStyle w:val="Default"/>
        <w:ind w:left="426"/>
        <w:jc w:val="center"/>
        <w:rPr>
          <w:b/>
          <w:bCs/>
          <w:color w:val="auto"/>
        </w:rPr>
      </w:pPr>
      <w:r w:rsidRPr="00CE509E">
        <w:rPr>
          <w:b/>
          <w:bCs/>
          <w:color w:val="auto"/>
        </w:rPr>
        <w:t>návrhu zákona</w:t>
      </w:r>
    </w:p>
    <w:p w14:paraId="10E2CF8C" w14:textId="77777777" w:rsidR="00D477C6" w:rsidRPr="00CE509E" w:rsidRDefault="00D477C6" w:rsidP="00D477C6">
      <w:pPr>
        <w:pStyle w:val="Default"/>
        <w:pBdr>
          <w:bottom w:val="single" w:sz="12" w:space="1" w:color="auto"/>
        </w:pBdr>
        <w:ind w:left="426"/>
        <w:jc w:val="center"/>
        <w:rPr>
          <w:b/>
          <w:bCs/>
          <w:color w:val="auto"/>
        </w:rPr>
      </w:pPr>
      <w:r w:rsidRPr="00CE509E">
        <w:rPr>
          <w:b/>
          <w:bCs/>
          <w:color w:val="auto"/>
        </w:rPr>
        <w:t>s právom Európskej únie</w:t>
      </w:r>
    </w:p>
    <w:p w14:paraId="6840E71A" w14:textId="77777777" w:rsidR="005B5980" w:rsidRPr="00CE509E" w:rsidRDefault="005B5980" w:rsidP="00D477C6">
      <w:pPr>
        <w:pStyle w:val="Default"/>
        <w:ind w:left="426"/>
        <w:jc w:val="center"/>
        <w:rPr>
          <w:b/>
          <w:bCs/>
          <w:color w:val="auto"/>
        </w:rPr>
      </w:pPr>
    </w:p>
    <w:p w14:paraId="1CEEC7F5" w14:textId="77777777" w:rsidR="00D477C6" w:rsidRPr="00CE509E" w:rsidRDefault="00D477C6" w:rsidP="00D477C6">
      <w:pPr>
        <w:pStyle w:val="Default"/>
        <w:jc w:val="center"/>
        <w:rPr>
          <w:color w:val="auto"/>
        </w:rPr>
      </w:pPr>
    </w:p>
    <w:p w14:paraId="0F79D0FB" w14:textId="77777777" w:rsidR="00522E66" w:rsidRPr="00CE509E" w:rsidRDefault="00D477C6" w:rsidP="00522E66">
      <w:pPr>
        <w:pStyle w:val="Default"/>
        <w:spacing w:after="120"/>
        <w:rPr>
          <w:color w:val="auto"/>
        </w:rPr>
      </w:pPr>
      <w:r w:rsidRPr="00CE509E">
        <w:rPr>
          <w:b/>
          <w:color w:val="auto"/>
        </w:rPr>
        <w:t>1. Navrhovateľ zákona</w:t>
      </w:r>
      <w:r w:rsidRPr="00CE509E">
        <w:rPr>
          <w:color w:val="auto"/>
        </w:rPr>
        <w:t xml:space="preserve">: </w:t>
      </w:r>
    </w:p>
    <w:p w14:paraId="4F52F1E4" w14:textId="77777777" w:rsidR="00D477C6" w:rsidRPr="00CE509E" w:rsidRDefault="00D70536" w:rsidP="00522E66">
      <w:pPr>
        <w:pStyle w:val="Default"/>
        <w:spacing w:after="120"/>
        <w:ind w:left="284"/>
        <w:rPr>
          <w:color w:val="auto"/>
        </w:rPr>
      </w:pPr>
      <w:r w:rsidRPr="00CE509E">
        <w:rPr>
          <w:color w:val="auto"/>
        </w:rPr>
        <w:t>Vláda</w:t>
      </w:r>
      <w:r w:rsidR="005542B1" w:rsidRPr="00CE509E">
        <w:rPr>
          <w:color w:val="auto"/>
        </w:rPr>
        <w:t xml:space="preserve"> Slovenskej republiky.</w:t>
      </w:r>
    </w:p>
    <w:p w14:paraId="3C16A752" w14:textId="77777777" w:rsidR="005542B1" w:rsidRPr="00CE509E" w:rsidRDefault="005542B1" w:rsidP="00522E66">
      <w:pPr>
        <w:pStyle w:val="Default"/>
        <w:ind w:firstLine="425"/>
        <w:rPr>
          <w:color w:val="auto"/>
        </w:rPr>
      </w:pPr>
    </w:p>
    <w:p w14:paraId="4C1DD96B" w14:textId="77777777" w:rsidR="00522E66" w:rsidRPr="00CE509E" w:rsidRDefault="00D477C6" w:rsidP="00522E66">
      <w:pPr>
        <w:pStyle w:val="Default"/>
        <w:spacing w:after="120"/>
        <w:rPr>
          <w:color w:val="auto"/>
        </w:rPr>
      </w:pPr>
      <w:r w:rsidRPr="00CE509E">
        <w:rPr>
          <w:b/>
          <w:color w:val="auto"/>
        </w:rPr>
        <w:t>2. Názov návrhu zákona</w:t>
      </w:r>
      <w:r w:rsidRPr="00CE509E">
        <w:rPr>
          <w:color w:val="auto"/>
        </w:rPr>
        <w:t xml:space="preserve">: </w:t>
      </w:r>
    </w:p>
    <w:p w14:paraId="302AB58A" w14:textId="46439028" w:rsidR="005542B1" w:rsidRPr="00CE509E" w:rsidRDefault="005542B1" w:rsidP="00957B93">
      <w:pPr>
        <w:pStyle w:val="Default"/>
        <w:spacing w:after="120"/>
        <w:ind w:left="284"/>
        <w:jc w:val="both"/>
        <w:rPr>
          <w:color w:val="auto"/>
        </w:rPr>
      </w:pPr>
      <w:r w:rsidRPr="00CE509E">
        <w:rPr>
          <w:color w:val="auto"/>
        </w:rPr>
        <w:t>Návrh zákona</w:t>
      </w:r>
      <w:r w:rsidR="00957B93" w:rsidRPr="00CE509E">
        <w:rPr>
          <w:color w:val="auto"/>
        </w:rPr>
        <w:t xml:space="preserve">, ktorým sa mení a dopĺňa zákon č. </w:t>
      </w:r>
      <w:r w:rsidR="00CE6B13" w:rsidRPr="00CE509E">
        <w:rPr>
          <w:color w:val="auto"/>
        </w:rPr>
        <w:t>486/2013 Z. z. o presadzovaní práv duševného vlastníctva colnými orgánmi v znení zákona č. 312/2020 Z. z.</w:t>
      </w:r>
    </w:p>
    <w:p w14:paraId="71833689" w14:textId="77777777" w:rsidR="00D477C6" w:rsidRPr="00CE509E" w:rsidRDefault="00D477C6" w:rsidP="00522E66">
      <w:pPr>
        <w:pStyle w:val="Default"/>
        <w:ind w:firstLine="425"/>
        <w:rPr>
          <w:color w:val="auto"/>
        </w:rPr>
      </w:pPr>
    </w:p>
    <w:p w14:paraId="51D029F1" w14:textId="77777777" w:rsidR="00D477C6" w:rsidRPr="00CE509E" w:rsidRDefault="00D477C6" w:rsidP="00522E66">
      <w:pPr>
        <w:pStyle w:val="Default"/>
        <w:spacing w:after="120"/>
        <w:rPr>
          <w:color w:val="auto"/>
        </w:rPr>
      </w:pPr>
      <w:r w:rsidRPr="00CE509E">
        <w:rPr>
          <w:b/>
          <w:color w:val="auto"/>
        </w:rPr>
        <w:t xml:space="preserve">3. </w:t>
      </w:r>
      <w:r w:rsidRPr="00CE509E">
        <w:rPr>
          <w:b/>
          <w:bCs/>
          <w:color w:val="auto"/>
        </w:rPr>
        <w:t>Predmet návrhu zákona je upravený v práve Európskej únie</w:t>
      </w:r>
      <w:r w:rsidRPr="00CE509E">
        <w:rPr>
          <w:color w:val="auto"/>
        </w:rPr>
        <w:t xml:space="preserve">: </w:t>
      </w:r>
    </w:p>
    <w:p w14:paraId="39E5EC46" w14:textId="77777777" w:rsidR="00172309" w:rsidRPr="00CE509E" w:rsidRDefault="00D477C6" w:rsidP="00662CB3">
      <w:pPr>
        <w:pStyle w:val="Default"/>
        <w:spacing w:after="120"/>
        <w:ind w:left="709" w:hanging="425"/>
        <w:jc w:val="both"/>
        <w:rPr>
          <w:color w:val="auto"/>
        </w:rPr>
      </w:pPr>
      <w:r w:rsidRPr="00CE509E">
        <w:rPr>
          <w:color w:val="auto"/>
        </w:rPr>
        <w:t>a) v primárnom práve</w:t>
      </w:r>
    </w:p>
    <w:p w14:paraId="44A61E95" w14:textId="266EF37B" w:rsidR="00172309" w:rsidRPr="00CE509E" w:rsidRDefault="002C4C92" w:rsidP="002B0D7E">
      <w:pPr>
        <w:pStyle w:val="Default"/>
        <w:numPr>
          <w:ilvl w:val="0"/>
          <w:numId w:val="4"/>
        </w:numPr>
        <w:ind w:left="851" w:hanging="284"/>
        <w:jc w:val="both"/>
        <w:rPr>
          <w:color w:val="auto"/>
        </w:rPr>
      </w:pPr>
      <w:r w:rsidRPr="00CE509E">
        <w:rPr>
          <w:color w:val="auto"/>
        </w:rPr>
        <w:t>čl. 3</w:t>
      </w:r>
      <w:r w:rsidR="00E97855" w:rsidRPr="00CE509E">
        <w:rPr>
          <w:color w:val="auto"/>
        </w:rPr>
        <w:t>, 28 až 33</w:t>
      </w:r>
      <w:r w:rsidRPr="00CE509E">
        <w:rPr>
          <w:color w:val="auto"/>
        </w:rPr>
        <w:t xml:space="preserve"> </w:t>
      </w:r>
      <w:r w:rsidR="00CE6B13" w:rsidRPr="00CE509E">
        <w:rPr>
          <w:color w:val="auto"/>
        </w:rPr>
        <w:t>a čl. 207 Zmluvy o fungovaní Európskej únie</w:t>
      </w:r>
      <w:r w:rsidR="00E97855" w:rsidRPr="00CE509E">
        <w:rPr>
          <w:color w:val="auto"/>
        </w:rPr>
        <w:t xml:space="preserve"> (Ú. v. EÚ C 202, 07.06.2016) v platnom znení</w:t>
      </w:r>
      <w:r w:rsidR="0043053C" w:rsidRPr="00CE509E">
        <w:rPr>
          <w:color w:val="auto"/>
        </w:rPr>
        <w:t>.</w:t>
      </w:r>
    </w:p>
    <w:p w14:paraId="7C5BD290" w14:textId="76AF37A8" w:rsidR="00D477C6" w:rsidRPr="00CE509E" w:rsidRDefault="00D477C6" w:rsidP="00522E66">
      <w:pPr>
        <w:pStyle w:val="Default"/>
        <w:ind w:firstLine="425"/>
        <w:jc w:val="both"/>
        <w:rPr>
          <w:color w:val="auto"/>
        </w:rPr>
      </w:pPr>
    </w:p>
    <w:p w14:paraId="69A9D5BF" w14:textId="77777777" w:rsidR="00D477C6" w:rsidRPr="00CE509E" w:rsidRDefault="00321A8E" w:rsidP="00321A8E">
      <w:pPr>
        <w:pStyle w:val="Default"/>
        <w:spacing w:after="120"/>
        <w:jc w:val="both"/>
        <w:rPr>
          <w:color w:val="auto"/>
        </w:rPr>
      </w:pPr>
      <w:r w:rsidRPr="00CE509E">
        <w:rPr>
          <w:color w:val="auto"/>
        </w:rPr>
        <w:t xml:space="preserve">     </w:t>
      </w:r>
      <w:r w:rsidR="00D477C6" w:rsidRPr="00CE509E">
        <w:rPr>
          <w:color w:val="auto"/>
        </w:rPr>
        <w:t>b) v sekundárnom práve</w:t>
      </w:r>
    </w:p>
    <w:p w14:paraId="097F6C4F" w14:textId="77777777" w:rsidR="00E97855" w:rsidRPr="00CE509E" w:rsidRDefault="00CE6B13" w:rsidP="000E409E">
      <w:pPr>
        <w:pStyle w:val="nariadenia"/>
        <w:numPr>
          <w:ilvl w:val="0"/>
          <w:numId w:val="2"/>
        </w:numPr>
        <w:tabs>
          <w:tab w:val="left" w:pos="437"/>
        </w:tabs>
        <w:spacing w:after="120"/>
        <w:ind w:left="851" w:hanging="284"/>
        <w:rPr>
          <w:color w:val="auto"/>
        </w:rPr>
      </w:pPr>
      <w:r w:rsidRPr="00CE509E">
        <w:rPr>
          <w:color w:val="auto"/>
        </w:rPr>
        <w:t>nariadenie Európskeho parlamentu a Rady (EÚ) č. 608/2013 z 12. júna 2013 o presadzovaní práv duševného vlastníctva colnými orgánmi a zrušení nariadenia Rady (ES) č. 1383/2003 (Ú. v. E</w:t>
      </w:r>
      <w:r w:rsidR="00AA3326" w:rsidRPr="00CE509E">
        <w:rPr>
          <w:color w:val="auto"/>
        </w:rPr>
        <w:t>Ú L 181, 29.06.2013)</w:t>
      </w:r>
      <w:r w:rsidR="00E97855" w:rsidRPr="00CE509E">
        <w:rPr>
          <w:color w:val="auto"/>
        </w:rPr>
        <w:t>, gestor: Ministerstvo financií SR,</w:t>
      </w:r>
    </w:p>
    <w:p w14:paraId="3379EEE8" w14:textId="5ED5FFB5" w:rsidR="000E409E" w:rsidRPr="00CE509E" w:rsidRDefault="00E97855" w:rsidP="002B0D7E">
      <w:pPr>
        <w:pStyle w:val="nariadenia"/>
        <w:numPr>
          <w:ilvl w:val="0"/>
          <w:numId w:val="2"/>
        </w:numPr>
        <w:tabs>
          <w:tab w:val="left" w:pos="437"/>
        </w:tabs>
        <w:ind w:left="851" w:hanging="284"/>
        <w:rPr>
          <w:color w:val="auto"/>
        </w:rPr>
      </w:pPr>
      <w:r w:rsidRPr="00CE509E">
        <w:rPr>
          <w:color w:val="auto"/>
        </w:rPr>
        <w:t>nariadenie Európskeho parlamentu a Rady (EÚ) č. 952/2013 z 9. októbra 2013, ktorým sa ustanovuje Colný kódex Únie (prepracované znenie) (Ú. v. EÚ L 269, 10.10.2013) v platnom znení, gestor: Ministerstvo financií SR</w:t>
      </w:r>
      <w:r w:rsidR="00AA3326" w:rsidRPr="00CE509E">
        <w:rPr>
          <w:color w:val="auto"/>
        </w:rPr>
        <w:t>.</w:t>
      </w:r>
    </w:p>
    <w:p w14:paraId="2BA6411E" w14:textId="7BF13FC2" w:rsidR="00CD47D0" w:rsidRPr="00CE509E" w:rsidRDefault="00CD47D0" w:rsidP="00BC7CD7">
      <w:pPr>
        <w:pStyle w:val="nariadenia"/>
        <w:tabs>
          <w:tab w:val="left" w:pos="437"/>
        </w:tabs>
        <w:ind w:firstLine="0"/>
        <w:rPr>
          <w:color w:val="auto"/>
        </w:rPr>
      </w:pPr>
    </w:p>
    <w:p w14:paraId="0EFDF5D5" w14:textId="54F0979E" w:rsidR="002D3A2F" w:rsidRPr="00CE509E" w:rsidRDefault="002D3A2F" w:rsidP="002B0D7E">
      <w:pPr>
        <w:pStyle w:val="Default"/>
        <w:spacing w:after="120"/>
        <w:jc w:val="both"/>
        <w:rPr>
          <w:color w:val="auto"/>
        </w:rPr>
      </w:pPr>
      <w:r w:rsidRPr="00CE509E">
        <w:rPr>
          <w:color w:val="auto"/>
        </w:rPr>
        <w:t xml:space="preserve">     c) v</w:t>
      </w:r>
      <w:r w:rsidR="0043053C" w:rsidRPr="00CE509E">
        <w:rPr>
          <w:color w:val="auto"/>
        </w:rPr>
        <w:t> j</w:t>
      </w:r>
      <w:r w:rsidRPr="00CE509E">
        <w:rPr>
          <w:color w:val="auto"/>
        </w:rPr>
        <w:t>udikatúre Súdneho dvora Európskej únie</w:t>
      </w:r>
    </w:p>
    <w:p w14:paraId="1257A7A5" w14:textId="560903F0" w:rsidR="00DE4143" w:rsidRPr="00CE509E" w:rsidRDefault="00DE4143" w:rsidP="00DE4143">
      <w:pPr>
        <w:pStyle w:val="Default"/>
        <w:numPr>
          <w:ilvl w:val="0"/>
          <w:numId w:val="2"/>
        </w:numPr>
        <w:ind w:left="851" w:hanging="284"/>
        <w:jc w:val="both"/>
        <w:rPr>
          <w:color w:val="auto"/>
        </w:rPr>
      </w:pPr>
      <w:r w:rsidRPr="00CE509E">
        <w:rPr>
          <w:color w:val="auto"/>
        </w:rPr>
        <w:t>rozsudok Súdneho dvora v spojených veciach C</w:t>
      </w:r>
      <w:r w:rsidRPr="00CE509E">
        <w:rPr>
          <w:color w:val="auto"/>
        </w:rPr>
        <w:noBreakHyphen/>
        <w:t>446/09 a C</w:t>
      </w:r>
      <w:r w:rsidRPr="00CE509E">
        <w:rPr>
          <w:color w:val="auto"/>
        </w:rPr>
        <w:noBreakHyphen/>
        <w:t xml:space="preserve">495/09, Koninklijke Philips Electronics NV </w:t>
      </w:r>
      <w:r w:rsidR="006B0D1F" w:rsidRPr="00CE509E">
        <w:rPr>
          <w:color w:val="auto"/>
        </w:rPr>
        <w:t>proti</w:t>
      </w:r>
      <w:r w:rsidRPr="00CE509E">
        <w:rPr>
          <w:color w:val="auto"/>
        </w:rPr>
        <w:t xml:space="preserve"> Lucheng Meijing Industrial Company Ltd a iní a Nokia Corporation </w:t>
      </w:r>
      <w:r w:rsidR="006B0D1F" w:rsidRPr="00CE509E">
        <w:rPr>
          <w:color w:val="auto"/>
        </w:rPr>
        <w:t>proti</w:t>
      </w:r>
      <w:r w:rsidRPr="00CE509E">
        <w:rPr>
          <w:color w:val="auto"/>
        </w:rPr>
        <w:t xml:space="preserve"> Her Majesty’s Commissioners of Revenue and Customs, [2011]</w:t>
      </w:r>
    </w:p>
    <w:p w14:paraId="47C71006" w14:textId="77777777" w:rsidR="00DE4143" w:rsidRPr="00CE509E" w:rsidRDefault="00DE4143" w:rsidP="00DE4143">
      <w:pPr>
        <w:pStyle w:val="Default"/>
        <w:ind w:left="851"/>
        <w:jc w:val="both"/>
        <w:rPr>
          <w:color w:val="auto"/>
        </w:rPr>
      </w:pPr>
    </w:p>
    <w:p w14:paraId="3ABEA107" w14:textId="77777777" w:rsidR="00DE4143" w:rsidRPr="00CE509E" w:rsidRDefault="00DE4143" w:rsidP="00DE4143">
      <w:pPr>
        <w:pStyle w:val="Default"/>
        <w:ind w:left="851"/>
        <w:jc w:val="both"/>
        <w:rPr>
          <w:color w:val="auto"/>
        </w:rPr>
      </w:pPr>
      <w:r w:rsidRPr="00CE509E">
        <w:rPr>
          <w:b/>
          <w:color w:val="auto"/>
        </w:rPr>
        <w:t>Výrok rozhodnutia:</w:t>
      </w:r>
    </w:p>
    <w:p w14:paraId="3E346422" w14:textId="77777777" w:rsidR="00DE4143" w:rsidRPr="00CE509E" w:rsidRDefault="00DE4143" w:rsidP="00DE4143">
      <w:pPr>
        <w:pStyle w:val="Default"/>
        <w:ind w:left="851"/>
        <w:jc w:val="both"/>
        <w:rPr>
          <w:color w:val="auto"/>
        </w:rPr>
      </w:pPr>
    </w:p>
    <w:p w14:paraId="7AF236FA" w14:textId="77777777" w:rsidR="00DE4143" w:rsidRPr="00CE509E" w:rsidRDefault="00DE4143" w:rsidP="00DE4143">
      <w:pPr>
        <w:pStyle w:val="Default"/>
        <w:ind w:left="851"/>
        <w:jc w:val="both"/>
        <w:rPr>
          <w:color w:val="auto"/>
        </w:rPr>
      </w:pPr>
      <w:r w:rsidRPr="00CE509E">
        <w:rPr>
          <w:color w:val="auto"/>
        </w:rPr>
        <w:t>Nariadenie Rady (ES) č. 3295/94 z 22. decembra 1994, ktoré stanovuje opatrenia týkajúce sa vstupu do spoločenstva a exportu a reexportu zo spoločenstva tovaru porušujúceho niektoré práva duševného vlastníctva, zmenené a doplnené nariadením Rady (ES) č. 241/1999 z 25. januára 1999 a nariadenie Rady (ES) č. 1383/2003 z 22. júla 2003, ktoré sa týka colného konania pri tovare podozrivom z porušovania niektorých práv duševného vlastníctva a opatrení, ktoré sa majú prijať pri tovare, u ktorého sa zistilo, že sa takéto práva porušili, sa majú vykladať v tom zmysle, že:</w:t>
      </w:r>
    </w:p>
    <w:p w14:paraId="393411BA" w14:textId="77777777" w:rsidR="00DE4143" w:rsidRPr="00CE509E" w:rsidRDefault="00DE4143" w:rsidP="00DE4143">
      <w:pPr>
        <w:pStyle w:val="Default"/>
        <w:ind w:left="851"/>
        <w:jc w:val="both"/>
        <w:rPr>
          <w:color w:val="auto"/>
        </w:rPr>
      </w:pPr>
    </w:p>
    <w:p w14:paraId="1D98DE9F" w14:textId="77777777" w:rsidR="00DE4143" w:rsidRPr="00CE509E" w:rsidRDefault="00DE4143" w:rsidP="002B0D7E">
      <w:pPr>
        <w:pStyle w:val="Default"/>
        <w:numPr>
          <w:ilvl w:val="0"/>
          <w:numId w:val="2"/>
        </w:numPr>
        <w:ind w:left="1135" w:hanging="284"/>
        <w:jc w:val="both"/>
        <w:rPr>
          <w:color w:val="auto"/>
        </w:rPr>
      </w:pPr>
      <w:r w:rsidRPr="00CE509E">
        <w:rPr>
          <w:color w:val="auto"/>
        </w:rPr>
        <w:t xml:space="preserve">tovar pochádzajúci z tretích štátov a predstavujúci napodobeninu výrobku chráneného v Európskej únii právom z ochrannej známky alebo kópiu výrobku chráneného v Únii autorským právom, s ním súvisiacim právom alebo dizajnom nemožno kvalifikovať ako „napodobeninu“ alebo „pirátsky tovar“ v zmysle </w:t>
      </w:r>
      <w:r w:rsidRPr="00CE509E">
        <w:rPr>
          <w:color w:val="auto"/>
        </w:rPr>
        <w:lastRenderedPageBreak/>
        <w:t>uvedených nariadení len na základe skutočnosti, že vstúpil na colné územie Únie v režime s podmienečným oslobodením od cla,</w:t>
      </w:r>
    </w:p>
    <w:p w14:paraId="0CA12945" w14:textId="77777777" w:rsidR="00DE4143" w:rsidRPr="00CE509E" w:rsidRDefault="00DE4143" w:rsidP="00DE4143">
      <w:pPr>
        <w:pStyle w:val="Default"/>
        <w:jc w:val="both"/>
        <w:rPr>
          <w:color w:val="auto"/>
        </w:rPr>
      </w:pPr>
    </w:p>
    <w:p w14:paraId="1DB8F5B0" w14:textId="77777777" w:rsidR="00DE4143" w:rsidRPr="00CE509E" w:rsidRDefault="00DE4143" w:rsidP="00DE4143">
      <w:pPr>
        <w:pStyle w:val="Default"/>
        <w:numPr>
          <w:ilvl w:val="0"/>
          <w:numId w:val="2"/>
        </w:numPr>
        <w:ind w:left="1134" w:hanging="283"/>
        <w:jc w:val="both"/>
        <w:rPr>
          <w:color w:val="auto"/>
        </w:rPr>
      </w:pPr>
      <w:r w:rsidRPr="00CE509E">
        <w:rPr>
          <w:color w:val="auto"/>
        </w:rPr>
        <w:t>tento tovar však môže predstavovať porušenie uvedeného práva a možno ho teda kvalifikovať ako „napodobeninu“ alebo „pirátsky tovar“, ak sa preukáže, že je určený na predaj v Európskej únii, pričom o takýto dôkaz ide najmä vtedy, ak sa preukáže, že uvedený tovar bol predmetom predaja zákazníkovi v Únii alebo ponuky na predaj, či reklamy určenej spotrebiteľom v Únii, alebo ak z dokumentov alebo korešpondencie týkajúcich sa tohto tovaru vyplýva, že sa plánuje presmerovanie tohto tovaru na spotrebiteľov Únie,</w:t>
      </w:r>
    </w:p>
    <w:p w14:paraId="5BB62E90" w14:textId="77777777" w:rsidR="00DE4143" w:rsidRPr="00CE509E" w:rsidRDefault="00DE4143" w:rsidP="00DE4143">
      <w:pPr>
        <w:pStyle w:val="Default"/>
        <w:ind w:left="851"/>
        <w:jc w:val="both"/>
        <w:rPr>
          <w:color w:val="auto"/>
        </w:rPr>
      </w:pPr>
    </w:p>
    <w:p w14:paraId="77252B0B" w14:textId="77777777" w:rsidR="00DE4143" w:rsidRPr="00CE509E" w:rsidRDefault="00DE4143" w:rsidP="00DE4143">
      <w:pPr>
        <w:pStyle w:val="Default"/>
        <w:numPr>
          <w:ilvl w:val="0"/>
          <w:numId w:val="2"/>
        </w:numPr>
        <w:ind w:left="1134" w:hanging="283"/>
        <w:jc w:val="both"/>
        <w:rPr>
          <w:color w:val="auto"/>
        </w:rPr>
      </w:pPr>
      <w:r w:rsidRPr="00CE509E">
        <w:rPr>
          <w:color w:val="auto"/>
        </w:rPr>
        <w:t>aby mohol orgán, ktorý má právomoc na rozhodovanie vo veci samej, účinne preskúmať existenciu takéhoto dôkazu a ostatných skutočností predstavujúcich porušenie uplatňovaného práva duševného vlastníctva, colný orgán, ktorý rozhoduje o žiadosti o prijatie opatrenia, akonáhle disponuje dôkazmi umožňujúcimi podozrenie o existencii uvedeného porušenia, musí odložiť prepustenie tovaru alebo ho zadržať, a</w:t>
      </w:r>
    </w:p>
    <w:p w14:paraId="67F131F1" w14:textId="77777777" w:rsidR="00DE4143" w:rsidRPr="00CE509E" w:rsidRDefault="00DE4143" w:rsidP="00DE4143">
      <w:pPr>
        <w:pStyle w:val="Default"/>
        <w:ind w:left="851"/>
        <w:jc w:val="both"/>
        <w:rPr>
          <w:color w:val="auto"/>
        </w:rPr>
      </w:pPr>
    </w:p>
    <w:p w14:paraId="23451980" w14:textId="2B15C896" w:rsidR="00DE4143" w:rsidRPr="00CE509E" w:rsidRDefault="00DE4143" w:rsidP="002B0D7E">
      <w:pPr>
        <w:pStyle w:val="nariadenia"/>
        <w:numPr>
          <w:ilvl w:val="0"/>
          <w:numId w:val="2"/>
        </w:numPr>
        <w:tabs>
          <w:tab w:val="left" w:pos="437"/>
        </w:tabs>
        <w:ind w:left="1135" w:hanging="284"/>
        <w:rPr>
          <w:color w:val="auto"/>
        </w:rPr>
      </w:pPr>
      <w:r w:rsidRPr="00CE509E">
        <w:rPr>
          <w:color w:val="auto"/>
        </w:rPr>
        <w:t>medzi tieto nepriame dôkazy môže patriť najmä skutočnosť, že miesto určenia tovaru nie je deklarované, hoci požadovaný režim s podmienečným oslobodením od cla taký údaj vyžaduje, ďalej neuvedenie presných alebo spoľahlivých informácií o totožnosti alebo adrese výrobcu alebo odosielateľa tovaru, nespolupracovanie s colnými orgánmi či zaistenie dokumentov alebo korešpondencie týkajúcich sa dotknutého tovaru, na základe ktorých sa možno domnievať, že môže dôjsť k presmerovaniu tohto tovaru na spotrebiteľov v Európskej únii.</w:t>
      </w:r>
    </w:p>
    <w:p w14:paraId="5726CACC" w14:textId="77777777" w:rsidR="00E97855" w:rsidRPr="00CE509E" w:rsidRDefault="00E97855" w:rsidP="00961C1C">
      <w:pPr>
        <w:pStyle w:val="Default"/>
        <w:ind w:firstLine="567"/>
        <w:jc w:val="both"/>
        <w:rPr>
          <w:color w:val="auto"/>
        </w:rPr>
      </w:pPr>
    </w:p>
    <w:p w14:paraId="36C54308" w14:textId="5FB0C3D9" w:rsidR="00E97855" w:rsidRPr="00CE509E" w:rsidRDefault="00067F6B" w:rsidP="00961C1C">
      <w:pPr>
        <w:pStyle w:val="Default"/>
        <w:numPr>
          <w:ilvl w:val="0"/>
          <w:numId w:val="2"/>
        </w:numPr>
        <w:ind w:left="851" w:hanging="284"/>
        <w:jc w:val="both"/>
        <w:rPr>
          <w:color w:val="auto"/>
        </w:rPr>
      </w:pPr>
      <w:r w:rsidRPr="00CE509E">
        <w:rPr>
          <w:color w:val="auto"/>
        </w:rPr>
        <w:t>rozsudok Súdneho dvora vo veci C</w:t>
      </w:r>
      <w:r w:rsidR="006B0D1F" w:rsidRPr="00CE509E">
        <w:rPr>
          <w:color w:val="auto"/>
        </w:rPr>
        <w:t>-</w:t>
      </w:r>
      <w:r w:rsidRPr="00CE509E">
        <w:rPr>
          <w:color w:val="auto"/>
        </w:rPr>
        <w:t xml:space="preserve">93/08, Schenker SIA proti </w:t>
      </w:r>
      <w:r w:rsidR="004446BB" w:rsidRPr="00CE509E">
        <w:rPr>
          <w:color w:val="auto"/>
        </w:rPr>
        <w:t>Valsts i</w:t>
      </w:r>
      <w:r w:rsidR="005411BA" w:rsidRPr="00CE509E">
        <w:rPr>
          <w:color w:val="auto"/>
        </w:rPr>
        <w:t>eņēmumu dienests, [2009]</w:t>
      </w:r>
    </w:p>
    <w:p w14:paraId="48A95176" w14:textId="77777777" w:rsidR="00E97855" w:rsidRPr="00CE509E" w:rsidRDefault="00E97855" w:rsidP="00E97855">
      <w:pPr>
        <w:pStyle w:val="Default"/>
        <w:jc w:val="both"/>
        <w:rPr>
          <w:color w:val="auto"/>
        </w:rPr>
      </w:pPr>
    </w:p>
    <w:p w14:paraId="7CDBF383" w14:textId="2297A0E1" w:rsidR="00E97855" w:rsidRPr="00CE509E" w:rsidRDefault="00E97855" w:rsidP="00961C1C">
      <w:pPr>
        <w:pStyle w:val="Default"/>
        <w:ind w:firstLine="851"/>
        <w:jc w:val="both"/>
        <w:rPr>
          <w:b/>
          <w:color w:val="auto"/>
        </w:rPr>
      </w:pPr>
      <w:r w:rsidRPr="00CE509E">
        <w:rPr>
          <w:b/>
          <w:color w:val="auto"/>
        </w:rPr>
        <w:t>Výrok rozhodnutia:</w:t>
      </w:r>
    </w:p>
    <w:p w14:paraId="012C7BD7" w14:textId="77777777" w:rsidR="00E97855" w:rsidRPr="00CE509E" w:rsidRDefault="00E97855" w:rsidP="00E97855">
      <w:pPr>
        <w:pStyle w:val="Default"/>
        <w:jc w:val="both"/>
        <w:rPr>
          <w:color w:val="auto"/>
        </w:rPr>
      </w:pPr>
    </w:p>
    <w:p w14:paraId="5196D59C" w14:textId="3EEFA0EA" w:rsidR="002A7891" w:rsidRPr="00CE509E" w:rsidRDefault="004446BB" w:rsidP="00BC7CD7">
      <w:pPr>
        <w:pStyle w:val="Default"/>
        <w:ind w:left="851"/>
        <w:jc w:val="both"/>
        <w:rPr>
          <w:color w:val="auto"/>
        </w:rPr>
      </w:pPr>
      <w:r w:rsidRPr="00CE509E">
        <w:rPr>
          <w:color w:val="auto"/>
        </w:rPr>
        <w:t xml:space="preserve">Začatie zjednodušeného postupu, so súhlasom držiteľa práva duševného vlastníctva a dovozcu, podľa článku 11 nariadenia </w:t>
      </w:r>
      <w:r w:rsidR="002207D0" w:rsidRPr="00CE509E">
        <w:rPr>
          <w:color w:val="auto"/>
        </w:rPr>
        <w:t>Rady (ES) č. 1383/2003 z 22. júla 2003, ktoré sa týka colného konania pri tovare podozrivom z porušovania niektorých práv duševného vlastníctva a opatrení, ktoré sa majú prijať pri tovare, u ktorého sa zistilo, že sa takéto práva porušili, nezbavuje príslušné vnútroštátne orgány práva uložiť osobám zodpovedným za dovoz takéhoto tovaru na colné územie Európskeho spoločenstva „sankciu</w:t>
      </w:r>
      <w:r w:rsidR="00E61F59" w:rsidRPr="00CE509E">
        <w:rPr>
          <w:color w:val="auto"/>
        </w:rPr>
        <w:t>“</w:t>
      </w:r>
      <w:r w:rsidR="002207D0" w:rsidRPr="00CE509E">
        <w:rPr>
          <w:color w:val="auto"/>
        </w:rPr>
        <w:t xml:space="preserve"> v zmysle článku 18 tohto nariadenia, akou je správ</w:t>
      </w:r>
      <w:r w:rsidR="00E61F59" w:rsidRPr="00CE509E">
        <w:rPr>
          <w:color w:val="auto"/>
        </w:rPr>
        <w:t>n</w:t>
      </w:r>
      <w:r w:rsidR="002207D0" w:rsidRPr="00CE509E">
        <w:rPr>
          <w:color w:val="auto"/>
        </w:rPr>
        <w:t>a pokuta.</w:t>
      </w:r>
    </w:p>
    <w:p w14:paraId="2BCCFA96" w14:textId="77777777" w:rsidR="00DE4143" w:rsidRPr="00CE509E" w:rsidRDefault="00DE4143" w:rsidP="002B0D7E">
      <w:pPr>
        <w:pStyle w:val="nariadenia"/>
        <w:tabs>
          <w:tab w:val="left" w:pos="437"/>
        </w:tabs>
        <w:rPr>
          <w:color w:val="auto"/>
        </w:rPr>
      </w:pPr>
    </w:p>
    <w:p w14:paraId="71B6232E" w14:textId="379702F4" w:rsidR="00DE4143" w:rsidRPr="00CE509E" w:rsidRDefault="00DE4143" w:rsidP="002B0D7E">
      <w:pPr>
        <w:pStyle w:val="nariadenia"/>
        <w:numPr>
          <w:ilvl w:val="0"/>
          <w:numId w:val="2"/>
        </w:numPr>
        <w:tabs>
          <w:tab w:val="left" w:pos="437"/>
        </w:tabs>
        <w:ind w:left="851" w:hanging="284"/>
        <w:rPr>
          <w:color w:val="auto"/>
        </w:rPr>
      </w:pPr>
      <w:r w:rsidRPr="00CE509E">
        <w:rPr>
          <w:color w:val="auto"/>
        </w:rPr>
        <w:t>rozsudok Súdneho dvora vo veci C</w:t>
      </w:r>
      <w:r w:rsidR="006B0D1F" w:rsidRPr="00CE509E">
        <w:rPr>
          <w:color w:val="auto"/>
        </w:rPr>
        <w:t>-</w:t>
      </w:r>
      <w:r w:rsidRPr="00CE509E">
        <w:rPr>
          <w:color w:val="auto"/>
        </w:rPr>
        <w:t xml:space="preserve">405/03, Class International BV </w:t>
      </w:r>
      <w:r w:rsidR="006B0D1F" w:rsidRPr="00CE509E">
        <w:rPr>
          <w:color w:val="auto"/>
        </w:rPr>
        <w:t>proti</w:t>
      </w:r>
      <w:r w:rsidRPr="00CE509E">
        <w:rPr>
          <w:color w:val="auto"/>
        </w:rPr>
        <w:t xml:space="preserve"> Colgate-Palmolive Company a iní, [2005]</w:t>
      </w:r>
    </w:p>
    <w:p w14:paraId="7370A1FB" w14:textId="77777777" w:rsidR="00DE4143" w:rsidRPr="00CE509E" w:rsidRDefault="00DE4143" w:rsidP="00DE4143">
      <w:pPr>
        <w:pStyle w:val="Default"/>
        <w:jc w:val="both"/>
        <w:rPr>
          <w:color w:val="auto"/>
        </w:rPr>
      </w:pPr>
    </w:p>
    <w:p w14:paraId="43030734" w14:textId="77777777" w:rsidR="00DE4143" w:rsidRPr="00CE509E" w:rsidRDefault="00DE4143" w:rsidP="00DE4143">
      <w:pPr>
        <w:pStyle w:val="Default"/>
        <w:ind w:left="851"/>
        <w:jc w:val="both"/>
        <w:rPr>
          <w:b/>
          <w:color w:val="auto"/>
        </w:rPr>
      </w:pPr>
      <w:r w:rsidRPr="00CE509E">
        <w:rPr>
          <w:b/>
          <w:color w:val="auto"/>
        </w:rPr>
        <w:t>Výrok rozhodnutia:</w:t>
      </w:r>
    </w:p>
    <w:p w14:paraId="66383AD1" w14:textId="77777777" w:rsidR="00DE4143" w:rsidRPr="00CE509E" w:rsidRDefault="00DE4143" w:rsidP="00DE4143">
      <w:pPr>
        <w:pStyle w:val="Default"/>
        <w:jc w:val="both"/>
        <w:rPr>
          <w:color w:val="auto"/>
        </w:rPr>
      </w:pPr>
    </w:p>
    <w:p w14:paraId="16355778" w14:textId="77777777" w:rsidR="00DE4143" w:rsidRPr="00CE509E" w:rsidRDefault="00DE4143" w:rsidP="00DE4143">
      <w:pPr>
        <w:pStyle w:val="Default"/>
        <w:numPr>
          <w:ilvl w:val="0"/>
          <w:numId w:val="24"/>
        </w:numPr>
        <w:ind w:left="1134" w:hanging="283"/>
        <w:jc w:val="both"/>
        <w:rPr>
          <w:color w:val="auto"/>
        </w:rPr>
      </w:pPr>
      <w:r w:rsidRPr="00CE509E">
        <w:rPr>
          <w:color w:val="auto"/>
        </w:rPr>
        <w:t xml:space="preserve">Článok 5 ods. 1 a 3 písm. c) prvej smernice Rady 89/104/EHS z 21. decembra 1988 o aproximácii právnych predpisov členských štátov v oblasti ochranných známok a článok 9 ods. 1 a 2 písm. c) nariadenia Rady (ES) č. 40/94 z 20. decembra 1993 o ochrannej známke spoločenstva sa majú vykladať v tom zmysle, že majiteľ ochrannej známky nemá právo zabrániť vstupu na územie Spoločenstva v colnom </w:t>
      </w:r>
      <w:r w:rsidRPr="00CE509E">
        <w:rPr>
          <w:color w:val="auto"/>
        </w:rPr>
        <w:lastRenderedPageBreak/>
        <w:t>režime vonkajšieho tranzitu alebo colného uskladnenia originálnych výrobkov označených touto ochrannou známkou, ktoré neboli predtým uvedené na trh Spoločenstva týmto majiteľom ochrannej známky alebo s jeho súhlasom. Majiteľ ochrannej známky nemôže podmieniť prepustenie dotknutých tovarov do colného režimu vonkajšieho tranzitu alebo do colného režimu colného uskladnenia skutočnosťou, že v čase vstupu týchto tovarov na územie Spoločenstva bolo stanovené ich konečné určenie v tretej krajine, prípadne aj na základe kúpnej zmluvy.</w:t>
      </w:r>
    </w:p>
    <w:p w14:paraId="17694D85" w14:textId="77777777" w:rsidR="00DE4143" w:rsidRPr="00CE509E" w:rsidRDefault="00DE4143" w:rsidP="00DE4143">
      <w:pPr>
        <w:pStyle w:val="Default"/>
        <w:ind w:left="1287"/>
        <w:jc w:val="both"/>
        <w:rPr>
          <w:color w:val="auto"/>
        </w:rPr>
      </w:pPr>
    </w:p>
    <w:p w14:paraId="3DCFA043" w14:textId="50FBD42C" w:rsidR="00DE4143" w:rsidRPr="00CE509E" w:rsidRDefault="006B0D1F" w:rsidP="00DE4143">
      <w:pPr>
        <w:pStyle w:val="Default"/>
        <w:numPr>
          <w:ilvl w:val="0"/>
          <w:numId w:val="24"/>
        </w:numPr>
        <w:ind w:left="1134" w:hanging="283"/>
        <w:jc w:val="both"/>
        <w:rPr>
          <w:color w:val="auto"/>
        </w:rPr>
      </w:pPr>
      <w:r w:rsidRPr="00CE509E">
        <w:rPr>
          <w:color w:val="auto"/>
        </w:rPr>
        <w:t>Pojmy „pon[uka]“</w:t>
      </w:r>
      <w:r w:rsidR="00DE4143" w:rsidRPr="00CE509E">
        <w:rPr>
          <w:color w:val="auto"/>
        </w:rPr>
        <w:t xml:space="preserve"> a ,,uv[edenie] na trh</w:t>
      </w:r>
      <w:r w:rsidRPr="00CE509E">
        <w:rPr>
          <w:color w:val="auto"/>
        </w:rPr>
        <w:t>“</w:t>
      </w:r>
      <w:r w:rsidR="00DE4143" w:rsidRPr="00CE509E">
        <w:rPr>
          <w:color w:val="auto"/>
        </w:rPr>
        <w:t xml:space="preserve"> výrobkov uvedené v článku 5 ods. 3 písm. b) smernice 89/104 a v článku 9 ods. 2 písm. b) nariadenia č. 40/94 môžu zahŕňať jednak ponuku a jednak predaj originálnych výrobkov označených ochrannou známkou, ktoré majú colný štatút tovarov, ktoré nie sú tovarmi Spoločenstva, ak je ponuka uskutočnená a/alebo predaj vykonaný v čase, keď sú tieto tovary prepustené do colného režimu vonkajšieho tranzitu alebo colného uskladnenia. Majiteľ ochrannej známky môže zabrániť ponuke alebo predaju týchto tovarov, ak nevyhnutne vedú k uvedeniu týchto výrobkov na trh v Spoločenstve.</w:t>
      </w:r>
    </w:p>
    <w:p w14:paraId="614405FA" w14:textId="77777777" w:rsidR="00DE4143" w:rsidRPr="00CE509E" w:rsidRDefault="00DE4143" w:rsidP="00DE4143">
      <w:pPr>
        <w:pStyle w:val="Default"/>
        <w:jc w:val="both"/>
        <w:rPr>
          <w:color w:val="auto"/>
        </w:rPr>
      </w:pPr>
    </w:p>
    <w:p w14:paraId="59D2DD10" w14:textId="2E9A002B" w:rsidR="00680431" w:rsidRPr="00CE509E" w:rsidRDefault="00DE4143" w:rsidP="00680431">
      <w:pPr>
        <w:pStyle w:val="Default"/>
        <w:numPr>
          <w:ilvl w:val="0"/>
          <w:numId w:val="24"/>
        </w:numPr>
        <w:ind w:left="1134" w:hanging="283"/>
        <w:jc w:val="both"/>
        <w:rPr>
          <w:color w:val="auto"/>
        </w:rPr>
      </w:pPr>
      <w:r w:rsidRPr="00CE509E">
        <w:rPr>
          <w:color w:val="auto"/>
        </w:rPr>
        <w:t>V prípade, akým je vnútroštátny spor, prináleží majiteľovi ochrannej známky predložiť dôkaz o okolnostiach umožňujúcich uplatnenie práva na zákaz upraveného v článku 5 ods. 3 písm. b) a c) smernice 89/104 a článku 9 ods. 2 písm. b) a c) nariadenia č. 40/94 tak, že preukáže buď prepustenie do voľného obehu tovarov, ktoré nie sú tovarmi Spoločenstva, označených jeho ochrannou známkou, alebo ponuku alebo predaj týchto tovarov, ktoré nevyhnutne vedú k ich uvedeniu na trh v Spoločenstve.</w:t>
      </w:r>
    </w:p>
    <w:p w14:paraId="4CFD4856" w14:textId="2BBAFF92" w:rsidR="00DE4143" w:rsidRPr="00CE509E" w:rsidRDefault="00DE4143" w:rsidP="00BC7CD7">
      <w:pPr>
        <w:pStyle w:val="Default"/>
        <w:ind w:left="851"/>
        <w:jc w:val="both"/>
        <w:rPr>
          <w:color w:val="auto"/>
        </w:rPr>
      </w:pPr>
    </w:p>
    <w:p w14:paraId="0680368B" w14:textId="21504620" w:rsidR="00680431" w:rsidRPr="00CE509E" w:rsidRDefault="00680431" w:rsidP="00680431">
      <w:pPr>
        <w:pStyle w:val="nariadenia"/>
        <w:numPr>
          <w:ilvl w:val="0"/>
          <w:numId w:val="2"/>
        </w:numPr>
        <w:tabs>
          <w:tab w:val="left" w:pos="437"/>
        </w:tabs>
        <w:ind w:left="851" w:hanging="284"/>
        <w:rPr>
          <w:color w:val="auto"/>
        </w:rPr>
      </w:pPr>
      <w:r w:rsidRPr="00CE509E">
        <w:rPr>
          <w:color w:val="auto"/>
        </w:rPr>
        <w:t xml:space="preserve">rozsudok Súdneho dvora vo veci C-414/11, Daiichi Sankyo Co. Ltd, Sanofi-Aventis Deutschland GmbH proti </w:t>
      </w:r>
      <w:r w:rsidRPr="00CE509E">
        <w:rPr>
          <w:bCs/>
          <w:color w:val="auto"/>
          <w:shd w:val="clear" w:color="auto" w:fill="FFFFFF"/>
        </w:rPr>
        <w:t>DEMO Anonymos Viomichaniki kai Emporiki Etairia Farmakon</w:t>
      </w:r>
      <w:r w:rsidRPr="00CE509E">
        <w:rPr>
          <w:color w:val="auto"/>
        </w:rPr>
        <w:t>, [2011]</w:t>
      </w:r>
    </w:p>
    <w:p w14:paraId="1F9EF858" w14:textId="4C6086F2" w:rsidR="00680431" w:rsidRPr="00CE509E" w:rsidRDefault="00680431" w:rsidP="00680431">
      <w:pPr>
        <w:pStyle w:val="nariadenia"/>
        <w:tabs>
          <w:tab w:val="left" w:pos="437"/>
        </w:tabs>
        <w:rPr>
          <w:color w:val="auto"/>
        </w:rPr>
      </w:pPr>
    </w:p>
    <w:p w14:paraId="2E25BF52" w14:textId="15207646" w:rsidR="00680431" w:rsidRPr="00CE509E" w:rsidRDefault="00680431" w:rsidP="008657EC">
      <w:pPr>
        <w:pStyle w:val="nariadenia"/>
        <w:tabs>
          <w:tab w:val="left" w:pos="0"/>
        </w:tabs>
        <w:ind w:left="851" w:firstLine="0"/>
        <w:rPr>
          <w:b/>
          <w:color w:val="auto"/>
        </w:rPr>
      </w:pPr>
      <w:r w:rsidRPr="00CE509E">
        <w:rPr>
          <w:b/>
          <w:color w:val="auto"/>
        </w:rPr>
        <w:t>V</w:t>
      </w:r>
      <w:r w:rsidR="007D0368" w:rsidRPr="00CE509E">
        <w:rPr>
          <w:b/>
          <w:color w:val="auto"/>
        </w:rPr>
        <w:t>ýrok rozhodnutia:</w:t>
      </w:r>
    </w:p>
    <w:p w14:paraId="19661ECB" w14:textId="42222A7C" w:rsidR="007D0368" w:rsidRPr="00CE509E" w:rsidRDefault="007D0368" w:rsidP="00680431">
      <w:pPr>
        <w:pStyle w:val="nariadenia"/>
        <w:tabs>
          <w:tab w:val="left" w:pos="0"/>
        </w:tabs>
        <w:ind w:firstLine="284"/>
        <w:rPr>
          <w:color w:val="auto"/>
        </w:rPr>
      </w:pPr>
    </w:p>
    <w:p w14:paraId="33C4B036" w14:textId="67D82830" w:rsidR="007D0368" w:rsidRPr="00CE509E" w:rsidRDefault="008657EC" w:rsidP="008657EC">
      <w:pPr>
        <w:pStyle w:val="nariadenia"/>
        <w:numPr>
          <w:ilvl w:val="0"/>
          <w:numId w:val="26"/>
        </w:numPr>
        <w:tabs>
          <w:tab w:val="left" w:pos="0"/>
        </w:tabs>
        <w:ind w:left="1134" w:hanging="283"/>
        <w:rPr>
          <w:color w:val="auto"/>
        </w:rPr>
      </w:pPr>
      <w:r w:rsidRPr="00CE509E">
        <w:rPr>
          <w:bCs/>
          <w:color w:val="auto"/>
          <w:shd w:val="clear" w:color="auto" w:fill="FFFFFF"/>
        </w:rPr>
        <w:t>Článok 27 Dohody o obchodných aspektoch práv duševného vlastníctva, ktorá predstavuje prílohu 1 C Dohody o založení Svetovej obchodnej organizácie (WTO), podpísanej v Marakéši 15. apríla 1994 a schválenej rozhodnutím Rady 94/800/ES z 22. decembra 1994 týkajúcim sa uzavretia dohôd v mene Európskeho spoločenstva, pokiaľ ide o záležitosti v rámci jeho kompetencie, ku ktorým sa dospelo na Uruguajskom kole multilaterálnych rokovaní (1986 – 1994), patrí do oblasti spoločnej obchodnej politiky</w:t>
      </w:r>
      <w:r w:rsidR="007D0368" w:rsidRPr="00CE509E">
        <w:rPr>
          <w:color w:val="auto"/>
        </w:rPr>
        <w:t>.</w:t>
      </w:r>
    </w:p>
    <w:p w14:paraId="46A321B4" w14:textId="77777777" w:rsidR="007D0368" w:rsidRPr="00CE509E" w:rsidRDefault="007D0368" w:rsidP="008657EC">
      <w:pPr>
        <w:pStyle w:val="nariadenia"/>
        <w:tabs>
          <w:tab w:val="left" w:pos="0"/>
        </w:tabs>
        <w:ind w:left="1134" w:firstLine="0"/>
        <w:rPr>
          <w:color w:val="auto"/>
        </w:rPr>
      </w:pPr>
    </w:p>
    <w:p w14:paraId="30E46AFF" w14:textId="568492CD" w:rsidR="008657EC" w:rsidRPr="00CE509E" w:rsidRDefault="00C62B80" w:rsidP="008657EC">
      <w:pPr>
        <w:pStyle w:val="nariadenia"/>
        <w:numPr>
          <w:ilvl w:val="0"/>
          <w:numId w:val="26"/>
        </w:numPr>
        <w:tabs>
          <w:tab w:val="left" w:pos="0"/>
        </w:tabs>
        <w:ind w:left="1134" w:hanging="283"/>
        <w:rPr>
          <w:color w:val="auto"/>
        </w:rPr>
      </w:pPr>
      <w:r w:rsidRPr="00CE509E">
        <w:rPr>
          <w:bCs/>
          <w:color w:val="auto"/>
          <w:shd w:val="clear" w:color="auto" w:fill="FFFFFF"/>
        </w:rPr>
        <w:t>Článok 27 Dohody o obchodných aspektoch práv duševného vlastníctva sa má vykladať v tom zmysle, že vynález farmaceutického výrobku, akým je účinná chemická zložka lieku, môže v prípade, že výnimka podľa odsekov 2 a 3 tohto článku sa neuplatní, byť predmetom patentu za podmienok stanovených v odseku 1 uvedeného článku</w:t>
      </w:r>
      <w:r w:rsidR="007D0368" w:rsidRPr="00CE509E">
        <w:rPr>
          <w:color w:val="auto"/>
        </w:rPr>
        <w:t>.</w:t>
      </w:r>
    </w:p>
    <w:p w14:paraId="4FF2A7F7" w14:textId="77777777" w:rsidR="008657EC" w:rsidRPr="00CE509E" w:rsidRDefault="008657EC" w:rsidP="008657EC">
      <w:pPr>
        <w:pStyle w:val="nariadenia"/>
        <w:tabs>
          <w:tab w:val="left" w:pos="0"/>
        </w:tabs>
        <w:ind w:left="1134" w:firstLine="0"/>
        <w:rPr>
          <w:color w:val="auto"/>
        </w:rPr>
      </w:pPr>
    </w:p>
    <w:p w14:paraId="711BF454" w14:textId="6C646074" w:rsidR="007D0368" w:rsidRPr="00CE509E" w:rsidRDefault="00C62B80" w:rsidP="008657EC">
      <w:pPr>
        <w:pStyle w:val="nariadenia"/>
        <w:numPr>
          <w:ilvl w:val="0"/>
          <w:numId w:val="26"/>
        </w:numPr>
        <w:tabs>
          <w:tab w:val="left" w:pos="0"/>
        </w:tabs>
        <w:ind w:left="1134" w:hanging="283"/>
        <w:rPr>
          <w:color w:val="auto"/>
        </w:rPr>
      </w:pPr>
      <w:r w:rsidRPr="00CE509E">
        <w:rPr>
          <w:bCs/>
          <w:color w:val="auto"/>
          <w:shd w:val="clear" w:color="auto" w:fill="FFFFFF"/>
        </w:rPr>
        <w:t xml:space="preserve">Patent, ktorý bol získaný v nadväznosti na prihlášku uvádzajúcu vynález výrobného postupu farmaceutického výrobku, ako aj tohto farmaceutického výrobku ako takého, ktorý ale bol udelený výlučne len na tento výrobný postup, sa nemá z dôvodu pravidiel uvádzaných v článkoch 27 a 70 Dohody o obchodných </w:t>
      </w:r>
      <w:r w:rsidRPr="00CE509E">
        <w:rPr>
          <w:bCs/>
          <w:color w:val="auto"/>
          <w:shd w:val="clear" w:color="auto" w:fill="FFFFFF"/>
        </w:rPr>
        <w:lastRenderedPageBreak/>
        <w:t>aspektoch práv duševného vlastníctva považovať od nadobudnutia platnosti tejto dohody za patent vzťahujúci sa na vynález uvedeného farmaceutického výrobku</w:t>
      </w:r>
      <w:r w:rsidR="008657EC" w:rsidRPr="00CE509E">
        <w:rPr>
          <w:color w:val="auto"/>
        </w:rPr>
        <w:t>.</w:t>
      </w:r>
    </w:p>
    <w:p w14:paraId="1B24D457" w14:textId="77777777" w:rsidR="00680431" w:rsidRPr="00CE509E" w:rsidRDefault="00680431" w:rsidP="00BC7CD7">
      <w:pPr>
        <w:pStyle w:val="Default"/>
        <w:ind w:left="851"/>
        <w:jc w:val="both"/>
        <w:rPr>
          <w:color w:val="auto"/>
        </w:rPr>
      </w:pPr>
    </w:p>
    <w:p w14:paraId="2EE44A66" w14:textId="77777777" w:rsidR="00D477C6" w:rsidRPr="00CE509E" w:rsidRDefault="00D477C6" w:rsidP="00522E66">
      <w:pPr>
        <w:pStyle w:val="Default"/>
        <w:spacing w:after="120"/>
        <w:rPr>
          <w:color w:val="auto"/>
        </w:rPr>
      </w:pPr>
      <w:r w:rsidRPr="00CE509E">
        <w:rPr>
          <w:b/>
          <w:color w:val="auto"/>
        </w:rPr>
        <w:t xml:space="preserve">4. </w:t>
      </w:r>
      <w:r w:rsidRPr="00CE509E">
        <w:rPr>
          <w:b/>
          <w:bCs/>
          <w:color w:val="auto"/>
        </w:rPr>
        <w:t>Záväzky Slovenskej republiky vo vzťahu k Európskej únii</w:t>
      </w:r>
      <w:r w:rsidRPr="00CE509E">
        <w:rPr>
          <w:color w:val="auto"/>
        </w:rPr>
        <w:t xml:space="preserve">: </w:t>
      </w:r>
    </w:p>
    <w:p w14:paraId="0FBEFAA7" w14:textId="77777777" w:rsidR="002D3A2F" w:rsidRPr="00CE509E" w:rsidRDefault="002D3A2F" w:rsidP="002D3A2F">
      <w:pPr>
        <w:pStyle w:val="Default"/>
        <w:numPr>
          <w:ilvl w:val="0"/>
          <w:numId w:val="7"/>
        </w:numPr>
        <w:spacing w:after="120"/>
        <w:ind w:left="709" w:hanging="425"/>
        <w:jc w:val="both"/>
        <w:rPr>
          <w:color w:val="auto"/>
        </w:rPr>
      </w:pPr>
      <w:r w:rsidRPr="00CE509E">
        <w:rPr>
          <w:color w:val="auto"/>
        </w:rPr>
        <w:t>Lehota na prebranie právneho aktu Európskej únie: bezpredmetné</w:t>
      </w:r>
    </w:p>
    <w:p w14:paraId="0A9FCC6F" w14:textId="23DA6028" w:rsidR="00123A10" w:rsidRPr="00CE509E" w:rsidRDefault="001E3F68" w:rsidP="00820873">
      <w:pPr>
        <w:pStyle w:val="Default"/>
        <w:numPr>
          <w:ilvl w:val="0"/>
          <w:numId w:val="7"/>
        </w:numPr>
        <w:spacing w:after="120"/>
        <w:ind w:left="709" w:hanging="425"/>
        <w:jc w:val="both"/>
        <w:rPr>
          <w:color w:val="auto"/>
        </w:rPr>
      </w:pPr>
      <w:r w:rsidRPr="00CE509E">
        <w:rPr>
          <w:color w:val="auto"/>
        </w:rPr>
        <w:t>b</w:t>
      </w:r>
      <w:r w:rsidR="00C62B80" w:rsidRPr="00CE509E">
        <w:rPr>
          <w:color w:val="auto"/>
        </w:rPr>
        <w:t>ezpredmetné</w:t>
      </w:r>
    </w:p>
    <w:p w14:paraId="571C1877" w14:textId="0A8A4FB0" w:rsidR="002D3A2F" w:rsidRPr="00CE509E" w:rsidRDefault="001E3F68" w:rsidP="002B0D7E">
      <w:pPr>
        <w:pStyle w:val="Default"/>
        <w:numPr>
          <w:ilvl w:val="0"/>
          <w:numId w:val="7"/>
        </w:numPr>
        <w:ind w:left="709" w:hanging="425"/>
        <w:jc w:val="both"/>
        <w:rPr>
          <w:color w:val="auto"/>
        </w:rPr>
      </w:pPr>
      <w:r w:rsidRPr="00CE509E">
        <w:rPr>
          <w:color w:val="auto"/>
        </w:rPr>
        <w:t>b</w:t>
      </w:r>
      <w:r w:rsidR="002D3A2F" w:rsidRPr="00CE509E">
        <w:rPr>
          <w:color w:val="auto"/>
        </w:rPr>
        <w:t>ezpredmetné</w:t>
      </w:r>
    </w:p>
    <w:p w14:paraId="528B3732" w14:textId="77777777" w:rsidR="005261A1" w:rsidRPr="00CE509E" w:rsidRDefault="005261A1" w:rsidP="00522E66">
      <w:pPr>
        <w:pStyle w:val="Default"/>
        <w:ind w:firstLine="425"/>
        <w:jc w:val="both"/>
        <w:rPr>
          <w:color w:val="auto"/>
        </w:rPr>
      </w:pPr>
    </w:p>
    <w:p w14:paraId="13647505" w14:textId="20F9A8A1" w:rsidR="005C77C9" w:rsidRPr="00CE509E" w:rsidRDefault="00D477C6" w:rsidP="00522E66">
      <w:pPr>
        <w:pStyle w:val="Default"/>
        <w:spacing w:after="120"/>
        <w:rPr>
          <w:color w:val="auto"/>
        </w:rPr>
      </w:pPr>
      <w:r w:rsidRPr="00CE509E">
        <w:rPr>
          <w:b/>
          <w:color w:val="auto"/>
        </w:rPr>
        <w:t xml:space="preserve">5. </w:t>
      </w:r>
      <w:r w:rsidRPr="00CE509E">
        <w:rPr>
          <w:b/>
          <w:bCs/>
          <w:color w:val="auto"/>
        </w:rPr>
        <w:t>Návrh zákona je zlučiteľný s právom Európskej únie</w:t>
      </w:r>
      <w:r w:rsidRPr="00CE509E">
        <w:rPr>
          <w:color w:val="auto"/>
        </w:rPr>
        <w:t xml:space="preserve">: </w:t>
      </w:r>
    </w:p>
    <w:p w14:paraId="00E50B60" w14:textId="07F1B166" w:rsidR="005C77C9" w:rsidRPr="00CE509E" w:rsidRDefault="00D477C6" w:rsidP="005C77C9">
      <w:pPr>
        <w:pStyle w:val="Default"/>
        <w:ind w:firstLine="284"/>
        <w:jc w:val="both"/>
        <w:rPr>
          <w:color w:val="auto"/>
        </w:rPr>
      </w:pPr>
      <w:r w:rsidRPr="00CE509E">
        <w:rPr>
          <w:color w:val="auto"/>
        </w:rPr>
        <w:t>a) úplne</w:t>
      </w:r>
      <w:r w:rsidR="00DC4E22" w:rsidRPr="00CE509E">
        <w:rPr>
          <w:color w:val="auto"/>
        </w:rPr>
        <w:t>.</w:t>
      </w:r>
    </w:p>
    <w:p w14:paraId="5A5D20DE" w14:textId="6A0B7B3B" w:rsidR="00786FC7" w:rsidRPr="00CE509E" w:rsidRDefault="00786FC7" w:rsidP="00786FC7">
      <w:pPr>
        <w:pStyle w:val="Default"/>
        <w:jc w:val="both"/>
        <w:rPr>
          <w:color w:val="auto"/>
        </w:rPr>
      </w:pPr>
    </w:p>
    <w:sectPr w:rsidR="00786FC7" w:rsidRPr="00CE509E" w:rsidSect="00C0256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87DA0" w14:textId="77777777" w:rsidR="007E789F" w:rsidRDefault="007E789F" w:rsidP="00C0256F">
      <w:pPr>
        <w:spacing w:after="0" w:line="240" w:lineRule="auto"/>
      </w:pPr>
      <w:r>
        <w:separator/>
      </w:r>
    </w:p>
  </w:endnote>
  <w:endnote w:type="continuationSeparator" w:id="0">
    <w:p w14:paraId="0BC69C6C" w14:textId="77777777" w:rsidR="007E789F" w:rsidRDefault="007E789F" w:rsidP="00C0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9AD57" w14:textId="09633371" w:rsidR="00C0256F" w:rsidRPr="00BD7BFB" w:rsidRDefault="00C0256F">
    <w:pPr>
      <w:pStyle w:val="Pta"/>
      <w:jc w:val="center"/>
      <w:rPr>
        <w:rFonts w:ascii="Times New Roman" w:hAnsi="Times New Roman"/>
        <w:sz w:val="24"/>
        <w:szCs w:val="24"/>
      </w:rPr>
    </w:pPr>
    <w:r w:rsidRPr="00BD7BFB">
      <w:rPr>
        <w:rFonts w:ascii="Times New Roman" w:hAnsi="Times New Roman"/>
        <w:sz w:val="24"/>
        <w:szCs w:val="24"/>
      </w:rPr>
      <w:fldChar w:fldCharType="begin"/>
    </w:r>
    <w:r w:rsidRPr="00BD7BFB">
      <w:rPr>
        <w:rFonts w:ascii="Times New Roman" w:hAnsi="Times New Roman"/>
        <w:sz w:val="24"/>
        <w:szCs w:val="24"/>
      </w:rPr>
      <w:instrText>PAGE   \* MERGEFORMAT</w:instrText>
    </w:r>
    <w:r w:rsidRPr="00BD7BFB">
      <w:rPr>
        <w:rFonts w:ascii="Times New Roman" w:hAnsi="Times New Roman"/>
        <w:sz w:val="24"/>
        <w:szCs w:val="24"/>
      </w:rPr>
      <w:fldChar w:fldCharType="separate"/>
    </w:r>
    <w:r w:rsidR="0038749B">
      <w:rPr>
        <w:rFonts w:ascii="Times New Roman" w:hAnsi="Times New Roman"/>
        <w:noProof/>
        <w:sz w:val="24"/>
        <w:szCs w:val="24"/>
      </w:rPr>
      <w:t>2</w:t>
    </w:r>
    <w:r w:rsidRPr="00BD7BFB">
      <w:rPr>
        <w:rFonts w:ascii="Times New Roman" w:hAnsi="Times New Roman"/>
        <w:sz w:val="24"/>
        <w:szCs w:val="24"/>
      </w:rPr>
      <w:fldChar w:fldCharType="end"/>
    </w:r>
  </w:p>
  <w:p w14:paraId="406BB40E" w14:textId="77777777" w:rsidR="00C0256F" w:rsidRDefault="00C0256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920E1" w14:textId="77777777" w:rsidR="007E789F" w:rsidRDefault="007E789F" w:rsidP="00C0256F">
      <w:pPr>
        <w:spacing w:after="0" w:line="240" w:lineRule="auto"/>
      </w:pPr>
      <w:r>
        <w:separator/>
      </w:r>
    </w:p>
  </w:footnote>
  <w:footnote w:type="continuationSeparator" w:id="0">
    <w:p w14:paraId="51DD85F8" w14:textId="77777777" w:rsidR="007E789F" w:rsidRDefault="007E789F" w:rsidP="00C0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1127"/>
    <w:multiLevelType w:val="hybridMultilevel"/>
    <w:tmpl w:val="2A543826"/>
    <w:lvl w:ilvl="0" w:tplc="F624844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6DA0D4C"/>
    <w:multiLevelType w:val="hybridMultilevel"/>
    <w:tmpl w:val="E41E0A6A"/>
    <w:lvl w:ilvl="0" w:tplc="C7245E52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3566BCD"/>
    <w:multiLevelType w:val="hybridMultilevel"/>
    <w:tmpl w:val="D9728B0A"/>
    <w:lvl w:ilvl="0" w:tplc="27DA5C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1D340772"/>
    <w:multiLevelType w:val="hybridMultilevel"/>
    <w:tmpl w:val="C69C037C"/>
    <w:lvl w:ilvl="0" w:tplc="C7245E52">
      <w:start w:val="6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8573D05"/>
    <w:multiLevelType w:val="hybridMultilevel"/>
    <w:tmpl w:val="F12007DA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19177F"/>
    <w:multiLevelType w:val="hybridMultilevel"/>
    <w:tmpl w:val="242AAC42"/>
    <w:lvl w:ilvl="0" w:tplc="041B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F27288C"/>
    <w:multiLevelType w:val="hybridMultilevel"/>
    <w:tmpl w:val="58AA0166"/>
    <w:lvl w:ilvl="0" w:tplc="C7245E52">
      <w:start w:val="6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17C0F16"/>
    <w:multiLevelType w:val="hybridMultilevel"/>
    <w:tmpl w:val="D026D9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DE4640"/>
    <w:multiLevelType w:val="hybridMultilevel"/>
    <w:tmpl w:val="9220519C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7493C09"/>
    <w:multiLevelType w:val="hybridMultilevel"/>
    <w:tmpl w:val="A956FAF4"/>
    <w:lvl w:ilvl="0" w:tplc="041B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3D86752C"/>
    <w:multiLevelType w:val="hybridMultilevel"/>
    <w:tmpl w:val="EF9AA556"/>
    <w:lvl w:ilvl="0" w:tplc="7A188F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2877E6B"/>
    <w:multiLevelType w:val="hybridMultilevel"/>
    <w:tmpl w:val="6318041A"/>
    <w:lvl w:ilvl="0" w:tplc="041B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44135608"/>
    <w:multiLevelType w:val="hybridMultilevel"/>
    <w:tmpl w:val="B61E393C"/>
    <w:lvl w:ilvl="0" w:tplc="CCE890C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78462D8"/>
    <w:multiLevelType w:val="hybridMultilevel"/>
    <w:tmpl w:val="97CE3F86"/>
    <w:lvl w:ilvl="0" w:tplc="C7245E52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9811136"/>
    <w:multiLevelType w:val="hybridMultilevel"/>
    <w:tmpl w:val="7010A658"/>
    <w:lvl w:ilvl="0" w:tplc="AF40C91A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89461EE"/>
    <w:multiLevelType w:val="hybridMultilevel"/>
    <w:tmpl w:val="4074F60C"/>
    <w:lvl w:ilvl="0" w:tplc="C7245E52">
      <w:start w:val="6"/>
      <w:numFmt w:val="bullet"/>
      <w:lvlText w:val="-"/>
      <w:lvlJc w:val="left"/>
      <w:pPr>
        <w:ind w:left="144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6" w15:restartNumberingAfterBreak="0">
    <w:nsid w:val="595F642B"/>
    <w:multiLevelType w:val="hybridMultilevel"/>
    <w:tmpl w:val="08F27E80"/>
    <w:lvl w:ilvl="0" w:tplc="D518A484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5BBB4D27"/>
    <w:multiLevelType w:val="hybridMultilevel"/>
    <w:tmpl w:val="317E2646"/>
    <w:lvl w:ilvl="0" w:tplc="C7245E52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C132A8"/>
    <w:multiLevelType w:val="hybridMultilevel"/>
    <w:tmpl w:val="1C6E12CA"/>
    <w:lvl w:ilvl="0" w:tplc="C7245E52">
      <w:start w:val="6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C962111"/>
    <w:multiLevelType w:val="hybridMultilevel"/>
    <w:tmpl w:val="6AB64F88"/>
    <w:lvl w:ilvl="0" w:tplc="C7245E5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A36555"/>
    <w:multiLevelType w:val="hybridMultilevel"/>
    <w:tmpl w:val="E6783C44"/>
    <w:lvl w:ilvl="0" w:tplc="561836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6E8830F9"/>
    <w:multiLevelType w:val="hybridMultilevel"/>
    <w:tmpl w:val="EA567B9C"/>
    <w:lvl w:ilvl="0" w:tplc="C7245E52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F6C55B6"/>
    <w:multiLevelType w:val="hybridMultilevel"/>
    <w:tmpl w:val="034CCDDC"/>
    <w:lvl w:ilvl="0" w:tplc="C7245E52">
      <w:start w:val="6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744A7E43"/>
    <w:multiLevelType w:val="hybridMultilevel"/>
    <w:tmpl w:val="9F0405A0"/>
    <w:lvl w:ilvl="0" w:tplc="C7245E52">
      <w:start w:val="6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78DE3B94"/>
    <w:multiLevelType w:val="hybridMultilevel"/>
    <w:tmpl w:val="700E4860"/>
    <w:lvl w:ilvl="0" w:tplc="3AC29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2945BF"/>
    <w:multiLevelType w:val="hybridMultilevel"/>
    <w:tmpl w:val="D8D27F54"/>
    <w:lvl w:ilvl="0" w:tplc="60E00A1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22"/>
  </w:num>
  <w:num w:numId="5">
    <w:abstractNumId w:val="0"/>
  </w:num>
  <w:num w:numId="6">
    <w:abstractNumId w:val="21"/>
  </w:num>
  <w:num w:numId="7">
    <w:abstractNumId w:val="4"/>
  </w:num>
  <w:num w:numId="8">
    <w:abstractNumId w:val="12"/>
  </w:num>
  <w:num w:numId="9">
    <w:abstractNumId w:val="19"/>
  </w:num>
  <w:num w:numId="10">
    <w:abstractNumId w:val="7"/>
  </w:num>
  <w:num w:numId="11">
    <w:abstractNumId w:val="6"/>
  </w:num>
  <w:num w:numId="12">
    <w:abstractNumId w:val="15"/>
  </w:num>
  <w:num w:numId="13">
    <w:abstractNumId w:val="3"/>
  </w:num>
  <w:num w:numId="14">
    <w:abstractNumId w:val="18"/>
  </w:num>
  <w:num w:numId="15">
    <w:abstractNumId w:val="23"/>
  </w:num>
  <w:num w:numId="16">
    <w:abstractNumId w:val="13"/>
  </w:num>
  <w:num w:numId="17">
    <w:abstractNumId w:val="9"/>
  </w:num>
  <w:num w:numId="18">
    <w:abstractNumId w:val="2"/>
  </w:num>
  <w:num w:numId="19">
    <w:abstractNumId w:val="5"/>
  </w:num>
  <w:num w:numId="20">
    <w:abstractNumId w:val="25"/>
  </w:num>
  <w:num w:numId="21">
    <w:abstractNumId w:val="11"/>
  </w:num>
  <w:num w:numId="22">
    <w:abstractNumId w:val="20"/>
  </w:num>
  <w:num w:numId="23">
    <w:abstractNumId w:val="17"/>
  </w:num>
  <w:num w:numId="24">
    <w:abstractNumId w:val="8"/>
  </w:num>
  <w:num w:numId="25">
    <w:abstractNumId w:val="2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C6"/>
    <w:rsid w:val="000106FD"/>
    <w:rsid w:val="00014748"/>
    <w:rsid w:val="000150A9"/>
    <w:rsid w:val="00015774"/>
    <w:rsid w:val="0002145F"/>
    <w:rsid w:val="00025AC9"/>
    <w:rsid w:val="0003770F"/>
    <w:rsid w:val="00065D9F"/>
    <w:rsid w:val="00067F6B"/>
    <w:rsid w:val="0007701E"/>
    <w:rsid w:val="0008020A"/>
    <w:rsid w:val="000C7278"/>
    <w:rsid w:val="000C7411"/>
    <w:rsid w:val="000D52F2"/>
    <w:rsid w:val="000E409E"/>
    <w:rsid w:val="000F320D"/>
    <w:rsid w:val="000F7A2D"/>
    <w:rsid w:val="00115465"/>
    <w:rsid w:val="00123A10"/>
    <w:rsid w:val="00123FC6"/>
    <w:rsid w:val="001335BD"/>
    <w:rsid w:val="00172309"/>
    <w:rsid w:val="00173B93"/>
    <w:rsid w:val="001770A0"/>
    <w:rsid w:val="001929F2"/>
    <w:rsid w:val="001C3724"/>
    <w:rsid w:val="001D2A92"/>
    <w:rsid w:val="001D44F3"/>
    <w:rsid w:val="001E2CC2"/>
    <w:rsid w:val="001E3F68"/>
    <w:rsid w:val="001E4004"/>
    <w:rsid w:val="001F1416"/>
    <w:rsid w:val="001F2D85"/>
    <w:rsid w:val="002044C9"/>
    <w:rsid w:val="002207D0"/>
    <w:rsid w:val="0024148C"/>
    <w:rsid w:val="00250702"/>
    <w:rsid w:val="00250C07"/>
    <w:rsid w:val="00256974"/>
    <w:rsid w:val="002649CF"/>
    <w:rsid w:val="002654FB"/>
    <w:rsid w:val="00275E6D"/>
    <w:rsid w:val="0028622A"/>
    <w:rsid w:val="00295761"/>
    <w:rsid w:val="00297172"/>
    <w:rsid w:val="002A65A3"/>
    <w:rsid w:val="002A7891"/>
    <w:rsid w:val="002B0D7E"/>
    <w:rsid w:val="002C4C92"/>
    <w:rsid w:val="002D3A2F"/>
    <w:rsid w:val="002F0E8B"/>
    <w:rsid w:val="00304621"/>
    <w:rsid w:val="0032029B"/>
    <w:rsid w:val="00321A8E"/>
    <w:rsid w:val="0033408B"/>
    <w:rsid w:val="0033529C"/>
    <w:rsid w:val="003553BD"/>
    <w:rsid w:val="0035732A"/>
    <w:rsid w:val="00362DA9"/>
    <w:rsid w:val="00366D39"/>
    <w:rsid w:val="00384148"/>
    <w:rsid w:val="00385DC7"/>
    <w:rsid w:val="0038749B"/>
    <w:rsid w:val="003A2124"/>
    <w:rsid w:val="003A722A"/>
    <w:rsid w:val="003B04EF"/>
    <w:rsid w:val="003D7A35"/>
    <w:rsid w:val="00405A19"/>
    <w:rsid w:val="00426532"/>
    <w:rsid w:val="0043053C"/>
    <w:rsid w:val="00436136"/>
    <w:rsid w:val="00440617"/>
    <w:rsid w:val="004446BB"/>
    <w:rsid w:val="00445CD8"/>
    <w:rsid w:val="004908E7"/>
    <w:rsid w:val="00493BFC"/>
    <w:rsid w:val="004A2235"/>
    <w:rsid w:val="004B42A1"/>
    <w:rsid w:val="004D2CDE"/>
    <w:rsid w:val="00504DDA"/>
    <w:rsid w:val="00510A98"/>
    <w:rsid w:val="00522E66"/>
    <w:rsid w:val="005261A1"/>
    <w:rsid w:val="00526FA6"/>
    <w:rsid w:val="00527ED4"/>
    <w:rsid w:val="005355D0"/>
    <w:rsid w:val="005359A4"/>
    <w:rsid w:val="005411BA"/>
    <w:rsid w:val="0054127C"/>
    <w:rsid w:val="005542B1"/>
    <w:rsid w:val="005577F8"/>
    <w:rsid w:val="00563DB8"/>
    <w:rsid w:val="0059553C"/>
    <w:rsid w:val="005A6D71"/>
    <w:rsid w:val="005B1A1C"/>
    <w:rsid w:val="005B5980"/>
    <w:rsid w:val="005C4741"/>
    <w:rsid w:val="005C62F6"/>
    <w:rsid w:val="005C77C9"/>
    <w:rsid w:val="005D5436"/>
    <w:rsid w:val="005D5647"/>
    <w:rsid w:val="005E5929"/>
    <w:rsid w:val="005E7432"/>
    <w:rsid w:val="005F516C"/>
    <w:rsid w:val="0060584D"/>
    <w:rsid w:val="006174F0"/>
    <w:rsid w:val="00623B83"/>
    <w:rsid w:val="006278CC"/>
    <w:rsid w:val="00631E10"/>
    <w:rsid w:val="00635F76"/>
    <w:rsid w:val="00656D16"/>
    <w:rsid w:val="0066277B"/>
    <w:rsid w:val="00662CB3"/>
    <w:rsid w:val="00671C12"/>
    <w:rsid w:val="00672B5B"/>
    <w:rsid w:val="00680431"/>
    <w:rsid w:val="00686DEA"/>
    <w:rsid w:val="00690F4C"/>
    <w:rsid w:val="006A2F81"/>
    <w:rsid w:val="006A6368"/>
    <w:rsid w:val="006B0D1F"/>
    <w:rsid w:val="006C2B9E"/>
    <w:rsid w:val="006D1147"/>
    <w:rsid w:val="006D5F68"/>
    <w:rsid w:val="006E3DA3"/>
    <w:rsid w:val="006F0535"/>
    <w:rsid w:val="006F6E3B"/>
    <w:rsid w:val="00701228"/>
    <w:rsid w:val="00705A73"/>
    <w:rsid w:val="007145EF"/>
    <w:rsid w:val="00717F15"/>
    <w:rsid w:val="00726873"/>
    <w:rsid w:val="00733891"/>
    <w:rsid w:val="00757BC8"/>
    <w:rsid w:val="007844DF"/>
    <w:rsid w:val="00786FC7"/>
    <w:rsid w:val="007A7847"/>
    <w:rsid w:val="007C16EE"/>
    <w:rsid w:val="007C7C86"/>
    <w:rsid w:val="007D0368"/>
    <w:rsid w:val="007D540C"/>
    <w:rsid w:val="007D630E"/>
    <w:rsid w:val="007D6486"/>
    <w:rsid w:val="007E1772"/>
    <w:rsid w:val="007E789F"/>
    <w:rsid w:val="007F4B73"/>
    <w:rsid w:val="00812B52"/>
    <w:rsid w:val="00815B76"/>
    <w:rsid w:val="00820873"/>
    <w:rsid w:val="00831604"/>
    <w:rsid w:val="008472A4"/>
    <w:rsid w:val="00851273"/>
    <w:rsid w:val="00860B50"/>
    <w:rsid w:val="008657EC"/>
    <w:rsid w:val="00867209"/>
    <w:rsid w:val="008674FC"/>
    <w:rsid w:val="00874129"/>
    <w:rsid w:val="00876FA0"/>
    <w:rsid w:val="00882BB7"/>
    <w:rsid w:val="008A34EF"/>
    <w:rsid w:val="008B6AE4"/>
    <w:rsid w:val="008D5141"/>
    <w:rsid w:val="008D6DE9"/>
    <w:rsid w:val="008E7394"/>
    <w:rsid w:val="008F01BC"/>
    <w:rsid w:val="00924918"/>
    <w:rsid w:val="00924A22"/>
    <w:rsid w:val="00957B93"/>
    <w:rsid w:val="00961C1C"/>
    <w:rsid w:val="009634A9"/>
    <w:rsid w:val="00965293"/>
    <w:rsid w:val="00994F14"/>
    <w:rsid w:val="009B36D5"/>
    <w:rsid w:val="009C208E"/>
    <w:rsid w:val="009C4290"/>
    <w:rsid w:val="009C7E94"/>
    <w:rsid w:val="009D00F7"/>
    <w:rsid w:val="009D619C"/>
    <w:rsid w:val="009E0F8E"/>
    <w:rsid w:val="009E3989"/>
    <w:rsid w:val="009E574F"/>
    <w:rsid w:val="00A10475"/>
    <w:rsid w:val="00A152EA"/>
    <w:rsid w:val="00A15C20"/>
    <w:rsid w:val="00A34E49"/>
    <w:rsid w:val="00A53B5D"/>
    <w:rsid w:val="00A5566C"/>
    <w:rsid w:val="00A66221"/>
    <w:rsid w:val="00A70F21"/>
    <w:rsid w:val="00A80022"/>
    <w:rsid w:val="00A94DCA"/>
    <w:rsid w:val="00A966DE"/>
    <w:rsid w:val="00AA3326"/>
    <w:rsid w:val="00AB0192"/>
    <w:rsid w:val="00AB0B74"/>
    <w:rsid w:val="00AC7480"/>
    <w:rsid w:val="00AD0EE3"/>
    <w:rsid w:val="00AE1442"/>
    <w:rsid w:val="00AE6EC1"/>
    <w:rsid w:val="00AF7F1E"/>
    <w:rsid w:val="00B13A04"/>
    <w:rsid w:val="00B154D7"/>
    <w:rsid w:val="00B20BD9"/>
    <w:rsid w:val="00B21E4D"/>
    <w:rsid w:val="00B3025E"/>
    <w:rsid w:val="00B357E2"/>
    <w:rsid w:val="00B3706F"/>
    <w:rsid w:val="00B455B2"/>
    <w:rsid w:val="00B5447B"/>
    <w:rsid w:val="00B70415"/>
    <w:rsid w:val="00B76A91"/>
    <w:rsid w:val="00B823D3"/>
    <w:rsid w:val="00BA2D26"/>
    <w:rsid w:val="00BA757D"/>
    <w:rsid w:val="00BC7CD7"/>
    <w:rsid w:val="00BD7BFB"/>
    <w:rsid w:val="00C00052"/>
    <w:rsid w:val="00C0256F"/>
    <w:rsid w:val="00C02A16"/>
    <w:rsid w:val="00C06377"/>
    <w:rsid w:val="00C16A50"/>
    <w:rsid w:val="00C22391"/>
    <w:rsid w:val="00C27DEC"/>
    <w:rsid w:val="00C31C51"/>
    <w:rsid w:val="00C53F8F"/>
    <w:rsid w:val="00C57F51"/>
    <w:rsid w:val="00C619EA"/>
    <w:rsid w:val="00C62B80"/>
    <w:rsid w:val="00C749D4"/>
    <w:rsid w:val="00C95931"/>
    <w:rsid w:val="00CA3AC3"/>
    <w:rsid w:val="00CA5B8C"/>
    <w:rsid w:val="00CB7447"/>
    <w:rsid w:val="00CD45B2"/>
    <w:rsid w:val="00CD47D0"/>
    <w:rsid w:val="00CD72B3"/>
    <w:rsid w:val="00CE3A43"/>
    <w:rsid w:val="00CE509E"/>
    <w:rsid w:val="00CE6B13"/>
    <w:rsid w:val="00D1262E"/>
    <w:rsid w:val="00D234DE"/>
    <w:rsid w:val="00D24641"/>
    <w:rsid w:val="00D31B21"/>
    <w:rsid w:val="00D477C6"/>
    <w:rsid w:val="00D5087A"/>
    <w:rsid w:val="00D6282B"/>
    <w:rsid w:val="00D65722"/>
    <w:rsid w:val="00D70536"/>
    <w:rsid w:val="00D72B7B"/>
    <w:rsid w:val="00D875F8"/>
    <w:rsid w:val="00DC4E22"/>
    <w:rsid w:val="00DC73F3"/>
    <w:rsid w:val="00DD3466"/>
    <w:rsid w:val="00DD7673"/>
    <w:rsid w:val="00DE4143"/>
    <w:rsid w:val="00E2601F"/>
    <w:rsid w:val="00E366ED"/>
    <w:rsid w:val="00E37A80"/>
    <w:rsid w:val="00E404D9"/>
    <w:rsid w:val="00E45666"/>
    <w:rsid w:val="00E472F0"/>
    <w:rsid w:val="00E61F59"/>
    <w:rsid w:val="00E821A6"/>
    <w:rsid w:val="00E83250"/>
    <w:rsid w:val="00E9475E"/>
    <w:rsid w:val="00E94A33"/>
    <w:rsid w:val="00E9648E"/>
    <w:rsid w:val="00E97855"/>
    <w:rsid w:val="00EA0F3C"/>
    <w:rsid w:val="00EC03A3"/>
    <w:rsid w:val="00EC5B1A"/>
    <w:rsid w:val="00EF0626"/>
    <w:rsid w:val="00EF3413"/>
    <w:rsid w:val="00F27130"/>
    <w:rsid w:val="00F3578E"/>
    <w:rsid w:val="00F41CEF"/>
    <w:rsid w:val="00F4468A"/>
    <w:rsid w:val="00F639AD"/>
    <w:rsid w:val="00F73637"/>
    <w:rsid w:val="00F853DB"/>
    <w:rsid w:val="00F92882"/>
    <w:rsid w:val="00FB04C8"/>
    <w:rsid w:val="00FB094A"/>
    <w:rsid w:val="00FB58D8"/>
    <w:rsid w:val="00FC464D"/>
    <w:rsid w:val="00FC6A37"/>
    <w:rsid w:val="00FD3EDB"/>
    <w:rsid w:val="00FE2B35"/>
    <w:rsid w:val="00FE6EF0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FAC50"/>
  <w14:defaultImageDpi w14:val="0"/>
  <w15:docId w15:val="{6770A4D8-90B2-46A0-B886-BF5627B6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477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D477C6"/>
    <w:rPr>
      <w:rFonts w:cs="Times New Roman"/>
      <w:b/>
      <w:bCs/>
    </w:rPr>
  </w:style>
  <w:style w:type="character" w:styleId="Zvraznenie">
    <w:name w:val="Emphasis"/>
    <w:basedOn w:val="Predvolenpsmoodseku"/>
    <w:uiPriority w:val="99"/>
    <w:qFormat/>
    <w:rsid w:val="001929F2"/>
    <w:rPr>
      <w:rFonts w:cs="Times New Roman"/>
      <w:i/>
      <w:iCs/>
    </w:rPr>
  </w:style>
  <w:style w:type="paragraph" w:customStyle="1" w:styleId="nariadenia">
    <w:name w:val="nariadenia"/>
    <w:basedOn w:val="Normlny"/>
    <w:uiPriority w:val="99"/>
    <w:rsid w:val="001929F2"/>
    <w:pPr>
      <w:spacing w:after="0" w:line="240" w:lineRule="auto"/>
      <w:ind w:left="567" w:hanging="567"/>
      <w:jc w:val="both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CharChar1">
    <w:name w:val="Char Char1"/>
    <w:basedOn w:val="Normlny"/>
    <w:uiPriority w:val="99"/>
    <w:rsid w:val="001929F2"/>
    <w:pPr>
      <w:spacing w:line="240" w:lineRule="exact"/>
    </w:pPr>
    <w:rPr>
      <w:rFonts w:ascii="Tahoma" w:hAnsi="Tahoma" w:cs="Tahoma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C0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0256F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C0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C0256F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F01BC"/>
    <w:rPr>
      <w:rFonts w:ascii="Segoe UI" w:hAnsi="Segoe UI" w:cs="Segoe UI"/>
      <w:sz w:val="18"/>
      <w:szCs w:val="18"/>
    </w:rPr>
  </w:style>
  <w:style w:type="character" w:customStyle="1" w:styleId="boldface">
    <w:name w:val="boldface"/>
    <w:basedOn w:val="Predvolenpsmoodseku"/>
    <w:rsid w:val="00635F76"/>
    <w:rPr>
      <w:rFonts w:cs="Times New Roman"/>
      <w:b/>
      <w:bCs/>
    </w:rPr>
  </w:style>
  <w:style w:type="paragraph" w:styleId="Odsekzoznamu">
    <w:name w:val="List Paragraph"/>
    <w:basedOn w:val="Normlny"/>
    <w:uiPriority w:val="34"/>
    <w:qFormat/>
    <w:rsid w:val="00A966D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36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3613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36136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36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36136"/>
    <w:rPr>
      <w:rFonts w:cs="Times New Roman"/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786FC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786FC7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">
    <w:name w:val="Základní text"/>
    <w:uiPriority w:val="99"/>
    <w:rsid w:val="00786FC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customStyle="1" w:styleId="c02alineaalta">
    <w:name w:val="c02alineaalta"/>
    <w:basedOn w:val="Normlny"/>
    <w:uiPriority w:val="99"/>
    <w:rsid w:val="00786FC7"/>
    <w:pPr>
      <w:spacing w:after="240" w:line="240" w:lineRule="auto"/>
      <w:ind w:left="567"/>
      <w:jc w:val="both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5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615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2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614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2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52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2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2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2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26145">
                                                      <w:marLeft w:val="450"/>
                                                      <w:marRight w:val="45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8" w:color="112449"/>
                                                        <w:left w:val="single" w:sz="6" w:space="8" w:color="112449"/>
                                                        <w:bottom w:val="single" w:sz="6" w:space="8" w:color="112449"/>
                                                        <w:right w:val="single" w:sz="6" w:space="8" w:color="11244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52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73062-374D-4BDD-B097-732E90E7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8205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Bittnerova Iveta</dc:creator>
  <cp:keywords/>
  <dc:description/>
  <cp:lastModifiedBy>Bittnerova Iveta</cp:lastModifiedBy>
  <cp:revision>6</cp:revision>
  <cp:lastPrinted>2022-05-26T13:22:00Z</cp:lastPrinted>
  <dcterms:created xsi:type="dcterms:W3CDTF">2022-05-19T09:19:00Z</dcterms:created>
  <dcterms:modified xsi:type="dcterms:W3CDTF">2022-05-31T08:21:00Z</dcterms:modified>
</cp:coreProperties>
</file>