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80C2E" w14:textId="77777777" w:rsidR="00B04AC1" w:rsidRPr="0008694F" w:rsidRDefault="0008694F" w:rsidP="0008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4F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45882E2E" w14:textId="77777777" w:rsidR="0008694F" w:rsidRPr="0008694F" w:rsidRDefault="0008694F" w:rsidP="0008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1BDCE" w14:textId="3B0C86AF" w:rsidR="0008694F" w:rsidRPr="00895E96" w:rsidRDefault="0008694F" w:rsidP="00086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94F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14:paraId="532B675E" w14:textId="77777777" w:rsidR="00E027AC" w:rsidRPr="00895E96" w:rsidRDefault="00A96247" w:rsidP="00895E96">
      <w:pPr>
        <w:pStyle w:val="Normlnywebov"/>
        <w:spacing w:before="240" w:beforeAutospacing="0"/>
        <w:ind w:firstLine="708"/>
        <w:jc w:val="both"/>
      </w:pPr>
      <w:r w:rsidRPr="00895E96">
        <w:t>Úrad vlády Slovenskej republiky</w:t>
      </w:r>
      <w:r w:rsidR="00FD7871" w:rsidRPr="00895E96">
        <w:t xml:space="preserve"> predkladá </w:t>
      </w:r>
      <w:r w:rsidR="00E027AC" w:rsidRPr="00895E96">
        <w:t xml:space="preserve">na rokovanie Legislatívnej rady vlády Slovenskej republiky </w:t>
      </w:r>
      <w:r w:rsidR="008800D8" w:rsidRPr="00895E96">
        <w:t>návrh zákona</w:t>
      </w:r>
      <w:r w:rsidR="00613B2E" w:rsidRPr="00895E96">
        <w:t>, ktorým sa mení a dopĺňa zákon č. 54/2019 Z. z. o ochrane oznamovateľov protispoločenskej činnosti a o zmene a doplnení niektorých zákonov a ktorým sa menia a dopĺňajú niektoré zákony (ďalej len „návrh zákona“).</w:t>
      </w:r>
    </w:p>
    <w:p w14:paraId="27FB6666" w14:textId="45D13D05" w:rsidR="00613B2E" w:rsidRPr="00895E96" w:rsidRDefault="00613B2E" w:rsidP="00895E96">
      <w:pPr>
        <w:pStyle w:val="Normlnywebov"/>
        <w:spacing w:before="240" w:beforeAutospacing="0"/>
        <w:ind w:firstLine="708"/>
        <w:jc w:val="both"/>
      </w:pPr>
      <w:r w:rsidRPr="00895E96">
        <w:t xml:space="preserve">Návrh zákona predstavuje realizáciu úlohy B.1 uznesenia vlády Slovenskej republiky </w:t>
      </w:r>
      <w:r w:rsidR="00895E96">
        <w:t xml:space="preserve">                                                                 </w:t>
      </w:r>
      <w:r w:rsidRPr="00895E96">
        <w:t>č. 340 zo 16. júna 2021 k „</w:t>
      </w:r>
      <w:r w:rsidRPr="00895E96">
        <w:rPr>
          <w:i/>
        </w:rPr>
        <w:t>Plánu legislatívnych úloh vlády Slovenskej republiky na mesiace jún až december 2021</w:t>
      </w:r>
      <w:r w:rsidRPr="00895E96">
        <w:t xml:space="preserve">“, úlohy B.17 uznesenia vlády č. 468 z 15. júla 2020 k </w:t>
      </w:r>
      <w:r w:rsidRPr="00895E96">
        <w:rPr>
          <w:i/>
        </w:rPr>
        <w:t>„návrhu na určenie gestorských ústredných orgánov štátnej správy a niektorých orgánov verejnej moci zodpovedných za prebratie a aplikáciu smerníc“</w:t>
      </w:r>
      <w:r w:rsidRPr="00895E96">
        <w:t xml:space="preserve"> a úlohy č. 27 Plánu legislatívnych úloh vlády na rok 2021. </w:t>
      </w:r>
    </w:p>
    <w:p w14:paraId="72941B63" w14:textId="77777777" w:rsidR="00CD3475" w:rsidRPr="00895E96" w:rsidRDefault="00CD3475" w:rsidP="00895E96">
      <w:pPr>
        <w:pStyle w:val="Normlnywebov"/>
        <w:spacing w:before="240" w:beforeAutospacing="0"/>
        <w:ind w:firstLine="708"/>
        <w:jc w:val="both"/>
      </w:pPr>
      <w:r w:rsidRPr="00895E96">
        <w:t xml:space="preserve">Návrh zákona bol vypracovaný Úradom vlády Slovenskej republiky za aktívnej účasti zástupcov Úradu podpredsedu vlády, ktorý neriadi ministerstvo, Generálnej prokuratúry Slovenskej republiky, Protimonopolného úradu Slovenskej republiky a Úradu na ochranu oznamovateľov protispoločenskej činnosti. </w:t>
      </w:r>
    </w:p>
    <w:p w14:paraId="36EB97FB" w14:textId="619BC80D" w:rsidR="00613B2E" w:rsidRPr="00895E96" w:rsidRDefault="00613B2E" w:rsidP="00895E96">
      <w:pPr>
        <w:pStyle w:val="Normlnywebov"/>
        <w:spacing w:before="240" w:beforeAutospacing="0"/>
        <w:ind w:firstLine="708"/>
        <w:jc w:val="both"/>
      </w:pPr>
      <w:r w:rsidRPr="00895E96">
        <w:t>Zákon č. 54/2019 Z. z. o ochrane oznamovateľov protispoločenskej činnosti a o zmene a doplnení niektorých zákonov, ktorý a priori návrh zákona novelizuje nadobudol účinnosť 1. marca 2019 a nadviazal na poznatky, ktoré vyplynuli z praxe zákona č. 307/2014 Z. z. v znení zákona č. 125/2016 Z. z. Súčasne znenie dotknutého zákona nemožno považovať za znenie, ktoré by bolo v súlade s úniovým právom a preto je predmetom návrhu zákona najmä transpozícia smernice Európskeho parlamentu a Rady (EÚ) 2019/1937 z 23. októbra 2019 o ochrane osôb, ktoré</w:t>
      </w:r>
      <w:r w:rsidR="000802BC">
        <w:t xml:space="preserve"> nahlasujú porušenia práva Únie</w:t>
      </w:r>
      <w:r w:rsidR="0005669D">
        <w:t xml:space="preserve"> (</w:t>
      </w:r>
      <w:r w:rsidR="0005669D" w:rsidRPr="0005669D">
        <w:t xml:space="preserve">Ú. v. EÚ L 305, 26.11.2019) </w:t>
      </w:r>
      <w:r w:rsidR="000802BC">
        <w:t xml:space="preserve">v platnom znení </w:t>
      </w:r>
      <w:r w:rsidRPr="00895E96">
        <w:t xml:space="preserve">(ďalej len „smernica (EÚ) 2019/1937“). </w:t>
      </w:r>
      <w:r w:rsidR="00E337BA">
        <w:t>Obsahom návrhu zákona je najmä prebratie</w:t>
      </w:r>
      <w:bookmarkStart w:id="0" w:name="_GoBack"/>
      <w:bookmarkEnd w:id="0"/>
      <w:r w:rsidRPr="00895E96">
        <w:t xml:space="preserve"> jednotlivých článkov smernice (EÚ) 2019/1937 do súčasného znenia zákona. </w:t>
      </w:r>
      <w:r w:rsidR="00DE69A6">
        <w:t xml:space="preserve">Návrhom zákona sa nenavrhuje prísnejšia právna úprava, ako je právna úprava smernice (EÚ) 2019/1937. </w:t>
      </w:r>
      <w:r w:rsidRPr="00895E96">
        <w:t xml:space="preserve">Uvedená smernica (EÚ) 2019/1937 nadobudla účinnosť koncom roku 2019 a do dnešného dňa nebola dostatočne, v plnej miere a správne transponovaná do slovenského vnútroštátneho právneho poriadku. </w:t>
      </w:r>
    </w:p>
    <w:p w14:paraId="07324B22" w14:textId="4DE02463" w:rsidR="003B7958" w:rsidRPr="00895E96" w:rsidRDefault="00613B2E" w:rsidP="00895E96">
      <w:pPr>
        <w:pStyle w:val="Normlnywebov"/>
        <w:spacing w:before="240" w:beforeAutospacing="0"/>
        <w:ind w:firstLine="708"/>
        <w:jc w:val="both"/>
      </w:pPr>
      <w:r w:rsidRPr="00895E96">
        <w:t>Zároveň, n</w:t>
      </w:r>
      <w:r w:rsidR="00841DE4" w:rsidRPr="00895E96">
        <w:t xml:space="preserve">ávrh </w:t>
      </w:r>
      <w:r w:rsidRPr="00895E96">
        <w:t xml:space="preserve">zákona reaguje na viaceré nedostatky právnej úpravy, ktoré boli predkladateľom v spolupráci s Úradom na ochranu oznamovateľov protispoločenskej činnosti identifikované </w:t>
      </w:r>
      <w:r w:rsidR="00CD3475" w:rsidRPr="00895E96">
        <w:t xml:space="preserve">až </w:t>
      </w:r>
      <w:r w:rsidRPr="00895E96">
        <w:t xml:space="preserve">v aplikačnej praxi. Z tohto dôvodu </w:t>
      </w:r>
      <w:r w:rsidR="00CD3475" w:rsidRPr="00895E96">
        <w:t>návrh zákona mení a dopĺňa</w:t>
      </w:r>
      <w:r w:rsidR="00895E96">
        <w:t xml:space="preserve"> i</w:t>
      </w:r>
      <w:r w:rsidRPr="00895E96">
        <w:t xml:space="preserve"> usta</w:t>
      </w:r>
      <w:r w:rsidR="00CD3475" w:rsidRPr="00895E96">
        <w:t xml:space="preserve">novenia, ktoré sa priamo netýkajú </w:t>
      </w:r>
      <w:r w:rsidRPr="00895E96">
        <w:t xml:space="preserve">transpozície smernice (EÚ) 2019/1937. </w:t>
      </w:r>
    </w:p>
    <w:p w14:paraId="2F790DC0" w14:textId="77777777" w:rsidR="007543E5" w:rsidRPr="00895E96" w:rsidRDefault="008D45DB" w:rsidP="002718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E96">
        <w:rPr>
          <w:rFonts w:ascii="Times New Roman" w:hAnsi="Times New Roman" w:cs="Times New Roman"/>
          <w:sz w:val="24"/>
          <w:szCs w:val="24"/>
        </w:rPr>
        <w:t xml:space="preserve">Návrh </w:t>
      </w:r>
      <w:r w:rsidR="00CD3475" w:rsidRPr="00895E96">
        <w:rPr>
          <w:rFonts w:ascii="Times New Roman" w:hAnsi="Times New Roman" w:cs="Times New Roman"/>
          <w:sz w:val="24"/>
          <w:szCs w:val="24"/>
        </w:rPr>
        <w:t>zákona</w:t>
      </w:r>
      <w:r w:rsidRPr="00895E96">
        <w:rPr>
          <w:rFonts w:ascii="Times New Roman" w:hAnsi="Times New Roman" w:cs="Times New Roman"/>
          <w:sz w:val="24"/>
          <w:szCs w:val="24"/>
        </w:rPr>
        <w:t xml:space="preserve"> </w:t>
      </w:r>
      <w:r w:rsidR="00CD3475" w:rsidRPr="00895E96">
        <w:rPr>
          <w:rFonts w:ascii="Times New Roman" w:hAnsi="Times New Roman" w:cs="Times New Roman"/>
          <w:sz w:val="24"/>
          <w:szCs w:val="24"/>
        </w:rPr>
        <w:t>je kontinuitný vo vzťahu k platnej právnej úprave</w:t>
      </w:r>
      <w:r w:rsidR="00416906" w:rsidRPr="00895E96">
        <w:rPr>
          <w:rFonts w:ascii="Times New Roman" w:hAnsi="Times New Roman" w:cs="Times New Roman"/>
          <w:sz w:val="24"/>
          <w:szCs w:val="24"/>
        </w:rPr>
        <w:t>,</w:t>
      </w:r>
      <w:r w:rsidRPr="00895E96">
        <w:rPr>
          <w:rFonts w:ascii="Times New Roman" w:hAnsi="Times New Roman" w:cs="Times New Roman"/>
          <w:sz w:val="24"/>
          <w:szCs w:val="24"/>
        </w:rPr>
        <w:t xml:space="preserve"> z ktorej vychádza a na ktorú nadväzuje. Primárnym </w:t>
      </w:r>
      <w:r w:rsidR="007543E5" w:rsidRPr="00895E96">
        <w:rPr>
          <w:rFonts w:ascii="Times New Roman" w:hAnsi="Times New Roman" w:cs="Times New Roman"/>
          <w:sz w:val="24"/>
          <w:szCs w:val="24"/>
        </w:rPr>
        <w:t>cieľom</w:t>
      </w:r>
      <w:r w:rsidR="003B7958" w:rsidRPr="00895E96">
        <w:rPr>
          <w:rFonts w:ascii="Times New Roman" w:hAnsi="Times New Roman" w:cs="Times New Roman"/>
          <w:sz w:val="24"/>
          <w:szCs w:val="24"/>
        </w:rPr>
        <w:t xml:space="preserve"> </w:t>
      </w:r>
      <w:r w:rsidR="00CD3475" w:rsidRPr="00895E96">
        <w:rPr>
          <w:rFonts w:ascii="Times New Roman" w:hAnsi="Times New Roman" w:cs="Times New Roman"/>
          <w:sz w:val="24"/>
          <w:szCs w:val="24"/>
        </w:rPr>
        <w:t>návrhu zákona</w:t>
      </w:r>
      <w:r w:rsidR="003B7958" w:rsidRPr="00895E96">
        <w:rPr>
          <w:rFonts w:ascii="Times New Roman" w:hAnsi="Times New Roman" w:cs="Times New Roman"/>
          <w:sz w:val="24"/>
          <w:szCs w:val="24"/>
        </w:rPr>
        <w:t xml:space="preserve"> je najmä posilnenie presadzovania práva a právom chránených záujmov oznamovateľov</w:t>
      </w:r>
      <w:r w:rsidR="00D5760E" w:rsidRPr="00895E96">
        <w:rPr>
          <w:rFonts w:ascii="Times New Roman" w:hAnsi="Times New Roman" w:cs="Times New Roman"/>
          <w:sz w:val="24"/>
          <w:szCs w:val="24"/>
        </w:rPr>
        <w:t xml:space="preserve"> kriminality alebo inej</w:t>
      </w:r>
      <w:r w:rsidR="003B7958" w:rsidRPr="00895E96">
        <w:rPr>
          <w:rFonts w:ascii="Times New Roman" w:hAnsi="Times New Roman" w:cs="Times New Roman"/>
          <w:sz w:val="24"/>
          <w:szCs w:val="24"/>
        </w:rPr>
        <w:t xml:space="preserve"> protispoločenskej činnosti a </w:t>
      </w:r>
      <w:r w:rsidR="009458C5" w:rsidRPr="00895E96">
        <w:rPr>
          <w:rFonts w:ascii="Times New Roman" w:hAnsi="Times New Roman" w:cs="Times New Roman"/>
          <w:sz w:val="24"/>
          <w:szCs w:val="24"/>
        </w:rPr>
        <w:t xml:space="preserve"> </w:t>
      </w:r>
      <w:r w:rsidR="003B7958" w:rsidRPr="00895E96">
        <w:rPr>
          <w:rFonts w:ascii="Times New Roman" w:hAnsi="Times New Roman" w:cs="Times New Roman"/>
          <w:sz w:val="24"/>
          <w:szCs w:val="24"/>
        </w:rPr>
        <w:t>podpora postihovania protispol</w:t>
      </w:r>
      <w:r w:rsidR="00841DE4" w:rsidRPr="00895E96">
        <w:rPr>
          <w:rFonts w:ascii="Times New Roman" w:hAnsi="Times New Roman" w:cs="Times New Roman"/>
          <w:sz w:val="24"/>
          <w:szCs w:val="24"/>
        </w:rPr>
        <w:t>o</w:t>
      </w:r>
      <w:r w:rsidR="003B7958" w:rsidRPr="00895E96">
        <w:rPr>
          <w:rFonts w:ascii="Times New Roman" w:hAnsi="Times New Roman" w:cs="Times New Roman"/>
          <w:sz w:val="24"/>
          <w:szCs w:val="24"/>
        </w:rPr>
        <w:t>čenskej činnosti za účasti verejnosti.</w:t>
      </w:r>
      <w:r w:rsidR="007543E5" w:rsidRPr="00895E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153A5" w14:textId="4EE164D3" w:rsidR="007543E5" w:rsidRPr="00895E96" w:rsidRDefault="007543E5" w:rsidP="00900C07">
      <w:pPr>
        <w:spacing w:after="4"/>
        <w:ind w:firstLine="708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>Medz</w:t>
      </w:r>
      <w:r w:rsidR="00CD3475" w:rsidRPr="00895E96">
        <w:rPr>
          <w:rFonts w:ascii="Times New Roman" w:hAnsi="Times New Roman" w:cs="Times New Roman"/>
          <w:iCs/>
          <w:noProof/>
          <w:sz w:val="24"/>
          <w:szCs w:val="24"/>
        </w:rPr>
        <w:t xml:space="preserve">i najvýznamnejšie </w:t>
      </w:r>
      <w:r w:rsidR="00895E96">
        <w:rPr>
          <w:rFonts w:ascii="Times New Roman" w:hAnsi="Times New Roman" w:cs="Times New Roman"/>
          <w:iCs/>
          <w:noProof/>
          <w:sz w:val="24"/>
          <w:szCs w:val="24"/>
        </w:rPr>
        <w:t xml:space="preserve">zmeny </w:t>
      </w:r>
      <w:r w:rsidR="00CD3475" w:rsidRPr="00895E96">
        <w:rPr>
          <w:rFonts w:ascii="Times New Roman" w:hAnsi="Times New Roman" w:cs="Times New Roman"/>
          <w:iCs/>
          <w:noProof/>
          <w:sz w:val="24"/>
          <w:szCs w:val="24"/>
        </w:rPr>
        <w:t>obsiahnuté v návrhu zákona</w:t>
      </w:r>
      <w:r w:rsidR="00416906" w:rsidRPr="00895E96">
        <w:rPr>
          <w:rFonts w:ascii="Times New Roman" w:hAnsi="Times New Roman" w:cs="Times New Roman"/>
          <w:iCs/>
          <w:noProof/>
          <w:sz w:val="24"/>
          <w:szCs w:val="24"/>
        </w:rPr>
        <w:t>,</w:t>
      </w: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 xml:space="preserve"> patria:</w:t>
      </w:r>
    </w:p>
    <w:p w14:paraId="7DC2B30F" w14:textId="77777777" w:rsidR="007543E5" w:rsidRPr="00895E96" w:rsidRDefault="00900C07" w:rsidP="001B0FAD">
      <w:pPr>
        <w:pStyle w:val="Odsekzoznamu"/>
        <w:numPr>
          <w:ilvl w:val="0"/>
          <w:numId w:val="3"/>
        </w:numPr>
        <w:spacing w:after="4"/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 xml:space="preserve">rozšírenie poskytovania ochrany osobám nahlasujúcim porušenia práva Únie, ktoré patria do rozsahu pôsobnosti aktov Únie týkajúcich sa oblastí verejného obstarávania, finančných služieb, produktov a trhov a predchádzania praniu špinavých peňazí a financovania terorizmu; bezpečnosti a zhody výrobkov; bezpečnosti dopravy; ochrany životného </w:t>
      </w:r>
      <w:r w:rsidRPr="00895E96"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t>prostredia; ochrany pred žiarením a jadrovej bezpečnosti</w:t>
      </w:r>
      <w:r w:rsidRPr="00895E96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 xml:space="preserve">; </w:t>
      </w: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>bezpečnosti potravín a krmív, zdravia a dobrých životných podmienok zvierat; verejného zdravia; ochrany spotrebiteľov; ochrany súkromia a osobných údajov a bezpečnosti sietí a informačných systémov</w:t>
      </w:r>
      <w:r w:rsidR="00052FEA" w:rsidRPr="00895E96">
        <w:rPr>
          <w:rFonts w:ascii="Times New Roman" w:hAnsi="Times New Roman" w:cs="Times New Roman"/>
          <w:iCs/>
          <w:noProof/>
          <w:sz w:val="24"/>
          <w:szCs w:val="24"/>
        </w:rPr>
        <w:t>,</w:t>
      </w:r>
    </w:p>
    <w:p w14:paraId="315C49A6" w14:textId="77777777" w:rsidR="00900C07" w:rsidRPr="00895E96" w:rsidRDefault="00900C07" w:rsidP="001B0FAD">
      <w:pPr>
        <w:pStyle w:val="Odsekzoznamu"/>
        <w:numPr>
          <w:ilvl w:val="0"/>
          <w:numId w:val="3"/>
        </w:numPr>
        <w:spacing w:after="4"/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>rozšírenie poskytovania ochrany osob</w:t>
      </w:r>
      <w:r w:rsidR="00163FAD" w:rsidRPr="00895E96">
        <w:rPr>
          <w:rFonts w:ascii="Times New Roman" w:hAnsi="Times New Roman" w:cs="Times New Roman"/>
          <w:iCs/>
          <w:noProof/>
          <w:sz w:val="24"/>
          <w:szCs w:val="24"/>
        </w:rPr>
        <w:t>e</w:t>
      </w: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>, ktor</w:t>
      </w:r>
      <w:r w:rsidR="00271839" w:rsidRPr="00895E96">
        <w:rPr>
          <w:rFonts w:ascii="Times New Roman" w:hAnsi="Times New Roman" w:cs="Times New Roman"/>
          <w:iCs/>
          <w:noProof/>
          <w:sz w:val="24"/>
          <w:szCs w:val="24"/>
        </w:rPr>
        <w:t>á v zákonom vymedzených prípadoch</w:t>
      </w: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 xml:space="preserve"> zverejnil</w:t>
      </w:r>
      <w:r w:rsidR="00841DE4" w:rsidRPr="00895E96">
        <w:rPr>
          <w:rFonts w:ascii="Times New Roman" w:hAnsi="Times New Roman" w:cs="Times New Roman"/>
          <w:iCs/>
          <w:noProof/>
          <w:sz w:val="24"/>
          <w:szCs w:val="24"/>
        </w:rPr>
        <w:t>a</w:t>
      </w: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 xml:space="preserve"> informácie o protispoločenskej činnosti</w:t>
      </w:r>
      <w:r w:rsidR="00052FEA" w:rsidRPr="00895E96">
        <w:rPr>
          <w:rFonts w:ascii="Times New Roman" w:hAnsi="Times New Roman" w:cs="Times New Roman"/>
          <w:iCs/>
          <w:noProof/>
          <w:sz w:val="24"/>
          <w:szCs w:val="24"/>
        </w:rPr>
        <w:t>,</w:t>
      </w:r>
    </w:p>
    <w:p w14:paraId="3C82413E" w14:textId="77777777" w:rsidR="00163FAD" w:rsidRPr="00895E96" w:rsidRDefault="00163FAD" w:rsidP="001B0FAD">
      <w:pPr>
        <w:pStyle w:val="Odsekzoznamu"/>
        <w:numPr>
          <w:ilvl w:val="0"/>
          <w:numId w:val="3"/>
        </w:numPr>
        <w:spacing w:after="4"/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>rozšírenie poskytovania ochrany osobe, ktorá podala oznámenie anonymne a ktorej totožnosť bola následne odhalená</w:t>
      </w:r>
      <w:r w:rsidR="00052FEA" w:rsidRPr="00895E96">
        <w:rPr>
          <w:rFonts w:ascii="Times New Roman" w:hAnsi="Times New Roman" w:cs="Times New Roman"/>
          <w:iCs/>
          <w:noProof/>
          <w:sz w:val="24"/>
          <w:szCs w:val="24"/>
        </w:rPr>
        <w:t>,</w:t>
      </w:r>
    </w:p>
    <w:p w14:paraId="660506DC" w14:textId="3FE5800A" w:rsidR="0026303A" w:rsidRPr="00895E96" w:rsidRDefault="00900C07" w:rsidP="00DE69A6">
      <w:pPr>
        <w:pStyle w:val="Odsekzoznamu"/>
        <w:numPr>
          <w:ilvl w:val="0"/>
          <w:numId w:val="3"/>
        </w:numPr>
        <w:spacing w:after="4"/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 xml:space="preserve">rozšírenie </w:t>
      </w:r>
      <w:r w:rsidR="00DE69A6">
        <w:rPr>
          <w:rFonts w:ascii="Times New Roman" w:hAnsi="Times New Roman" w:cs="Times New Roman"/>
          <w:iCs/>
          <w:noProof/>
          <w:sz w:val="24"/>
          <w:szCs w:val="24"/>
        </w:rPr>
        <w:t>osobnej pôsobnosti zákona,</w:t>
      </w:r>
    </w:p>
    <w:p w14:paraId="16CC2D1C" w14:textId="77777777" w:rsidR="00F31896" w:rsidRPr="00895E96" w:rsidRDefault="00F31896" w:rsidP="001B0FAD">
      <w:pPr>
        <w:pStyle w:val="Odsekzoznamu"/>
        <w:numPr>
          <w:ilvl w:val="0"/>
          <w:numId w:val="3"/>
        </w:numPr>
        <w:spacing w:after="4"/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>rozšírenie povinností zamestnávateľa</w:t>
      </w:r>
      <w:r w:rsidR="00052FEA" w:rsidRPr="00895E96">
        <w:rPr>
          <w:rFonts w:ascii="Times New Roman" w:hAnsi="Times New Roman" w:cs="Times New Roman"/>
          <w:iCs/>
          <w:noProof/>
          <w:sz w:val="24"/>
          <w:szCs w:val="24"/>
        </w:rPr>
        <w:t>,</w:t>
      </w:r>
    </w:p>
    <w:p w14:paraId="31EB5188" w14:textId="77777777" w:rsidR="007543E5" w:rsidRPr="00895E96" w:rsidRDefault="00163FAD" w:rsidP="001B0FAD">
      <w:pPr>
        <w:pStyle w:val="Odsekzoznamu"/>
        <w:numPr>
          <w:ilvl w:val="0"/>
          <w:numId w:val="3"/>
        </w:numPr>
        <w:spacing w:after="4"/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>rozšírenie povinností Úradu na ochranu oznamovateľov protispoločenskej činnosti</w:t>
      </w:r>
      <w:r w:rsidR="00052FEA" w:rsidRPr="00895E96">
        <w:rPr>
          <w:rFonts w:ascii="Times New Roman" w:hAnsi="Times New Roman" w:cs="Times New Roman"/>
          <w:iCs/>
          <w:noProof/>
          <w:sz w:val="24"/>
          <w:szCs w:val="24"/>
        </w:rPr>
        <w:t>,</w:t>
      </w:r>
    </w:p>
    <w:p w14:paraId="2BA39763" w14:textId="77777777" w:rsidR="00C37A4F" w:rsidRPr="00895E96" w:rsidRDefault="0026303A" w:rsidP="001B0FAD">
      <w:pPr>
        <w:pStyle w:val="Odsekzoznamu"/>
        <w:numPr>
          <w:ilvl w:val="0"/>
          <w:numId w:val="3"/>
        </w:numPr>
        <w:spacing w:after="4"/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>vymedzenie rozsahu povinných údajov, ktoré sú príslušné orgány verejnej moci povinné sprístupniť</w:t>
      </w:r>
      <w:r w:rsidR="00052FEA" w:rsidRPr="00895E96">
        <w:rPr>
          <w:rFonts w:ascii="Times New Roman" w:hAnsi="Times New Roman" w:cs="Times New Roman"/>
          <w:iCs/>
          <w:noProof/>
          <w:sz w:val="24"/>
          <w:szCs w:val="24"/>
        </w:rPr>
        <w:t>,</w:t>
      </w:r>
    </w:p>
    <w:p w14:paraId="3DF387A8" w14:textId="3A585361" w:rsidR="00D5760E" w:rsidRDefault="00C37A4F" w:rsidP="00271839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895E96">
        <w:rPr>
          <w:rFonts w:ascii="Times New Roman" w:hAnsi="Times New Roman" w:cs="Times New Roman"/>
          <w:iCs/>
          <w:noProof/>
          <w:sz w:val="24"/>
          <w:szCs w:val="24"/>
        </w:rPr>
        <w:t xml:space="preserve">rozšírenie povinnosti zachovávať mlčanlivosť </w:t>
      </w:r>
      <w:r w:rsidR="00DE69A6">
        <w:rPr>
          <w:rFonts w:ascii="Times New Roman" w:hAnsi="Times New Roman" w:cs="Times New Roman"/>
          <w:iCs/>
          <w:noProof/>
          <w:sz w:val="24"/>
          <w:szCs w:val="24"/>
        </w:rPr>
        <w:t>a</w:t>
      </w:r>
    </w:p>
    <w:p w14:paraId="59F656E6" w14:textId="410B5826" w:rsidR="00895E96" w:rsidRPr="00895E96" w:rsidRDefault="00DE69A6" w:rsidP="00271839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t>zvýšenie sadzby pokút.</w:t>
      </w:r>
    </w:p>
    <w:p w14:paraId="42A817F1" w14:textId="77777777" w:rsidR="009D2DE2" w:rsidRPr="00895E96" w:rsidRDefault="00C27CD4" w:rsidP="00271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E96">
        <w:rPr>
          <w:rFonts w:ascii="Times New Roman" w:hAnsi="Times New Roman" w:cs="Times New Roman"/>
          <w:sz w:val="24"/>
          <w:szCs w:val="24"/>
        </w:rPr>
        <w:t xml:space="preserve">Verejnosť bola o príprave návrhu zákona informovaná prostredníctvom predbežnej informácie </w:t>
      </w:r>
      <w:r w:rsidR="00271839" w:rsidRPr="00895E96">
        <w:rPr>
          <w:rFonts w:ascii="Times New Roman" w:hAnsi="Times New Roman" w:cs="Times New Roman"/>
          <w:sz w:val="24"/>
          <w:szCs w:val="24"/>
        </w:rPr>
        <w:t>zverejnenej na portáli Slov-Lex pod číslom</w:t>
      </w:r>
      <w:r w:rsidR="00362372" w:rsidRPr="00895E96">
        <w:rPr>
          <w:rFonts w:ascii="Times New Roman" w:hAnsi="Times New Roman" w:cs="Times New Roman"/>
          <w:sz w:val="24"/>
          <w:szCs w:val="24"/>
        </w:rPr>
        <w:t xml:space="preserve"> PI/2021/182</w:t>
      </w:r>
      <w:r w:rsidR="00271839" w:rsidRPr="00895E96">
        <w:rPr>
          <w:rFonts w:ascii="Times New Roman" w:hAnsi="Times New Roman" w:cs="Times New Roman"/>
          <w:sz w:val="24"/>
          <w:szCs w:val="24"/>
        </w:rPr>
        <w:t>.</w:t>
      </w:r>
      <w:r w:rsidR="00362372" w:rsidRPr="00895E96">
        <w:rPr>
          <w:rFonts w:ascii="Times New Roman" w:hAnsi="Times New Roman" w:cs="Times New Roman"/>
          <w:sz w:val="24"/>
          <w:szCs w:val="24"/>
        </w:rPr>
        <w:t xml:space="preserve"> </w:t>
      </w:r>
      <w:r w:rsidR="00271839" w:rsidRPr="00895E96">
        <w:rPr>
          <w:rFonts w:ascii="Times New Roman" w:hAnsi="Times New Roman" w:cs="Times New Roman"/>
          <w:sz w:val="24"/>
          <w:szCs w:val="24"/>
        </w:rPr>
        <w:t xml:space="preserve">Návrh zákona bol i predmetom riadneho medzirezortného pripomienkového konania, pričom tento proces je evidovaný pod číslom LP/2021/637. </w:t>
      </w:r>
    </w:p>
    <w:p w14:paraId="45AB3F35" w14:textId="77777777" w:rsidR="00271839" w:rsidRPr="00895E96" w:rsidRDefault="00271839" w:rsidP="00271839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E96">
        <w:rPr>
          <w:rFonts w:ascii="Times New Roman" w:hAnsi="Times New Roman" w:cs="Times New Roman"/>
          <w:bCs/>
          <w:sz w:val="24"/>
          <w:szCs w:val="24"/>
        </w:rPr>
        <w:t>Návrh zákona je v súlade s Ústavou Slovenskej republiky, ústavnými zákonmi, nálezmi Ústavného súdu Slovenskej republiky, medzinárodnými zmluvami a inými medzinárodnými dokumentmi, ktorými je Slovenská republika viazaná, zákonmi a súčasne je v súlade s právom Európskej únie.</w:t>
      </w:r>
    </w:p>
    <w:p w14:paraId="55A4B91B" w14:textId="21D9EBCA" w:rsidR="001B0FAD" w:rsidRPr="00895E96" w:rsidRDefault="00271839" w:rsidP="00271839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E96">
        <w:rPr>
          <w:rFonts w:ascii="Times New Roman" w:hAnsi="Times New Roman" w:cs="Times New Roman"/>
          <w:bCs/>
          <w:sz w:val="24"/>
          <w:szCs w:val="24"/>
        </w:rPr>
        <w:t>Návrh zákona nemá vplyv na rozpočet verejnej správy, vplyv na informatizáciu</w:t>
      </w:r>
      <w:r w:rsidR="00932A1B">
        <w:rPr>
          <w:rFonts w:ascii="Times New Roman" w:hAnsi="Times New Roman" w:cs="Times New Roman"/>
          <w:bCs/>
          <w:sz w:val="24"/>
          <w:szCs w:val="24"/>
        </w:rPr>
        <w:t xml:space="preserve"> spoločnosti</w:t>
      </w:r>
      <w:r w:rsidRPr="00895E96">
        <w:rPr>
          <w:rFonts w:ascii="Times New Roman" w:hAnsi="Times New Roman" w:cs="Times New Roman"/>
          <w:bCs/>
          <w:sz w:val="24"/>
          <w:szCs w:val="24"/>
        </w:rPr>
        <w:t xml:space="preserve">. Návrh zákona ďalej nemá vplyv na podnikateľské prostredie, sociálne vplyvy, vplyvy na životné prostredie, vplyvy na služby verejnej správy pre občana a ani vplyvy na manželstvo, rodičovstvo a rodinu. </w:t>
      </w:r>
    </w:p>
    <w:p w14:paraId="2D016FE1" w14:textId="77777777" w:rsidR="0008694F" w:rsidRPr="00895E96" w:rsidRDefault="0008694F" w:rsidP="00980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694F" w:rsidRPr="00895E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A0DE" w16cex:dateUtc="2021-05-24T20:02:00Z"/>
  <w16cex:commentExtensible w16cex:durableId="2456A27C" w16cex:dateUtc="2021-05-24T20:09:00Z"/>
  <w16cex:commentExtensible w16cex:durableId="24554441" w16cex:dateUtc="2021-05-23T19:14:00Z"/>
  <w16cex:commentExtensible w16cex:durableId="245514A2" w16cex:dateUtc="2021-05-23T15:51:00Z"/>
  <w16cex:commentExtensible w16cex:durableId="24550796" w16cex:dateUtc="2021-05-23T14:55:00Z"/>
  <w16cex:commentExtensible w16cex:durableId="2454FC90" w16cex:dateUtc="2021-05-23T14:08:00Z"/>
  <w16cex:commentExtensible w16cex:durableId="2454FDC0" w16cex:dateUtc="2021-05-23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04EB5E" w16cid:durableId="2456A0DE"/>
  <w16cid:commentId w16cid:paraId="66984E5E" w16cid:durableId="2456A27C"/>
  <w16cid:commentId w16cid:paraId="69D276D5" w16cid:durableId="24554441"/>
  <w16cid:commentId w16cid:paraId="552A73E4" w16cid:durableId="245514A2"/>
  <w16cid:commentId w16cid:paraId="29FFFDAA" w16cid:durableId="24550796"/>
  <w16cid:commentId w16cid:paraId="33A9033C" w16cid:durableId="2454FC90"/>
  <w16cid:commentId w16cid:paraId="002D343C" w16cid:durableId="2454FD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3C0FA" w14:textId="77777777" w:rsidR="00F06184" w:rsidRDefault="00F06184" w:rsidP="001B0FAD">
      <w:pPr>
        <w:spacing w:after="0" w:line="240" w:lineRule="auto"/>
      </w:pPr>
      <w:r>
        <w:separator/>
      </w:r>
    </w:p>
  </w:endnote>
  <w:endnote w:type="continuationSeparator" w:id="0">
    <w:p w14:paraId="2A198C59" w14:textId="77777777" w:rsidR="00F06184" w:rsidRDefault="00F06184" w:rsidP="001B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596981"/>
      <w:docPartObj>
        <w:docPartGallery w:val="Page Numbers (Bottom of Page)"/>
        <w:docPartUnique/>
      </w:docPartObj>
    </w:sdtPr>
    <w:sdtEndPr/>
    <w:sdtContent>
      <w:p w14:paraId="43B5C631" w14:textId="37F12B16" w:rsidR="001B0FAD" w:rsidRDefault="001B0FA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7BA">
          <w:rPr>
            <w:noProof/>
          </w:rPr>
          <w:t>1</w:t>
        </w:r>
        <w:r>
          <w:fldChar w:fldCharType="end"/>
        </w:r>
      </w:p>
    </w:sdtContent>
  </w:sdt>
  <w:p w14:paraId="2F811CA5" w14:textId="77777777" w:rsidR="001B0FAD" w:rsidRDefault="001B0F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4DEE2" w14:textId="77777777" w:rsidR="00F06184" w:rsidRDefault="00F06184" w:rsidP="001B0FAD">
      <w:pPr>
        <w:spacing w:after="0" w:line="240" w:lineRule="auto"/>
      </w:pPr>
      <w:r>
        <w:separator/>
      </w:r>
    </w:p>
  </w:footnote>
  <w:footnote w:type="continuationSeparator" w:id="0">
    <w:p w14:paraId="6962C7BD" w14:textId="77777777" w:rsidR="00F06184" w:rsidRDefault="00F06184" w:rsidP="001B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5D22"/>
    <w:multiLevelType w:val="hybridMultilevel"/>
    <w:tmpl w:val="5254E484"/>
    <w:lvl w:ilvl="0" w:tplc="9E8CEE2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75089"/>
    <w:multiLevelType w:val="hybridMultilevel"/>
    <w:tmpl w:val="AF549F7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0A2369"/>
    <w:multiLevelType w:val="hybridMultilevel"/>
    <w:tmpl w:val="90244116"/>
    <w:lvl w:ilvl="0" w:tplc="B2FCDFCE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4F"/>
    <w:rsid w:val="000337AA"/>
    <w:rsid w:val="0004276F"/>
    <w:rsid w:val="00052FEA"/>
    <w:rsid w:val="00053D72"/>
    <w:rsid w:val="0005669D"/>
    <w:rsid w:val="000802BC"/>
    <w:rsid w:val="0008694F"/>
    <w:rsid w:val="00087A7A"/>
    <w:rsid w:val="000A4D09"/>
    <w:rsid w:val="000B7BF6"/>
    <w:rsid w:val="000E0A36"/>
    <w:rsid w:val="00134067"/>
    <w:rsid w:val="001374C2"/>
    <w:rsid w:val="00163FAD"/>
    <w:rsid w:val="00177FDD"/>
    <w:rsid w:val="00187B69"/>
    <w:rsid w:val="001B0FAD"/>
    <w:rsid w:val="001D4FEC"/>
    <w:rsid w:val="001E3938"/>
    <w:rsid w:val="00246CB0"/>
    <w:rsid w:val="00247701"/>
    <w:rsid w:val="0026303A"/>
    <w:rsid w:val="00271839"/>
    <w:rsid w:val="00274CF0"/>
    <w:rsid w:val="002B624C"/>
    <w:rsid w:val="002C23A9"/>
    <w:rsid w:val="002D0C85"/>
    <w:rsid w:val="00322251"/>
    <w:rsid w:val="00327933"/>
    <w:rsid w:val="00337B1C"/>
    <w:rsid w:val="00362372"/>
    <w:rsid w:val="0037628C"/>
    <w:rsid w:val="00394B07"/>
    <w:rsid w:val="00397C3E"/>
    <w:rsid w:val="003B7958"/>
    <w:rsid w:val="003C7C57"/>
    <w:rsid w:val="003C7C76"/>
    <w:rsid w:val="00416906"/>
    <w:rsid w:val="004843CE"/>
    <w:rsid w:val="00484F09"/>
    <w:rsid w:val="0048703A"/>
    <w:rsid w:val="00493CD7"/>
    <w:rsid w:val="00494BAA"/>
    <w:rsid w:val="004B4868"/>
    <w:rsid w:val="00533C8C"/>
    <w:rsid w:val="005C3792"/>
    <w:rsid w:val="005C7C6A"/>
    <w:rsid w:val="005E6C25"/>
    <w:rsid w:val="00604307"/>
    <w:rsid w:val="00613B2E"/>
    <w:rsid w:val="00614494"/>
    <w:rsid w:val="00636EF7"/>
    <w:rsid w:val="006746CE"/>
    <w:rsid w:val="00684973"/>
    <w:rsid w:val="006A1A93"/>
    <w:rsid w:val="0072102D"/>
    <w:rsid w:val="007543E5"/>
    <w:rsid w:val="00774280"/>
    <w:rsid w:val="0079017A"/>
    <w:rsid w:val="007A2866"/>
    <w:rsid w:val="007A6300"/>
    <w:rsid w:val="00841DE4"/>
    <w:rsid w:val="00863D09"/>
    <w:rsid w:val="0087069C"/>
    <w:rsid w:val="008800D8"/>
    <w:rsid w:val="00895E96"/>
    <w:rsid w:val="0089683D"/>
    <w:rsid w:val="008D45DB"/>
    <w:rsid w:val="00900C07"/>
    <w:rsid w:val="0091283D"/>
    <w:rsid w:val="00932A1B"/>
    <w:rsid w:val="009458C5"/>
    <w:rsid w:val="00953A76"/>
    <w:rsid w:val="00966700"/>
    <w:rsid w:val="00967F6D"/>
    <w:rsid w:val="00980DED"/>
    <w:rsid w:val="009B293B"/>
    <w:rsid w:val="009D2DE2"/>
    <w:rsid w:val="009F0FEC"/>
    <w:rsid w:val="00A0672E"/>
    <w:rsid w:val="00A96247"/>
    <w:rsid w:val="00AA7C7D"/>
    <w:rsid w:val="00AB41E8"/>
    <w:rsid w:val="00AC2DB4"/>
    <w:rsid w:val="00AD663F"/>
    <w:rsid w:val="00AE4AA8"/>
    <w:rsid w:val="00B04AC1"/>
    <w:rsid w:val="00BC0916"/>
    <w:rsid w:val="00BD0AB6"/>
    <w:rsid w:val="00BF3948"/>
    <w:rsid w:val="00C1657A"/>
    <w:rsid w:val="00C27CD4"/>
    <w:rsid w:val="00C37A4F"/>
    <w:rsid w:val="00C53D00"/>
    <w:rsid w:val="00CB0CAC"/>
    <w:rsid w:val="00CD3475"/>
    <w:rsid w:val="00D215C3"/>
    <w:rsid w:val="00D5760E"/>
    <w:rsid w:val="00D62B13"/>
    <w:rsid w:val="00D72305"/>
    <w:rsid w:val="00DB1467"/>
    <w:rsid w:val="00DC7687"/>
    <w:rsid w:val="00DE69A6"/>
    <w:rsid w:val="00E027AC"/>
    <w:rsid w:val="00E14E14"/>
    <w:rsid w:val="00E337BA"/>
    <w:rsid w:val="00E378EE"/>
    <w:rsid w:val="00E430FE"/>
    <w:rsid w:val="00E75CD0"/>
    <w:rsid w:val="00E875A2"/>
    <w:rsid w:val="00EA2079"/>
    <w:rsid w:val="00EB68EE"/>
    <w:rsid w:val="00F06184"/>
    <w:rsid w:val="00F31896"/>
    <w:rsid w:val="00F33FCE"/>
    <w:rsid w:val="00F34E89"/>
    <w:rsid w:val="00F74CAA"/>
    <w:rsid w:val="00FC77C7"/>
    <w:rsid w:val="00FD7871"/>
    <w:rsid w:val="00FE037D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1CAD"/>
  <w15:chartTrackingRefBased/>
  <w15:docId w15:val="{49C42804-940E-425C-8229-9FBAC19E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C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7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7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7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79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79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68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543E5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394B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94B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B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0FAD"/>
  </w:style>
  <w:style w:type="paragraph" w:styleId="Pta">
    <w:name w:val="footer"/>
    <w:basedOn w:val="Normlny"/>
    <w:link w:val="PtaChar"/>
    <w:uiPriority w:val="99"/>
    <w:unhideWhenUsed/>
    <w:rsid w:val="001B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všeobecná-časť"/>
    <f:field ref="objsubject" par="" edit="true" text=""/>
    <f:field ref="objcreatedby" par="" text="Stašová, Janka, JUDr."/>
    <f:field ref="objcreatedat" par="" text="3.11.2021 15:41:23"/>
    <f:field ref="objchangedby" par="" text="Administrator, System"/>
    <f:field ref="objmodifiedat" par="" text="3.11.2021 15:41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190FD58-8179-4348-BB91-7C29F9C8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financií SR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Janka Mareková</dc:creator>
  <cp:keywords/>
  <dc:description/>
  <cp:lastModifiedBy>Hasáková Maria Alena</cp:lastModifiedBy>
  <cp:revision>5</cp:revision>
  <dcterms:created xsi:type="dcterms:W3CDTF">2022-05-18T06:44:00Z</dcterms:created>
  <dcterms:modified xsi:type="dcterms:W3CDTF">2022-05-18T14:17:00Z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o&amp;nbsp;ochrane oznamovateľov protispoločenskej činnosti informovaná prostredníctvom predbežnej informácie č. PI/2021/182 k&amp;nbsp;predmetnému návrhu novely zákona zverejnenej na po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Správne právo_x000d_
Trestné právo_x000d_
Pracovné právo_x000d_
Občianske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Janka Stašová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54/2019 Z. z. o ochrane oznamovateľov protispoločenskej činnosti a o zmene a doplnení niektorých zákonov a ktorým sa dopĺňa zákon č. 327/2005 Z. z. o poskytovaní právnej pomoci osobám v materiálnej núdzi a o zmene a dop</vt:lpwstr>
  </property>
  <property fmtid="{D5CDD505-2E9C-101B-9397-08002B2CF9AE}" pid="15" name="FSC#SKEDITIONSLOVLEX@103.510:nazovpredpis1">
    <vt:lpwstr>lnení zákona č. 586/2003 Z. z. o advokácii a o zmene a doplnení zákona č. 455/1991 Zb. o živnostenskom podnikaní (živnostenský zákon) v znení neskorších predpisov v znení zákona č. 8/2005 Z. z.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smernice Európskeho parlamentu a Rady (EÚ) 2019/1937 z 23. októbra 2019 o ochrane osôb, ktoré nahlasujú porušenia práva Únie</vt:lpwstr>
  </property>
  <property fmtid="{D5CDD505-2E9C-101B-9397-08002B2CF9AE}" pid="23" name="FSC#SKEDITIONSLOVLEX@103.510:plnynazovpredpis">
    <vt:lpwstr> Zákon, ktorým sa mení a dopĺňa zákon č. 54/2019 Z. z. o ochrane oznamovateľov protispoločenskej činnosti a o zmene a doplnení niektorých zákonov a ktorým sa dopĺňa zákon č. 327/2005 Z. z. o poskytovaní právnej pomoci osobám v materiálnej núdzi a o zmene </vt:lpwstr>
  </property>
  <property fmtid="{D5CDD505-2E9C-101B-9397-08002B2CF9AE}" pid="24" name="FSC#SKEDITIONSLOVLEX@103.510:plnynazovpredpis1">
    <vt:lpwstr>a doplnení zákona č. 586/2003 Z. z. o advokácii a o zmene a doplnení zákona č. 455/1991 Zb. o živnostenskom podnikaní (živnostenský zákon) v znení neskorších predpisov v znení zákona č. 8/2005 Z. z.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17792-5384/SPKKM/2021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LP/2021/637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Článok 16, článok 43 ods. 2, článok 50, článok 53 ods. 1, články 91, 100 a 114, článok 168 ods. 4, článok 169, článok 192 ods. 1 a článok 325 ods. 4 Zmluvy o fungovaní Európskej únie (Ú. v. ES C 202, 7.6.2016) v platnom znení; Článok 31 Zmluvy o založení </vt:lpwstr>
  </property>
  <property fmtid="{D5CDD505-2E9C-101B-9397-08002B2CF9AE}" pid="47" name="FSC#SKEDITIONSLOVLEX@103.510:AttrStrListDocPropSekundarneLegPravoPO">
    <vt:lpwstr>Smernica Európskeho parlamentu a Rady (EÚ) 2019/1937 z 23. októbra 2019 o ochrane osôb, ktoré nahlasujú porušenia práva Únie (Ú. v. EÚ L 305, 26.11.2019)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v judikatúre Súdneho dvora Európskej únie nie je predmet návrhu zákona upravený</vt:lpwstr>
  </property>
  <property fmtid="{D5CDD505-2E9C-101B-9397-08002B2CF9AE}" pid="52" name="FSC#SKEDITIONSLOVLEX@103.510:AttrStrListDocPropLehotaPrebratieSmernice">
    <vt:lpwstr>Transpozičná lehota smernice Európskeho parlamentu a  Rady (EÚ) 2019/1937  z 23. októbra 2019 o ochrane osôb, ktoré nahlasujú porušenia práva Únie: 17. december 2021.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Žiadne z uvedených konaní nebolo voči Slovenskej republike začaté.</vt:lpwstr>
  </property>
  <property fmtid="{D5CDD505-2E9C-101B-9397-08002B2CF9AE}" pid="55" name="FSC#SKEDITIONSLOVLEX@103.510:AttrStrListDocPropInfoUzPreberanePP">
    <vt:lpwstr>K úplnej transpozícií smernice Európskeho parlamentu a  Rady (EÚ) 2019/1937  z 23. októbra 2019 o ochrane osôb, ktoré nahlasujú porušenia práva Únie dochádza predkladaným návrhom zákona.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Nulový variant by predstavoval ponechanie právnej úpravy bez zmeny. Ak by Slovenská republika netransponovala smernicu (EÚ) 2019/1937, Európska komisia by mohla začať konanie o porušení práva Únie a predložiť konanie proti Slovenskej republike na Súdnom 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justify;"&gt;Úrad vlády Slovenskej republiky predkladá návrh zákona, ktorým sa mení a&amp;nbsp;dopĺňa č. 54/2019 Z. z. o ochrane oznamovateľov protispoločenskej činnosti a o zmene a doplnení niektorých zákonov a ktorým sa dopĺňa zákon č. 32</vt:lpwstr>
  </property>
  <property fmtid="{D5CDD505-2E9C-101B-9397-08002B2CF9AE}" pid="150" name="FSC#SKEDITIONSLOVLEX@103.510:vytvorenedna">
    <vt:lpwstr>3. 11. 2021</vt:lpwstr>
  </property>
  <property fmtid="{D5CDD505-2E9C-101B-9397-08002B2CF9AE}" pid="151" name="FSC#COOSYSTEM@1.1:Container">
    <vt:lpwstr>COO.2145.1000.3.4643076</vt:lpwstr>
  </property>
  <property fmtid="{D5CDD505-2E9C-101B-9397-08002B2CF9AE}" pid="152" name="FSC#FSCFOLIO@1.1001:docpropproject">
    <vt:lpwstr/>
  </property>
</Properties>
</file>