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BA7F79B" w:rsidR="00054C41" w:rsidRPr="00437B1A" w:rsidRDefault="00054C41" w:rsidP="00943491">
      <w:pPr>
        <w:jc w:val="both"/>
        <w:rPr>
          <w:rFonts w:ascii="Times New Roman" w:eastAsia="Times New Roman" w:hAnsi="Times New Roman" w:cs="Times New Roman"/>
          <w:sz w:val="20"/>
          <w:szCs w:val="20"/>
          <w:lang w:eastAsia="sk-SK"/>
        </w:rPr>
      </w:pPr>
      <w:r w:rsidRPr="001F1B43">
        <w:rPr>
          <w:rFonts w:ascii="Times New Roman" w:eastAsia="Calibri" w:hAnsi="Times New Roman" w:cs="Times New Roman"/>
          <w:b/>
          <w:sz w:val="24"/>
          <w:szCs w:val="24"/>
        </w:rPr>
        <w:t>Názov materiálu:</w:t>
      </w:r>
      <w:r w:rsidR="00943491" w:rsidRPr="00943491">
        <w:rPr>
          <w:rFonts w:ascii="Times New Roman" w:hAnsi="Times New Roman" w:cs="Times New Roman"/>
          <w:sz w:val="24"/>
          <w:szCs w:val="24"/>
        </w:rPr>
        <w:t xml:space="preserve"> </w:t>
      </w:r>
      <w:r w:rsidR="00943491">
        <w:rPr>
          <w:rFonts w:ascii="Times New Roman" w:hAnsi="Times New Roman" w:cs="Times New Roman"/>
          <w:sz w:val="24"/>
          <w:szCs w:val="24"/>
        </w:rPr>
        <w:t>Návrh zákona o požiadavkách na prístupnosť </w:t>
      </w:r>
      <w:r w:rsidR="00747735">
        <w:rPr>
          <w:rFonts w:ascii="Times New Roman" w:hAnsi="Times New Roman" w:cs="Times New Roman"/>
          <w:sz w:val="24"/>
          <w:szCs w:val="24"/>
        </w:rPr>
        <w:t xml:space="preserve">výrobkov a </w:t>
      </w:r>
      <w:r w:rsidR="00943491">
        <w:rPr>
          <w:rFonts w:ascii="Times New Roman" w:hAnsi="Times New Roman" w:cs="Times New Roman"/>
          <w:sz w:val="24"/>
          <w:szCs w:val="24"/>
        </w:rPr>
        <w:t xml:space="preserve">služieb pre osoby so zdravotným postihnutím </w:t>
      </w:r>
      <w:r w:rsidR="00F52382">
        <w:rPr>
          <w:rFonts w:ascii="Times New Roman" w:hAnsi="Times New Roman" w:cs="Times New Roman"/>
          <w:sz w:val="24"/>
          <w:szCs w:val="24"/>
        </w:rPr>
        <w:t xml:space="preserve">a o zmene </w:t>
      </w:r>
      <w:r w:rsidR="00943491" w:rsidRPr="00ED1BAF">
        <w:rPr>
          <w:rFonts w:ascii="Times New Roman" w:hAnsi="Times New Roman" w:cs="Times New Roman"/>
          <w:sz w:val="24"/>
          <w:szCs w:val="24"/>
        </w:rPr>
        <w:t>a doplnení niektorých zákonov</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6A045646" w:rsidR="00054C41" w:rsidRPr="00437B1A" w:rsidRDefault="00943491" w:rsidP="00054C41">
      <w:pPr>
        <w:jc w:val="both"/>
        <w:rPr>
          <w:rFonts w:ascii="Times New Roman" w:eastAsia="Calibri" w:hAnsi="Times New Roman" w:cs="Times New Roman"/>
          <w:sz w:val="24"/>
          <w:szCs w:val="24"/>
        </w:rPr>
      </w:pPr>
      <w:r w:rsidRPr="00437B1A">
        <w:rPr>
          <w:rFonts w:ascii="Times New Roman" w:eastAsia="Calibri" w:hAnsi="Times New Roman" w:cs="Times New Roman"/>
          <w:sz w:val="24"/>
          <w:szCs w:val="24"/>
        </w:rPr>
        <w:t>Ministerstvo práce, sociálnych vecí a rodiny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8919" w:type="dxa"/>
        <w:tblInd w:w="-10" w:type="dxa"/>
        <w:tblCellMar>
          <w:left w:w="70" w:type="dxa"/>
          <w:right w:w="70" w:type="dxa"/>
        </w:tblCellMar>
        <w:tblLook w:val="04A0" w:firstRow="1" w:lastRow="0" w:firstColumn="1" w:lastColumn="0" w:noHBand="0" w:noVBand="1"/>
      </w:tblPr>
      <w:tblGrid>
        <w:gridCol w:w="3100"/>
        <w:gridCol w:w="2168"/>
        <w:gridCol w:w="877"/>
        <w:gridCol w:w="1945"/>
        <w:gridCol w:w="829"/>
      </w:tblGrid>
      <w:tr w:rsidR="00437B1A" w14:paraId="10B4C284" w14:textId="77777777" w:rsidTr="00437B1A">
        <w:trPr>
          <w:trHeight w:val="531"/>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0016FE" w14:textId="77777777" w:rsidR="00437B1A" w:rsidRDefault="00437B1A">
            <w:pPr>
              <w:jc w:val="center"/>
              <w:rPr>
                <w:b/>
                <w:bCs/>
                <w:i/>
                <w:iCs/>
                <w:color w:val="000000"/>
                <w:sz w:val="20"/>
                <w:szCs w:val="20"/>
              </w:rPr>
            </w:pPr>
            <w:r>
              <w:rPr>
                <w:b/>
                <w:bCs/>
                <w:i/>
                <w:iCs/>
                <w:color w:val="000000"/>
                <w:sz w:val="20"/>
                <w:szCs w:val="20"/>
              </w:rPr>
              <w:t>TYP NÁKLADOV</w:t>
            </w:r>
          </w:p>
        </w:tc>
        <w:tc>
          <w:tcPr>
            <w:tcW w:w="3045" w:type="dxa"/>
            <w:gridSpan w:val="2"/>
            <w:tcBorders>
              <w:top w:val="single" w:sz="8" w:space="0" w:color="auto"/>
              <w:left w:val="nil"/>
              <w:bottom w:val="single" w:sz="4" w:space="0" w:color="auto"/>
              <w:right w:val="single" w:sz="4" w:space="0" w:color="auto"/>
            </w:tcBorders>
            <w:shd w:val="clear" w:color="000000" w:fill="FFC000"/>
            <w:vAlign w:val="center"/>
            <w:hideMark/>
          </w:tcPr>
          <w:p w14:paraId="1E7ECF63" w14:textId="77777777" w:rsidR="00437B1A" w:rsidRDefault="00437B1A">
            <w:pPr>
              <w:jc w:val="center"/>
              <w:rPr>
                <w:b/>
                <w:bCs/>
                <w:color w:val="000000"/>
                <w:sz w:val="20"/>
                <w:szCs w:val="20"/>
              </w:rPr>
            </w:pPr>
            <w:r>
              <w:rPr>
                <w:b/>
                <w:bCs/>
                <w:color w:val="000000"/>
                <w:sz w:val="20"/>
                <w:szCs w:val="20"/>
              </w:rPr>
              <w:t>Zvýšenie nákladov v € na PP</w:t>
            </w:r>
          </w:p>
        </w:tc>
        <w:tc>
          <w:tcPr>
            <w:tcW w:w="2774" w:type="dxa"/>
            <w:gridSpan w:val="2"/>
            <w:tcBorders>
              <w:top w:val="single" w:sz="8" w:space="0" w:color="auto"/>
              <w:left w:val="nil"/>
              <w:bottom w:val="single" w:sz="4" w:space="0" w:color="auto"/>
              <w:right w:val="single" w:sz="8" w:space="0" w:color="000000"/>
            </w:tcBorders>
            <w:shd w:val="clear" w:color="000000" w:fill="92D050"/>
            <w:vAlign w:val="center"/>
            <w:hideMark/>
          </w:tcPr>
          <w:p w14:paraId="01E6DCE4" w14:textId="77777777" w:rsidR="00437B1A" w:rsidRDefault="00437B1A">
            <w:pPr>
              <w:jc w:val="center"/>
              <w:rPr>
                <w:b/>
                <w:bCs/>
                <w:color w:val="000000"/>
                <w:sz w:val="20"/>
                <w:szCs w:val="20"/>
              </w:rPr>
            </w:pPr>
            <w:r>
              <w:rPr>
                <w:b/>
                <w:bCs/>
                <w:color w:val="000000"/>
                <w:sz w:val="20"/>
                <w:szCs w:val="20"/>
              </w:rPr>
              <w:t>Zníženie nákladov v € na PP</w:t>
            </w:r>
          </w:p>
        </w:tc>
      </w:tr>
      <w:tr w:rsidR="00437B1A" w14:paraId="4F2C63F0" w14:textId="77777777" w:rsidTr="00437B1A">
        <w:trPr>
          <w:trHeight w:val="687"/>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0196F177" w14:textId="77777777" w:rsidR="00437B1A" w:rsidRDefault="00437B1A">
            <w:pPr>
              <w:rPr>
                <w:b/>
                <w:bCs/>
                <w:i/>
                <w:iCs/>
                <w:color w:val="000000"/>
                <w:sz w:val="20"/>
                <w:szCs w:val="20"/>
              </w:rPr>
            </w:pPr>
            <w:proofErr w:type="spellStart"/>
            <w:r>
              <w:rPr>
                <w:b/>
                <w:bCs/>
                <w:i/>
                <w:iCs/>
                <w:color w:val="000000"/>
                <w:sz w:val="20"/>
                <w:szCs w:val="20"/>
              </w:rPr>
              <w:t>A.Dane</w:t>
            </w:r>
            <w:proofErr w:type="spellEnd"/>
            <w:r>
              <w:rPr>
                <w:b/>
                <w:bCs/>
                <w:i/>
                <w:iCs/>
                <w:color w:val="000000"/>
                <w:sz w:val="20"/>
                <w:szCs w:val="20"/>
              </w:rPr>
              <w:t xml:space="preserve">, odvody, clá a poplatky, ktorých cieľom je znižovať negatívne </w:t>
            </w:r>
            <w:proofErr w:type="spellStart"/>
            <w:r>
              <w:rPr>
                <w:b/>
                <w:bCs/>
                <w:i/>
                <w:iCs/>
                <w:color w:val="000000"/>
                <w:sz w:val="20"/>
                <w:szCs w:val="20"/>
              </w:rPr>
              <w:t>externality</w:t>
            </w:r>
            <w:proofErr w:type="spellEnd"/>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16BA0C7E" w14:textId="77777777" w:rsidR="00437B1A" w:rsidRDefault="00437B1A">
            <w:pPr>
              <w:jc w:val="center"/>
              <w:rPr>
                <w:b/>
                <w:bCs/>
                <w:color w:val="000000"/>
                <w:sz w:val="20"/>
                <w:szCs w:val="20"/>
              </w:rPr>
            </w:pPr>
            <w:r>
              <w:rPr>
                <w:b/>
                <w:bCs/>
                <w:color w:val="000000"/>
                <w:sz w:val="20"/>
                <w:szCs w:val="20"/>
              </w:rPr>
              <w:t>0,00</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7A7E0255" w14:textId="77777777" w:rsidR="00437B1A" w:rsidRDefault="00437B1A">
            <w:pPr>
              <w:jc w:val="center"/>
              <w:rPr>
                <w:b/>
                <w:bCs/>
                <w:color w:val="000000"/>
                <w:sz w:val="20"/>
                <w:szCs w:val="20"/>
              </w:rPr>
            </w:pPr>
            <w:r>
              <w:rPr>
                <w:b/>
                <w:bCs/>
                <w:color w:val="000000"/>
                <w:sz w:val="20"/>
                <w:szCs w:val="20"/>
              </w:rPr>
              <w:t>0,00</w:t>
            </w:r>
          </w:p>
        </w:tc>
      </w:tr>
      <w:tr w:rsidR="00437B1A" w14:paraId="30CA2F2B" w14:textId="77777777" w:rsidTr="00437B1A">
        <w:trPr>
          <w:trHeight w:val="31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7502C361" w14:textId="77777777" w:rsidR="00437B1A" w:rsidRDefault="00437B1A">
            <w:pPr>
              <w:rPr>
                <w:b/>
                <w:bCs/>
                <w:i/>
                <w:iCs/>
                <w:color w:val="000000"/>
                <w:sz w:val="20"/>
                <w:szCs w:val="20"/>
              </w:rPr>
            </w:pPr>
            <w:r>
              <w:rPr>
                <w:b/>
                <w:bCs/>
                <w:i/>
                <w:iCs/>
                <w:color w:val="000000"/>
                <w:sz w:val="20"/>
                <w:szCs w:val="20"/>
              </w:rPr>
              <w:t>B. Iné poplatky</w:t>
            </w:r>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060E4E3D" w14:textId="77777777" w:rsidR="00437B1A" w:rsidRDefault="00437B1A">
            <w:pPr>
              <w:jc w:val="center"/>
              <w:rPr>
                <w:b/>
                <w:bCs/>
                <w:color w:val="000000"/>
                <w:sz w:val="20"/>
                <w:szCs w:val="20"/>
              </w:rPr>
            </w:pPr>
            <w:r>
              <w:rPr>
                <w:b/>
                <w:bCs/>
                <w:color w:val="000000"/>
                <w:sz w:val="20"/>
                <w:szCs w:val="20"/>
              </w:rPr>
              <w:t>0,00</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6DDC2025" w14:textId="77777777" w:rsidR="00437B1A" w:rsidRDefault="00437B1A">
            <w:pPr>
              <w:jc w:val="center"/>
              <w:rPr>
                <w:b/>
                <w:bCs/>
                <w:color w:val="000000"/>
                <w:sz w:val="20"/>
                <w:szCs w:val="20"/>
              </w:rPr>
            </w:pPr>
            <w:r>
              <w:rPr>
                <w:b/>
                <w:bCs/>
                <w:color w:val="000000"/>
                <w:sz w:val="20"/>
                <w:szCs w:val="20"/>
              </w:rPr>
              <w:t>0,00</w:t>
            </w:r>
          </w:p>
        </w:tc>
      </w:tr>
      <w:tr w:rsidR="00437B1A" w14:paraId="4A317E3A" w14:textId="77777777" w:rsidTr="00437B1A">
        <w:trPr>
          <w:trHeight w:val="31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578044AF" w14:textId="77777777" w:rsidR="00437B1A" w:rsidRDefault="00437B1A">
            <w:pPr>
              <w:rPr>
                <w:b/>
                <w:bCs/>
                <w:i/>
                <w:iCs/>
                <w:color w:val="000000"/>
                <w:sz w:val="20"/>
                <w:szCs w:val="20"/>
              </w:rPr>
            </w:pPr>
            <w:r>
              <w:rPr>
                <w:b/>
                <w:bCs/>
                <w:i/>
                <w:iCs/>
                <w:color w:val="000000"/>
                <w:sz w:val="20"/>
                <w:szCs w:val="20"/>
              </w:rPr>
              <w:t>C. Nepriame finančné náklady</w:t>
            </w:r>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6ED7D306" w14:textId="77777777" w:rsidR="00437B1A" w:rsidRDefault="00437B1A">
            <w:pPr>
              <w:jc w:val="center"/>
              <w:rPr>
                <w:b/>
                <w:bCs/>
                <w:color w:val="000000"/>
                <w:sz w:val="20"/>
                <w:szCs w:val="20"/>
              </w:rPr>
            </w:pPr>
            <w:r>
              <w:rPr>
                <w:b/>
                <w:bCs/>
                <w:color w:val="000000"/>
                <w:sz w:val="20"/>
                <w:szCs w:val="20"/>
              </w:rPr>
              <w:t>0,00</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68C78B22" w14:textId="77777777" w:rsidR="00437B1A" w:rsidRDefault="00437B1A">
            <w:pPr>
              <w:jc w:val="center"/>
              <w:rPr>
                <w:b/>
                <w:bCs/>
                <w:color w:val="000000"/>
                <w:sz w:val="20"/>
                <w:szCs w:val="20"/>
              </w:rPr>
            </w:pPr>
            <w:r>
              <w:rPr>
                <w:b/>
                <w:bCs/>
                <w:color w:val="000000"/>
                <w:sz w:val="20"/>
                <w:szCs w:val="20"/>
              </w:rPr>
              <w:t>0,00</w:t>
            </w:r>
          </w:p>
        </w:tc>
      </w:tr>
      <w:tr w:rsidR="00437B1A" w14:paraId="6F2ED10E" w14:textId="77777777" w:rsidTr="00437B1A">
        <w:trPr>
          <w:trHeight w:val="31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67C45FF8" w14:textId="77777777" w:rsidR="00437B1A" w:rsidRDefault="00437B1A">
            <w:pPr>
              <w:rPr>
                <w:b/>
                <w:bCs/>
                <w:i/>
                <w:iCs/>
                <w:color w:val="000000"/>
                <w:sz w:val="20"/>
                <w:szCs w:val="20"/>
              </w:rPr>
            </w:pPr>
            <w:r>
              <w:rPr>
                <w:b/>
                <w:bCs/>
                <w:i/>
                <w:iCs/>
                <w:color w:val="000000"/>
                <w:sz w:val="20"/>
                <w:szCs w:val="20"/>
              </w:rPr>
              <w:t>D. Administratívne náklady</w:t>
            </w:r>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73A29252" w14:textId="77777777" w:rsidR="00437B1A" w:rsidRDefault="00437B1A">
            <w:pPr>
              <w:jc w:val="center"/>
              <w:rPr>
                <w:b/>
                <w:bCs/>
                <w:color w:val="000000"/>
                <w:sz w:val="20"/>
                <w:szCs w:val="20"/>
              </w:rPr>
            </w:pPr>
            <w:r>
              <w:rPr>
                <w:b/>
                <w:bCs/>
                <w:color w:val="000000"/>
                <w:sz w:val="20"/>
                <w:szCs w:val="20"/>
              </w:rPr>
              <w:t>2 033 908,08</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3ED43CD7" w14:textId="77777777" w:rsidR="00437B1A" w:rsidRDefault="00437B1A">
            <w:pPr>
              <w:jc w:val="center"/>
              <w:rPr>
                <w:b/>
                <w:bCs/>
                <w:color w:val="000000"/>
                <w:sz w:val="20"/>
                <w:szCs w:val="20"/>
              </w:rPr>
            </w:pPr>
            <w:r>
              <w:rPr>
                <w:b/>
                <w:bCs/>
                <w:color w:val="000000"/>
                <w:sz w:val="20"/>
                <w:szCs w:val="20"/>
              </w:rPr>
              <w:t>0,00</w:t>
            </w:r>
          </w:p>
        </w:tc>
      </w:tr>
      <w:tr w:rsidR="00437B1A" w14:paraId="10A2DF88" w14:textId="77777777" w:rsidTr="00437B1A">
        <w:trPr>
          <w:trHeight w:val="31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7216F4D4" w14:textId="77777777" w:rsidR="00437B1A" w:rsidRDefault="00437B1A">
            <w:pPr>
              <w:rPr>
                <w:b/>
                <w:bCs/>
                <w:i/>
                <w:iCs/>
                <w:color w:val="000000"/>
                <w:sz w:val="20"/>
                <w:szCs w:val="20"/>
              </w:rPr>
            </w:pPr>
            <w:r>
              <w:rPr>
                <w:b/>
                <w:bCs/>
                <w:i/>
                <w:iCs/>
                <w:color w:val="000000"/>
                <w:sz w:val="20"/>
                <w:szCs w:val="20"/>
              </w:rPr>
              <w:t>Spolu = A+B+C+D</w:t>
            </w:r>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75BB54D6" w14:textId="77777777" w:rsidR="00437B1A" w:rsidRDefault="00437B1A">
            <w:pPr>
              <w:jc w:val="center"/>
              <w:rPr>
                <w:b/>
                <w:bCs/>
                <w:color w:val="000000"/>
                <w:sz w:val="20"/>
                <w:szCs w:val="20"/>
              </w:rPr>
            </w:pPr>
            <w:r>
              <w:rPr>
                <w:b/>
                <w:bCs/>
                <w:color w:val="000000"/>
                <w:sz w:val="20"/>
                <w:szCs w:val="20"/>
              </w:rPr>
              <w:t>2 033 908,08</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2EB27E45" w14:textId="77777777" w:rsidR="00437B1A" w:rsidRDefault="00437B1A">
            <w:pPr>
              <w:jc w:val="center"/>
              <w:rPr>
                <w:b/>
                <w:bCs/>
                <w:color w:val="000000"/>
                <w:sz w:val="20"/>
                <w:szCs w:val="20"/>
              </w:rPr>
            </w:pPr>
            <w:r>
              <w:rPr>
                <w:b/>
                <w:bCs/>
                <w:color w:val="000000"/>
                <w:sz w:val="20"/>
                <w:szCs w:val="20"/>
              </w:rPr>
              <w:t>0,00</w:t>
            </w:r>
          </w:p>
        </w:tc>
      </w:tr>
      <w:tr w:rsidR="00437B1A" w14:paraId="43B0BEFA" w14:textId="77777777" w:rsidTr="00437B1A">
        <w:trPr>
          <w:trHeight w:val="31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53661C4D" w14:textId="77777777" w:rsidR="00437B1A" w:rsidRDefault="00437B1A">
            <w:pPr>
              <w:rPr>
                <w:b/>
                <w:bCs/>
                <w:i/>
                <w:iCs/>
                <w:color w:val="000000"/>
                <w:sz w:val="20"/>
                <w:szCs w:val="20"/>
              </w:rPr>
            </w:pPr>
            <w:r>
              <w:rPr>
                <w:b/>
                <w:bCs/>
                <w:i/>
                <w:iCs/>
                <w:color w:val="000000"/>
                <w:sz w:val="20"/>
                <w:szCs w:val="20"/>
              </w:rPr>
              <w:t xml:space="preserve"> Z toho</w:t>
            </w:r>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0F58A325" w14:textId="77777777" w:rsidR="00437B1A" w:rsidRDefault="00437B1A">
            <w:pPr>
              <w:jc w:val="center"/>
              <w:rPr>
                <w:b/>
                <w:bCs/>
                <w:color w:val="000000"/>
                <w:sz w:val="20"/>
                <w:szCs w:val="20"/>
              </w:rPr>
            </w:pPr>
            <w:r>
              <w:rPr>
                <w:b/>
                <w:bCs/>
                <w:color w:val="000000"/>
                <w:sz w:val="20"/>
                <w:szCs w:val="20"/>
              </w:rPr>
              <w:t> </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56778EDE" w14:textId="77777777" w:rsidR="00437B1A" w:rsidRDefault="00437B1A">
            <w:pPr>
              <w:jc w:val="center"/>
              <w:rPr>
                <w:b/>
                <w:bCs/>
                <w:color w:val="000000"/>
                <w:sz w:val="20"/>
                <w:szCs w:val="20"/>
              </w:rPr>
            </w:pPr>
            <w:r>
              <w:rPr>
                <w:b/>
                <w:bCs/>
                <w:color w:val="000000"/>
                <w:sz w:val="20"/>
                <w:szCs w:val="20"/>
              </w:rPr>
              <w:t> </w:t>
            </w:r>
          </w:p>
        </w:tc>
      </w:tr>
      <w:tr w:rsidR="00437B1A" w14:paraId="224E9B48" w14:textId="77777777" w:rsidTr="00437B1A">
        <w:trPr>
          <w:trHeight w:val="640"/>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6E9B5EF9" w14:textId="77777777" w:rsidR="00437B1A" w:rsidRDefault="00437B1A">
            <w:pPr>
              <w:rPr>
                <w:b/>
                <w:bCs/>
                <w:i/>
                <w:iCs/>
                <w:color w:val="000000"/>
                <w:sz w:val="20"/>
                <w:szCs w:val="20"/>
              </w:rPr>
            </w:pPr>
            <w:r>
              <w:rPr>
                <w:b/>
                <w:bCs/>
                <w:i/>
                <w:iCs/>
                <w:color w:val="000000"/>
                <w:sz w:val="20"/>
                <w:szCs w:val="20"/>
              </w:rPr>
              <w:t xml:space="preserve">E. Vplyv na </w:t>
            </w:r>
            <w:proofErr w:type="spellStart"/>
            <w:r>
              <w:rPr>
                <w:b/>
                <w:bCs/>
                <w:i/>
                <w:iCs/>
                <w:color w:val="000000"/>
                <w:sz w:val="20"/>
                <w:szCs w:val="20"/>
              </w:rPr>
              <w:t>mikro</w:t>
            </w:r>
            <w:proofErr w:type="spellEnd"/>
            <w:r>
              <w:rPr>
                <w:b/>
                <w:bCs/>
                <w:i/>
                <w:iCs/>
                <w:color w:val="000000"/>
                <w:sz w:val="20"/>
                <w:szCs w:val="20"/>
              </w:rPr>
              <w:t xml:space="preserve">, malé a stredné </w:t>
            </w:r>
            <w:proofErr w:type="spellStart"/>
            <w:r>
              <w:rPr>
                <w:b/>
                <w:bCs/>
                <w:i/>
                <w:iCs/>
                <w:color w:val="000000"/>
                <w:sz w:val="20"/>
                <w:szCs w:val="20"/>
              </w:rPr>
              <w:t>podn</w:t>
            </w:r>
            <w:proofErr w:type="spellEnd"/>
            <w:r>
              <w:rPr>
                <w:b/>
                <w:bCs/>
                <w:i/>
                <w:iCs/>
                <w:color w:val="000000"/>
                <w:sz w:val="20"/>
                <w:szCs w:val="20"/>
              </w:rPr>
              <w:t>.</w:t>
            </w:r>
          </w:p>
        </w:tc>
        <w:tc>
          <w:tcPr>
            <w:tcW w:w="3045" w:type="dxa"/>
            <w:gridSpan w:val="2"/>
            <w:tcBorders>
              <w:top w:val="single" w:sz="4" w:space="0" w:color="auto"/>
              <w:left w:val="nil"/>
              <w:bottom w:val="single" w:sz="4" w:space="0" w:color="auto"/>
              <w:right w:val="single" w:sz="4" w:space="0" w:color="auto"/>
            </w:tcBorders>
            <w:shd w:val="clear" w:color="000000" w:fill="FFC000"/>
            <w:vAlign w:val="center"/>
            <w:hideMark/>
          </w:tcPr>
          <w:p w14:paraId="599774B6" w14:textId="77777777" w:rsidR="00437B1A" w:rsidRDefault="00437B1A">
            <w:pPr>
              <w:jc w:val="center"/>
              <w:rPr>
                <w:b/>
                <w:bCs/>
                <w:color w:val="000000"/>
                <w:sz w:val="20"/>
                <w:szCs w:val="20"/>
              </w:rPr>
            </w:pPr>
            <w:r>
              <w:rPr>
                <w:b/>
                <w:bCs/>
                <w:color w:val="000000"/>
                <w:sz w:val="20"/>
                <w:szCs w:val="20"/>
              </w:rPr>
              <w:t>0,00</w:t>
            </w:r>
          </w:p>
        </w:tc>
        <w:tc>
          <w:tcPr>
            <w:tcW w:w="2774" w:type="dxa"/>
            <w:gridSpan w:val="2"/>
            <w:tcBorders>
              <w:top w:val="single" w:sz="4" w:space="0" w:color="auto"/>
              <w:left w:val="nil"/>
              <w:bottom w:val="single" w:sz="4" w:space="0" w:color="auto"/>
              <w:right w:val="single" w:sz="8" w:space="0" w:color="000000"/>
            </w:tcBorders>
            <w:shd w:val="clear" w:color="000000" w:fill="92D050"/>
            <w:vAlign w:val="center"/>
            <w:hideMark/>
          </w:tcPr>
          <w:p w14:paraId="22654682" w14:textId="77777777" w:rsidR="00437B1A" w:rsidRDefault="00437B1A">
            <w:pPr>
              <w:jc w:val="center"/>
              <w:rPr>
                <w:b/>
                <w:bCs/>
                <w:color w:val="000000"/>
                <w:sz w:val="20"/>
                <w:szCs w:val="20"/>
              </w:rPr>
            </w:pPr>
            <w:r>
              <w:rPr>
                <w:b/>
                <w:bCs/>
                <w:color w:val="000000"/>
                <w:sz w:val="20"/>
                <w:szCs w:val="20"/>
              </w:rPr>
              <w:t>0,00</w:t>
            </w:r>
          </w:p>
        </w:tc>
      </w:tr>
      <w:tr w:rsidR="00437B1A" w14:paraId="161EADA5" w14:textId="77777777" w:rsidTr="00437B1A">
        <w:trPr>
          <w:trHeight w:val="1031"/>
        </w:trPr>
        <w:tc>
          <w:tcPr>
            <w:tcW w:w="3100" w:type="dxa"/>
            <w:tcBorders>
              <w:top w:val="nil"/>
              <w:left w:val="single" w:sz="8" w:space="0" w:color="auto"/>
              <w:bottom w:val="single" w:sz="8" w:space="0" w:color="auto"/>
              <w:right w:val="single" w:sz="4" w:space="0" w:color="auto"/>
            </w:tcBorders>
            <w:shd w:val="clear" w:color="auto" w:fill="auto"/>
            <w:vAlign w:val="center"/>
            <w:hideMark/>
          </w:tcPr>
          <w:p w14:paraId="3CA7D985" w14:textId="77777777" w:rsidR="00437B1A" w:rsidRDefault="00437B1A">
            <w:pPr>
              <w:rPr>
                <w:b/>
                <w:bCs/>
                <w:i/>
                <w:iCs/>
                <w:color w:val="000000"/>
                <w:sz w:val="20"/>
                <w:szCs w:val="20"/>
              </w:rPr>
            </w:pPr>
            <w:r>
              <w:rPr>
                <w:b/>
                <w:bCs/>
                <w:i/>
                <w:iCs/>
                <w:color w:val="000000"/>
                <w:sz w:val="20"/>
                <w:szCs w:val="20"/>
              </w:rPr>
              <w:t>F. Úplná harmonizácia práva EÚ</w:t>
            </w:r>
            <w:r>
              <w:rPr>
                <w:b/>
                <w:bCs/>
                <w:i/>
                <w:iCs/>
                <w:color w:val="000000"/>
                <w:sz w:val="20"/>
                <w:szCs w:val="20"/>
              </w:rPr>
              <w:br/>
            </w:r>
            <w:r>
              <w:rPr>
                <w:i/>
                <w:iCs/>
                <w:color w:val="000000"/>
                <w:sz w:val="16"/>
                <w:szCs w:val="16"/>
              </w:rPr>
              <w:t xml:space="preserve">(okrem daní, odvodov, ciel a poplatkov, ktorých cieľom je znižovať negatívne </w:t>
            </w:r>
            <w:proofErr w:type="spellStart"/>
            <w:r>
              <w:rPr>
                <w:i/>
                <w:iCs/>
                <w:color w:val="000000"/>
                <w:sz w:val="16"/>
                <w:szCs w:val="16"/>
              </w:rPr>
              <w:t>externality</w:t>
            </w:r>
            <w:proofErr w:type="spellEnd"/>
            <w:r>
              <w:rPr>
                <w:i/>
                <w:iCs/>
                <w:color w:val="000000"/>
                <w:sz w:val="16"/>
                <w:szCs w:val="16"/>
              </w:rPr>
              <w:t>)</w:t>
            </w:r>
          </w:p>
        </w:tc>
        <w:tc>
          <w:tcPr>
            <w:tcW w:w="3045" w:type="dxa"/>
            <w:gridSpan w:val="2"/>
            <w:tcBorders>
              <w:top w:val="single" w:sz="4" w:space="0" w:color="auto"/>
              <w:left w:val="nil"/>
              <w:bottom w:val="single" w:sz="8" w:space="0" w:color="auto"/>
              <w:right w:val="single" w:sz="4" w:space="0" w:color="auto"/>
            </w:tcBorders>
            <w:shd w:val="clear" w:color="000000" w:fill="FFC000"/>
            <w:vAlign w:val="center"/>
            <w:hideMark/>
          </w:tcPr>
          <w:p w14:paraId="0E509E48" w14:textId="77777777" w:rsidR="00437B1A" w:rsidRDefault="00437B1A">
            <w:pPr>
              <w:jc w:val="center"/>
              <w:rPr>
                <w:b/>
                <w:bCs/>
                <w:color w:val="000000"/>
                <w:sz w:val="20"/>
                <w:szCs w:val="20"/>
              </w:rPr>
            </w:pPr>
            <w:r>
              <w:rPr>
                <w:b/>
                <w:bCs/>
                <w:color w:val="000000"/>
                <w:sz w:val="20"/>
                <w:szCs w:val="20"/>
              </w:rPr>
              <w:t>0,00</w:t>
            </w:r>
          </w:p>
        </w:tc>
        <w:tc>
          <w:tcPr>
            <w:tcW w:w="2774" w:type="dxa"/>
            <w:gridSpan w:val="2"/>
            <w:tcBorders>
              <w:top w:val="single" w:sz="4" w:space="0" w:color="auto"/>
              <w:left w:val="nil"/>
              <w:bottom w:val="single" w:sz="8" w:space="0" w:color="auto"/>
              <w:right w:val="single" w:sz="8" w:space="0" w:color="000000"/>
            </w:tcBorders>
            <w:shd w:val="clear" w:color="000000" w:fill="92D050"/>
            <w:vAlign w:val="center"/>
            <w:hideMark/>
          </w:tcPr>
          <w:p w14:paraId="45D4F743" w14:textId="77777777" w:rsidR="00437B1A" w:rsidRDefault="00437B1A">
            <w:pPr>
              <w:jc w:val="center"/>
              <w:rPr>
                <w:b/>
                <w:bCs/>
                <w:color w:val="000000"/>
                <w:sz w:val="20"/>
                <w:szCs w:val="20"/>
              </w:rPr>
            </w:pPr>
            <w:r>
              <w:rPr>
                <w:b/>
                <w:bCs/>
                <w:color w:val="000000"/>
                <w:sz w:val="20"/>
                <w:szCs w:val="20"/>
              </w:rPr>
              <w:t>0,00</w:t>
            </w:r>
          </w:p>
        </w:tc>
      </w:tr>
      <w:tr w:rsidR="00437B1A" w14:paraId="5BB0D18C" w14:textId="77777777" w:rsidTr="00437B1A">
        <w:trPr>
          <w:trHeight w:val="281"/>
        </w:trPr>
        <w:tc>
          <w:tcPr>
            <w:tcW w:w="3100" w:type="dxa"/>
            <w:tcBorders>
              <w:top w:val="nil"/>
              <w:left w:val="nil"/>
              <w:bottom w:val="nil"/>
              <w:right w:val="nil"/>
            </w:tcBorders>
            <w:shd w:val="clear" w:color="auto" w:fill="auto"/>
            <w:noWrap/>
            <w:vAlign w:val="bottom"/>
            <w:hideMark/>
          </w:tcPr>
          <w:p w14:paraId="31F8406D" w14:textId="77777777" w:rsidR="00437B1A" w:rsidRDefault="00437B1A">
            <w:pPr>
              <w:jc w:val="center"/>
              <w:rPr>
                <w:b/>
                <w:bCs/>
                <w:color w:val="000000"/>
                <w:sz w:val="20"/>
                <w:szCs w:val="20"/>
              </w:rPr>
            </w:pPr>
          </w:p>
        </w:tc>
        <w:tc>
          <w:tcPr>
            <w:tcW w:w="2168" w:type="dxa"/>
            <w:tcBorders>
              <w:top w:val="nil"/>
              <w:left w:val="nil"/>
              <w:bottom w:val="nil"/>
              <w:right w:val="nil"/>
            </w:tcBorders>
            <w:shd w:val="clear" w:color="auto" w:fill="auto"/>
            <w:vAlign w:val="center"/>
            <w:hideMark/>
          </w:tcPr>
          <w:p w14:paraId="1BCC52E4" w14:textId="77777777" w:rsidR="00437B1A" w:rsidRDefault="00437B1A">
            <w:pPr>
              <w:rPr>
                <w:sz w:val="20"/>
                <w:szCs w:val="20"/>
              </w:rPr>
            </w:pPr>
          </w:p>
        </w:tc>
        <w:tc>
          <w:tcPr>
            <w:tcW w:w="876" w:type="dxa"/>
            <w:tcBorders>
              <w:top w:val="nil"/>
              <w:left w:val="nil"/>
              <w:bottom w:val="nil"/>
              <w:right w:val="nil"/>
            </w:tcBorders>
            <w:shd w:val="clear" w:color="auto" w:fill="auto"/>
            <w:vAlign w:val="center"/>
            <w:hideMark/>
          </w:tcPr>
          <w:p w14:paraId="0894BEA3" w14:textId="77777777" w:rsidR="00437B1A" w:rsidRDefault="00437B1A">
            <w:pPr>
              <w:rPr>
                <w:sz w:val="20"/>
                <w:szCs w:val="20"/>
              </w:rPr>
            </w:pPr>
          </w:p>
        </w:tc>
        <w:tc>
          <w:tcPr>
            <w:tcW w:w="1945" w:type="dxa"/>
            <w:tcBorders>
              <w:top w:val="nil"/>
              <w:left w:val="nil"/>
              <w:bottom w:val="nil"/>
              <w:right w:val="nil"/>
            </w:tcBorders>
            <w:shd w:val="clear" w:color="auto" w:fill="auto"/>
            <w:vAlign w:val="center"/>
            <w:hideMark/>
          </w:tcPr>
          <w:p w14:paraId="4D622378" w14:textId="77777777" w:rsidR="00437B1A" w:rsidRDefault="00437B1A">
            <w:pPr>
              <w:rPr>
                <w:sz w:val="20"/>
                <w:szCs w:val="20"/>
              </w:rPr>
            </w:pPr>
          </w:p>
        </w:tc>
        <w:tc>
          <w:tcPr>
            <w:tcW w:w="829" w:type="dxa"/>
            <w:tcBorders>
              <w:top w:val="nil"/>
              <w:left w:val="nil"/>
              <w:bottom w:val="nil"/>
              <w:right w:val="nil"/>
            </w:tcBorders>
            <w:shd w:val="clear" w:color="auto" w:fill="auto"/>
            <w:vAlign w:val="center"/>
            <w:hideMark/>
          </w:tcPr>
          <w:p w14:paraId="48F78B89" w14:textId="77777777" w:rsidR="00437B1A" w:rsidRDefault="00437B1A">
            <w:pPr>
              <w:rPr>
                <w:sz w:val="20"/>
                <w:szCs w:val="20"/>
              </w:rPr>
            </w:pPr>
          </w:p>
        </w:tc>
      </w:tr>
      <w:tr w:rsidR="00437B1A" w14:paraId="735158F6" w14:textId="77777777" w:rsidTr="00437B1A">
        <w:trPr>
          <w:trHeight w:val="343"/>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963CC57" w14:textId="77777777" w:rsidR="00437B1A" w:rsidRDefault="00437B1A">
            <w:pPr>
              <w:rPr>
                <w:i/>
                <w:iCs/>
                <w:color w:val="000000"/>
                <w:sz w:val="20"/>
                <w:szCs w:val="20"/>
              </w:rPr>
            </w:pPr>
            <w:r>
              <w:rPr>
                <w:i/>
                <w:iCs/>
                <w:color w:val="000000"/>
                <w:sz w:val="20"/>
                <w:szCs w:val="20"/>
              </w:rPr>
              <w:t>VÝPOČET PRAVIDLA 1in2out:</w:t>
            </w:r>
          </w:p>
        </w:tc>
        <w:tc>
          <w:tcPr>
            <w:tcW w:w="3045" w:type="dxa"/>
            <w:gridSpan w:val="2"/>
            <w:tcBorders>
              <w:top w:val="single" w:sz="8" w:space="0" w:color="auto"/>
              <w:left w:val="nil"/>
              <w:bottom w:val="single" w:sz="4" w:space="0" w:color="auto"/>
              <w:right w:val="single" w:sz="4" w:space="0" w:color="auto"/>
            </w:tcBorders>
            <w:shd w:val="clear" w:color="000000" w:fill="FFC000"/>
            <w:vAlign w:val="center"/>
            <w:hideMark/>
          </w:tcPr>
          <w:p w14:paraId="74A2EF55" w14:textId="77777777" w:rsidR="00437B1A" w:rsidRDefault="00437B1A">
            <w:pPr>
              <w:jc w:val="center"/>
              <w:rPr>
                <w:color w:val="000000"/>
                <w:sz w:val="20"/>
                <w:szCs w:val="20"/>
              </w:rPr>
            </w:pPr>
            <w:r>
              <w:rPr>
                <w:color w:val="000000"/>
                <w:sz w:val="20"/>
                <w:szCs w:val="20"/>
              </w:rPr>
              <w:t>IN</w:t>
            </w:r>
          </w:p>
        </w:tc>
        <w:tc>
          <w:tcPr>
            <w:tcW w:w="2774" w:type="dxa"/>
            <w:gridSpan w:val="2"/>
            <w:tcBorders>
              <w:top w:val="single" w:sz="8" w:space="0" w:color="auto"/>
              <w:left w:val="nil"/>
              <w:bottom w:val="single" w:sz="4" w:space="0" w:color="auto"/>
              <w:right w:val="single" w:sz="8" w:space="0" w:color="000000"/>
            </w:tcBorders>
            <w:shd w:val="clear" w:color="000000" w:fill="92D050"/>
            <w:vAlign w:val="center"/>
            <w:hideMark/>
          </w:tcPr>
          <w:p w14:paraId="29C485E5" w14:textId="77777777" w:rsidR="00437B1A" w:rsidRDefault="00437B1A">
            <w:pPr>
              <w:jc w:val="center"/>
              <w:rPr>
                <w:color w:val="000000"/>
                <w:sz w:val="20"/>
                <w:szCs w:val="20"/>
              </w:rPr>
            </w:pPr>
            <w:r>
              <w:rPr>
                <w:color w:val="000000"/>
                <w:sz w:val="20"/>
                <w:szCs w:val="20"/>
              </w:rPr>
              <w:t>OUT</w:t>
            </w:r>
          </w:p>
        </w:tc>
      </w:tr>
      <w:tr w:rsidR="00437B1A" w14:paraId="1244E453" w14:textId="77777777" w:rsidTr="00437B1A">
        <w:trPr>
          <w:trHeight w:val="359"/>
        </w:trPr>
        <w:tc>
          <w:tcPr>
            <w:tcW w:w="3100" w:type="dxa"/>
            <w:tcBorders>
              <w:top w:val="nil"/>
              <w:left w:val="single" w:sz="8" w:space="0" w:color="auto"/>
              <w:bottom w:val="single" w:sz="8" w:space="0" w:color="auto"/>
              <w:right w:val="single" w:sz="4" w:space="0" w:color="auto"/>
            </w:tcBorders>
            <w:shd w:val="clear" w:color="auto" w:fill="auto"/>
            <w:vAlign w:val="center"/>
            <w:hideMark/>
          </w:tcPr>
          <w:p w14:paraId="12CECD1B" w14:textId="77777777" w:rsidR="00437B1A" w:rsidRDefault="00437B1A">
            <w:pPr>
              <w:rPr>
                <w:i/>
                <w:iCs/>
                <w:color w:val="000000"/>
                <w:sz w:val="20"/>
                <w:szCs w:val="20"/>
              </w:rPr>
            </w:pPr>
            <w:r>
              <w:rPr>
                <w:i/>
                <w:iCs/>
                <w:color w:val="000000"/>
                <w:sz w:val="20"/>
                <w:szCs w:val="20"/>
              </w:rPr>
              <w:t>G. Náklady okrem výnimiek = B+C+D-F</w:t>
            </w:r>
          </w:p>
        </w:tc>
        <w:tc>
          <w:tcPr>
            <w:tcW w:w="3045" w:type="dxa"/>
            <w:gridSpan w:val="2"/>
            <w:tcBorders>
              <w:top w:val="single" w:sz="4" w:space="0" w:color="auto"/>
              <w:left w:val="nil"/>
              <w:bottom w:val="single" w:sz="8" w:space="0" w:color="auto"/>
              <w:right w:val="single" w:sz="4" w:space="0" w:color="auto"/>
            </w:tcBorders>
            <w:shd w:val="clear" w:color="000000" w:fill="FFC000"/>
            <w:vAlign w:val="center"/>
            <w:hideMark/>
          </w:tcPr>
          <w:p w14:paraId="229F427A" w14:textId="77777777" w:rsidR="00437B1A" w:rsidRDefault="00437B1A">
            <w:pPr>
              <w:jc w:val="center"/>
              <w:rPr>
                <w:b/>
                <w:bCs/>
                <w:color w:val="000000"/>
                <w:sz w:val="20"/>
                <w:szCs w:val="20"/>
              </w:rPr>
            </w:pPr>
            <w:r>
              <w:rPr>
                <w:b/>
                <w:bCs/>
                <w:color w:val="000000"/>
                <w:sz w:val="20"/>
                <w:szCs w:val="20"/>
              </w:rPr>
              <w:t>2 033 908,08</w:t>
            </w:r>
          </w:p>
        </w:tc>
        <w:tc>
          <w:tcPr>
            <w:tcW w:w="2774" w:type="dxa"/>
            <w:gridSpan w:val="2"/>
            <w:tcBorders>
              <w:top w:val="single" w:sz="4" w:space="0" w:color="auto"/>
              <w:left w:val="nil"/>
              <w:bottom w:val="single" w:sz="8" w:space="0" w:color="auto"/>
              <w:right w:val="single" w:sz="8" w:space="0" w:color="000000"/>
            </w:tcBorders>
            <w:shd w:val="clear" w:color="000000" w:fill="92D050"/>
            <w:vAlign w:val="center"/>
            <w:hideMark/>
          </w:tcPr>
          <w:p w14:paraId="52C6089A" w14:textId="77777777" w:rsidR="00437B1A" w:rsidRDefault="00437B1A">
            <w:pPr>
              <w:jc w:val="center"/>
              <w:rPr>
                <w:b/>
                <w:bCs/>
                <w:color w:val="000000"/>
                <w:sz w:val="20"/>
                <w:szCs w:val="20"/>
              </w:rPr>
            </w:pPr>
            <w:r>
              <w:rPr>
                <w:b/>
                <w:bCs/>
                <w:color w:val="000000"/>
                <w:sz w:val="20"/>
                <w:szCs w:val="20"/>
              </w:rPr>
              <w:t>0,00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645E3458" w:rsidR="00054C41"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Style w:val="Mriekatabuky"/>
        <w:tblW w:w="0" w:type="auto"/>
        <w:tblLook w:val="04A0" w:firstRow="1" w:lastRow="0" w:firstColumn="1" w:lastColumn="0" w:noHBand="0" w:noVBand="1"/>
      </w:tblPr>
      <w:tblGrid>
        <w:gridCol w:w="417"/>
        <w:gridCol w:w="1127"/>
        <w:gridCol w:w="657"/>
        <w:gridCol w:w="828"/>
        <w:gridCol w:w="920"/>
        <w:gridCol w:w="726"/>
        <w:gridCol w:w="963"/>
        <w:gridCol w:w="714"/>
        <w:gridCol w:w="714"/>
        <w:gridCol w:w="611"/>
        <w:gridCol w:w="721"/>
        <w:gridCol w:w="664"/>
      </w:tblGrid>
      <w:tr w:rsidR="00437B1A" w:rsidRPr="00437B1A" w14:paraId="6087A81E" w14:textId="77777777" w:rsidTr="00437B1A">
        <w:trPr>
          <w:trHeight w:val="276"/>
        </w:trPr>
        <w:tc>
          <w:tcPr>
            <w:tcW w:w="920" w:type="dxa"/>
            <w:vMerge w:val="restart"/>
            <w:hideMark/>
          </w:tcPr>
          <w:p w14:paraId="2EFB4A4D" w14:textId="77777777" w:rsidR="00437B1A" w:rsidRPr="00437B1A" w:rsidRDefault="00437B1A" w:rsidP="00437B1A">
            <w:pPr>
              <w:jc w:val="both"/>
              <w:rPr>
                <w:rFonts w:ascii="Times New Roman" w:eastAsia="Calibri" w:hAnsi="Times New Roman" w:cs="Times New Roman"/>
                <w:b/>
                <w:bCs/>
                <w:i/>
                <w:sz w:val="24"/>
                <w:szCs w:val="24"/>
              </w:rPr>
            </w:pPr>
            <w:proofErr w:type="spellStart"/>
            <w:r w:rsidRPr="00437B1A">
              <w:rPr>
                <w:rFonts w:ascii="Times New Roman" w:eastAsia="Calibri" w:hAnsi="Times New Roman" w:cs="Times New Roman"/>
                <w:b/>
                <w:bCs/>
                <w:i/>
                <w:sz w:val="24"/>
                <w:szCs w:val="24"/>
              </w:rPr>
              <w:t>P.č</w:t>
            </w:r>
            <w:proofErr w:type="spellEnd"/>
            <w:r w:rsidRPr="00437B1A">
              <w:rPr>
                <w:rFonts w:ascii="Times New Roman" w:eastAsia="Calibri" w:hAnsi="Times New Roman" w:cs="Times New Roman"/>
                <w:b/>
                <w:bCs/>
                <w:i/>
                <w:sz w:val="24"/>
                <w:szCs w:val="24"/>
              </w:rPr>
              <w:t>.</w:t>
            </w:r>
          </w:p>
        </w:tc>
        <w:tc>
          <w:tcPr>
            <w:tcW w:w="3880" w:type="dxa"/>
            <w:vMerge w:val="restart"/>
            <w:hideMark/>
          </w:tcPr>
          <w:p w14:paraId="795E2D15"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 xml:space="preserve">Zrozumiteľný a stručný opis regulácie </w:t>
            </w:r>
            <w:r w:rsidRPr="00437B1A">
              <w:rPr>
                <w:rFonts w:ascii="Times New Roman" w:eastAsia="Calibri" w:hAnsi="Times New Roman" w:cs="Times New Roman"/>
                <w:b/>
                <w:bCs/>
                <w:i/>
                <w:sz w:val="24"/>
                <w:szCs w:val="24"/>
              </w:rPr>
              <w:br/>
              <w:t>(dôvod zvýšenia/zníženia nákladov na PP)</w:t>
            </w:r>
          </w:p>
        </w:tc>
        <w:tc>
          <w:tcPr>
            <w:tcW w:w="1620" w:type="dxa"/>
            <w:vMerge w:val="restart"/>
            <w:hideMark/>
          </w:tcPr>
          <w:p w14:paraId="2CF478EA"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Číslo normy</w:t>
            </w:r>
            <w:r w:rsidRPr="00437B1A">
              <w:rPr>
                <w:rFonts w:ascii="Times New Roman" w:eastAsia="Calibri" w:hAnsi="Times New Roman" w:cs="Times New Roman"/>
                <w:b/>
                <w:bCs/>
                <w:i/>
                <w:sz w:val="24"/>
                <w:szCs w:val="24"/>
              </w:rPr>
              <w:br/>
            </w:r>
            <w:r w:rsidRPr="00437B1A">
              <w:rPr>
                <w:rFonts w:ascii="Times New Roman" w:eastAsia="Calibri" w:hAnsi="Times New Roman" w:cs="Times New Roman"/>
                <w:i/>
                <w:sz w:val="24"/>
                <w:szCs w:val="24"/>
              </w:rPr>
              <w:t>(zákona, vyhlášky a pod.)</w:t>
            </w:r>
          </w:p>
        </w:tc>
        <w:tc>
          <w:tcPr>
            <w:tcW w:w="1100" w:type="dxa"/>
            <w:vMerge w:val="restart"/>
            <w:hideMark/>
          </w:tcPr>
          <w:p w14:paraId="39CF6D45"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Lokalizácia</w:t>
            </w:r>
            <w:r w:rsidRPr="00437B1A">
              <w:rPr>
                <w:rFonts w:ascii="Times New Roman" w:eastAsia="Calibri" w:hAnsi="Times New Roman" w:cs="Times New Roman"/>
                <w:b/>
                <w:bCs/>
                <w:i/>
                <w:sz w:val="24"/>
                <w:szCs w:val="24"/>
              </w:rPr>
              <w:br/>
              <w:t>(§, ods.)</w:t>
            </w:r>
          </w:p>
        </w:tc>
        <w:tc>
          <w:tcPr>
            <w:tcW w:w="1400" w:type="dxa"/>
            <w:vMerge w:val="restart"/>
            <w:hideMark/>
          </w:tcPr>
          <w:p w14:paraId="659FB5BF"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 xml:space="preserve">Pôvod regulácie: </w:t>
            </w:r>
            <w:r w:rsidRPr="00437B1A">
              <w:rPr>
                <w:rFonts w:ascii="Times New Roman" w:eastAsia="Calibri" w:hAnsi="Times New Roman" w:cs="Times New Roman"/>
                <w:b/>
                <w:bCs/>
                <w:i/>
                <w:sz w:val="24"/>
                <w:szCs w:val="24"/>
              </w:rPr>
              <w:br/>
            </w:r>
            <w:r w:rsidRPr="00437B1A">
              <w:rPr>
                <w:rFonts w:ascii="Times New Roman" w:eastAsia="Calibri" w:hAnsi="Times New Roman" w:cs="Times New Roman"/>
                <w:i/>
                <w:sz w:val="24"/>
                <w:szCs w:val="24"/>
              </w:rPr>
              <w:t xml:space="preserve">SR/EÚ úplná </w:t>
            </w:r>
            <w:proofErr w:type="spellStart"/>
            <w:r w:rsidRPr="00437B1A">
              <w:rPr>
                <w:rFonts w:ascii="Times New Roman" w:eastAsia="Calibri" w:hAnsi="Times New Roman" w:cs="Times New Roman"/>
                <w:i/>
                <w:sz w:val="24"/>
                <w:szCs w:val="24"/>
              </w:rPr>
              <w:t>harm</w:t>
            </w:r>
            <w:proofErr w:type="spellEnd"/>
            <w:r w:rsidRPr="00437B1A">
              <w:rPr>
                <w:rFonts w:ascii="Times New Roman" w:eastAsia="Calibri" w:hAnsi="Times New Roman" w:cs="Times New Roman"/>
                <w:i/>
                <w:sz w:val="24"/>
                <w:szCs w:val="24"/>
              </w:rPr>
              <w:t xml:space="preserve">./EÚ </w:t>
            </w:r>
            <w:proofErr w:type="spellStart"/>
            <w:r w:rsidRPr="00437B1A">
              <w:rPr>
                <w:rFonts w:ascii="Times New Roman" w:eastAsia="Calibri" w:hAnsi="Times New Roman" w:cs="Times New Roman"/>
                <w:i/>
                <w:sz w:val="24"/>
                <w:szCs w:val="24"/>
              </w:rPr>
              <w:t>harm</w:t>
            </w:r>
            <w:proofErr w:type="spellEnd"/>
            <w:r w:rsidRPr="00437B1A">
              <w:rPr>
                <w:rFonts w:ascii="Times New Roman" w:eastAsia="Calibri" w:hAnsi="Times New Roman" w:cs="Times New Roman"/>
                <w:i/>
                <w:sz w:val="24"/>
                <w:szCs w:val="24"/>
              </w:rPr>
              <w:t>. s možnosťou voľby</w:t>
            </w:r>
          </w:p>
        </w:tc>
        <w:tc>
          <w:tcPr>
            <w:tcW w:w="1040" w:type="dxa"/>
            <w:vMerge w:val="restart"/>
            <w:hideMark/>
          </w:tcPr>
          <w:p w14:paraId="3B0C5DBE"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Účinnosť regulácie</w:t>
            </w:r>
          </w:p>
        </w:tc>
        <w:tc>
          <w:tcPr>
            <w:tcW w:w="4600" w:type="dxa"/>
            <w:vMerge w:val="restart"/>
            <w:hideMark/>
          </w:tcPr>
          <w:p w14:paraId="64751771"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 xml:space="preserve">Kategória </w:t>
            </w:r>
            <w:proofErr w:type="spellStart"/>
            <w:r w:rsidRPr="00437B1A">
              <w:rPr>
                <w:rFonts w:ascii="Times New Roman" w:eastAsia="Calibri" w:hAnsi="Times New Roman" w:cs="Times New Roman"/>
                <w:b/>
                <w:bCs/>
                <w:i/>
                <w:sz w:val="24"/>
                <w:szCs w:val="24"/>
              </w:rPr>
              <w:t>dotk</w:t>
            </w:r>
            <w:proofErr w:type="spellEnd"/>
            <w:r w:rsidRPr="00437B1A">
              <w:rPr>
                <w:rFonts w:ascii="Times New Roman" w:eastAsia="Calibri" w:hAnsi="Times New Roman" w:cs="Times New Roman"/>
                <w:b/>
                <w:bCs/>
                <w:i/>
                <w:sz w:val="24"/>
                <w:szCs w:val="24"/>
              </w:rPr>
              <w:t>. subjektov</w:t>
            </w:r>
          </w:p>
        </w:tc>
        <w:tc>
          <w:tcPr>
            <w:tcW w:w="1120" w:type="dxa"/>
            <w:vMerge w:val="restart"/>
            <w:hideMark/>
          </w:tcPr>
          <w:p w14:paraId="7B112695"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 xml:space="preserve">Počet subjektov spolu </w:t>
            </w:r>
          </w:p>
        </w:tc>
        <w:tc>
          <w:tcPr>
            <w:tcW w:w="1400" w:type="dxa"/>
            <w:vMerge w:val="restart"/>
            <w:hideMark/>
          </w:tcPr>
          <w:p w14:paraId="5C022ED8"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Počet subjektov MSP</w:t>
            </w:r>
          </w:p>
        </w:tc>
        <w:tc>
          <w:tcPr>
            <w:tcW w:w="1200" w:type="dxa"/>
            <w:vMerge w:val="restart"/>
            <w:hideMark/>
          </w:tcPr>
          <w:p w14:paraId="5ACBF31A"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Vplyv na 1 podnik. v €</w:t>
            </w:r>
          </w:p>
        </w:tc>
        <w:tc>
          <w:tcPr>
            <w:tcW w:w="1360" w:type="dxa"/>
            <w:vMerge w:val="restart"/>
            <w:hideMark/>
          </w:tcPr>
          <w:p w14:paraId="5D3A1618"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 xml:space="preserve">Vplyv na kategóriu </w:t>
            </w:r>
            <w:proofErr w:type="spellStart"/>
            <w:r w:rsidRPr="00437B1A">
              <w:rPr>
                <w:rFonts w:ascii="Times New Roman" w:eastAsia="Calibri" w:hAnsi="Times New Roman" w:cs="Times New Roman"/>
                <w:b/>
                <w:bCs/>
                <w:i/>
                <w:sz w:val="24"/>
                <w:szCs w:val="24"/>
              </w:rPr>
              <w:t>dotk</w:t>
            </w:r>
            <w:proofErr w:type="spellEnd"/>
            <w:r w:rsidRPr="00437B1A">
              <w:rPr>
                <w:rFonts w:ascii="Times New Roman" w:eastAsia="Calibri" w:hAnsi="Times New Roman" w:cs="Times New Roman"/>
                <w:b/>
                <w:bCs/>
                <w:i/>
                <w:sz w:val="24"/>
                <w:szCs w:val="24"/>
              </w:rPr>
              <w:t>. subjektov v €</w:t>
            </w:r>
          </w:p>
        </w:tc>
        <w:tc>
          <w:tcPr>
            <w:tcW w:w="1940" w:type="dxa"/>
            <w:vMerge w:val="restart"/>
            <w:hideMark/>
          </w:tcPr>
          <w:p w14:paraId="186E74E8" w14:textId="77777777" w:rsidR="00437B1A" w:rsidRPr="00437B1A" w:rsidRDefault="00437B1A" w:rsidP="00437B1A">
            <w:pPr>
              <w:jc w:val="both"/>
              <w:rPr>
                <w:rFonts w:ascii="Times New Roman" w:eastAsia="Calibri" w:hAnsi="Times New Roman" w:cs="Times New Roman"/>
                <w:b/>
                <w:bCs/>
                <w:i/>
                <w:sz w:val="24"/>
                <w:szCs w:val="24"/>
              </w:rPr>
            </w:pPr>
            <w:r w:rsidRPr="00437B1A">
              <w:rPr>
                <w:rFonts w:ascii="Times New Roman" w:eastAsia="Calibri" w:hAnsi="Times New Roman" w:cs="Times New Roman"/>
                <w:b/>
                <w:bCs/>
                <w:i/>
                <w:sz w:val="24"/>
                <w:szCs w:val="24"/>
              </w:rPr>
              <w:t>Druh vplyvu</w:t>
            </w:r>
            <w:r w:rsidRPr="00437B1A">
              <w:rPr>
                <w:rFonts w:ascii="Times New Roman" w:eastAsia="Calibri" w:hAnsi="Times New Roman" w:cs="Times New Roman"/>
                <w:b/>
                <w:bCs/>
                <w:i/>
                <w:sz w:val="24"/>
                <w:szCs w:val="24"/>
              </w:rPr>
              <w:br/>
            </w:r>
            <w:r w:rsidRPr="00437B1A">
              <w:rPr>
                <w:rFonts w:ascii="Times New Roman" w:eastAsia="Calibri" w:hAnsi="Times New Roman" w:cs="Times New Roman"/>
                <w:i/>
                <w:sz w:val="24"/>
                <w:szCs w:val="24"/>
              </w:rPr>
              <w:t xml:space="preserve">In (zvyšuje náklady) / </w:t>
            </w:r>
            <w:r w:rsidRPr="00437B1A">
              <w:rPr>
                <w:rFonts w:ascii="Times New Roman" w:eastAsia="Calibri" w:hAnsi="Times New Roman" w:cs="Times New Roman"/>
                <w:i/>
                <w:sz w:val="24"/>
                <w:szCs w:val="24"/>
              </w:rPr>
              <w:br/>
            </w:r>
            <w:proofErr w:type="spellStart"/>
            <w:r w:rsidRPr="00437B1A">
              <w:rPr>
                <w:rFonts w:ascii="Times New Roman" w:eastAsia="Calibri" w:hAnsi="Times New Roman" w:cs="Times New Roman"/>
                <w:i/>
                <w:sz w:val="24"/>
                <w:szCs w:val="24"/>
              </w:rPr>
              <w:t>Out</w:t>
            </w:r>
            <w:proofErr w:type="spellEnd"/>
            <w:r w:rsidRPr="00437B1A">
              <w:rPr>
                <w:rFonts w:ascii="Times New Roman" w:eastAsia="Calibri" w:hAnsi="Times New Roman" w:cs="Times New Roman"/>
                <w:i/>
                <w:sz w:val="24"/>
                <w:szCs w:val="24"/>
              </w:rPr>
              <w:t xml:space="preserve"> (znižuje náklady)</w:t>
            </w:r>
          </w:p>
        </w:tc>
      </w:tr>
      <w:tr w:rsidR="00437B1A" w:rsidRPr="00437B1A" w14:paraId="14C4FCA1" w14:textId="77777777" w:rsidTr="00437B1A">
        <w:trPr>
          <w:trHeight w:val="458"/>
        </w:trPr>
        <w:tc>
          <w:tcPr>
            <w:tcW w:w="920" w:type="dxa"/>
            <w:vMerge/>
            <w:hideMark/>
          </w:tcPr>
          <w:p w14:paraId="4F497DCF" w14:textId="77777777" w:rsidR="00437B1A" w:rsidRPr="00437B1A" w:rsidRDefault="00437B1A" w:rsidP="00437B1A">
            <w:pPr>
              <w:jc w:val="both"/>
              <w:rPr>
                <w:rFonts w:ascii="Times New Roman" w:eastAsia="Calibri" w:hAnsi="Times New Roman" w:cs="Times New Roman"/>
                <w:b/>
                <w:bCs/>
                <w:i/>
                <w:sz w:val="24"/>
                <w:szCs w:val="24"/>
              </w:rPr>
            </w:pPr>
          </w:p>
        </w:tc>
        <w:tc>
          <w:tcPr>
            <w:tcW w:w="3880" w:type="dxa"/>
            <w:vMerge/>
            <w:hideMark/>
          </w:tcPr>
          <w:p w14:paraId="516C5227" w14:textId="77777777" w:rsidR="00437B1A" w:rsidRPr="00437B1A" w:rsidRDefault="00437B1A" w:rsidP="00437B1A">
            <w:pPr>
              <w:jc w:val="both"/>
              <w:rPr>
                <w:rFonts w:ascii="Times New Roman" w:eastAsia="Calibri" w:hAnsi="Times New Roman" w:cs="Times New Roman"/>
                <w:b/>
                <w:bCs/>
                <w:i/>
                <w:sz w:val="24"/>
                <w:szCs w:val="24"/>
              </w:rPr>
            </w:pPr>
          </w:p>
        </w:tc>
        <w:tc>
          <w:tcPr>
            <w:tcW w:w="1620" w:type="dxa"/>
            <w:vMerge/>
            <w:hideMark/>
          </w:tcPr>
          <w:p w14:paraId="439887D9" w14:textId="77777777" w:rsidR="00437B1A" w:rsidRPr="00437B1A" w:rsidRDefault="00437B1A" w:rsidP="00437B1A">
            <w:pPr>
              <w:jc w:val="both"/>
              <w:rPr>
                <w:rFonts w:ascii="Times New Roman" w:eastAsia="Calibri" w:hAnsi="Times New Roman" w:cs="Times New Roman"/>
                <w:b/>
                <w:bCs/>
                <w:i/>
                <w:sz w:val="24"/>
                <w:szCs w:val="24"/>
              </w:rPr>
            </w:pPr>
          </w:p>
        </w:tc>
        <w:tc>
          <w:tcPr>
            <w:tcW w:w="1100" w:type="dxa"/>
            <w:vMerge/>
            <w:hideMark/>
          </w:tcPr>
          <w:p w14:paraId="4DA055F7"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1B0EBF2C" w14:textId="77777777" w:rsidR="00437B1A" w:rsidRPr="00437B1A" w:rsidRDefault="00437B1A" w:rsidP="00437B1A">
            <w:pPr>
              <w:jc w:val="both"/>
              <w:rPr>
                <w:rFonts w:ascii="Times New Roman" w:eastAsia="Calibri" w:hAnsi="Times New Roman" w:cs="Times New Roman"/>
                <w:b/>
                <w:bCs/>
                <w:i/>
                <w:sz w:val="24"/>
                <w:szCs w:val="24"/>
              </w:rPr>
            </w:pPr>
          </w:p>
        </w:tc>
        <w:tc>
          <w:tcPr>
            <w:tcW w:w="1040" w:type="dxa"/>
            <w:vMerge/>
            <w:hideMark/>
          </w:tcPr>
          <w:p w14:paraId="1FC8B7AE" w14:textId="77777777" w:rsidR="00437B1A" w:rsidRPr="00437B1A" w:rsidRDefault="00437B1A" w:rsidP="00437B1A">
            <w:pPr>
              <w:jc w:val="both"/>
              <w:rPr>
                <w:rFonts w:ascii="Times New Roman" w:eastAsia="Calibri" w:hAnsi="Times New Roman" w:cs="Times New Roman"/>
                <w:b/>
                <w:bCs/>
                <w:i/>
                <w:sz w:val="24"/>
                <w:szCs w:val="24"/>
              </w:rPr>
            </w:pPr>
          </w:p>
        </w:tc>
        <w:tc>
          <w:tcPr>
            <w:tcW w:w="4600" w:type="dxa"/>
            <w:vMerge/>
            <w:hideMark/>
          </w:tcPr>
          <w:p w14:paraId="723B46A1" w14:textId="77777777" w:rsidR="00437B1A" w:rsidRPr="00437B1A" w:rsidRDefault="00437B1A" w:rsidP="00437B1A">
            <w:pPr>
              <w:jc w:val="both"/>
              <w:rPr>
                <w:rFonts w:ascii="Times New Roman" w:eastAsia="Calibri" w:hAnsi="Times New Roman" w:cs="Times New Roman"/>
                <w:b/>
                <w:bCs/>
                <w:i/>
                <w:sz w:val="24"/>
                <w:szCs w:val="24"/>
              </w:rPr>
            </w:pPr>
          </w:p>
        </w:tc>
        <w:tc>
          <w:tcPr>
            <w:tcW w:w="1120" w:type="dxa"/>
            <w:vMerge/>
            <w:hideMark/>
          </w:tcPr>
          <w:p w14:paraId="67118612"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26515CD9" w14:textId="77777777" w:rsidR="00437B1A" w:rsidRPr="00437B1A" w:rsidRDefault="00437B1A" w:rsidP="00437B1A">
            <w:pPr>
              <w:jc w:val="both"/>
              <w:rPr>
                <w:rFonts w:ascii="Times New Roman" w:eastAsia="Calibri" w:hAnsi="Times New Roman" w:cs="Times New Roman"/>
                <w:b/>
                <w:bCs/>
                <w:i/>
                <w:sz w:val="24"/>
                <w:szCs w:val="24"/>
              </w:rPr>
            </w:pPr>
          </w:p>
        </w:tc>
        <w:tc>
          <w:tcPr>
            <w:tcW w:w="1200" w:type="dxa"/>
            <w:vMerge/>
            <w:hideMark/>
          </w:tcPr>
          <w:p w14:paraId="1A63B16C" w14:textId="77777777" w:rsidR="00437B1A" w:rsidRPr="00437B1A" w:rsidRDefault="00437B1A" w:rsidP="00437B1A">
            <w:pPr>
              <w:jc w:val="both"/>
              <w:rPr>
                <w:rFonts w:ascii="Times New Roman" w:eastAsia="Calibri" w:hAnsi="Times New Roman" w:cs="Times New Roman"/>
                <w:b/>
                <w:bCs/>
                <w:i/>
                <w:sz w:val="24"/>
                <w:szCs w:val="24"/>
              </w:rPr>
            </w:pPr>
          </w:p>
        </w:tc>
        <w:tc>
          <w:tcPr>
            <w:tcW w:w="1360" w:type="dxa"/>
            <w:vMerge/>
            <w:hideMark/>
          </w:tcPr>
          <w:p w14:paraId="7D9A45BC" w14:textId="77777777" w:rsidR="00437B1A" w:rsidRPr="00437B1A" w:rsidRDefault="00437B1A" w:rsidP="00437B1A">
            <w:pPr>
              <w:jc w:val="both"/>
              <w:rPr>
                <w:rFonts w:ascii="Times New Roman" w:eastAsia="Calibri" w:hAnsi="Times New Roman" w:cs="Times New Roman"/>
                <w:b/>
                <w:bCs/>
                <w:i/>
                <w:sz w:val="24"/>
                <w:szCs w:val="24"/>
              </w:rPr>
            </w:pPr>
          </w:p>
        </w:tc>
        <w:tc>
          <w:tcPr>
            <w:tcW w:w="1940" w:type="dxa"/>
            <w:vMerge/>
            <w:hideMark/>
          </w:tcPr>
          <w:p w14:paraId="227244C5" w14:textId="77777777" w:rsidR="00437B1A" w:rsidRPr="00437B1A" w:rsidRDefault="00437B1A" w:rsidP="00437B1A">
            <w:pPr>
              <w:jc w:val="both"/>
              <w:rPr>
                <w:rFonts w:ascii="Times New Roman" w:eastAsia="Calibri" w:hAnsi="Times New Roman" w:cs="Times New Roman"/>
                <w:b/>
                <w:bCs/>
                <w:i/>
                <w:sz w:val="24"/>
                <w:szCs w:val="24"/>
              </w:rPr>
            </w:pPr>
          </w:p>
        </w:tc>
      </w:tr>
      <w:tr w:rsidR="00437B1A" w:rsidRPr="00437B1A" w14:paraId="6431EACB" w14:textId="77777777" w:rsidTr="00437B1A">
        <w:trPr>
          <w:trHeight w:val="458"/>
        </w:trPr>
        <w:tc>
          <w:tcPr>
            <w:tcW w:w="920" w:type="dxa"/>
            <w:vMerge/>
            <w:hideMark/>
          </w:tcPr>
          <w:p w14:paraId="641C75C4" w14:textId="77777777" w:rsidR="00437B1A" w:rsidRPr="00437B1A" w:rsidRDefault="00437B1A" w:rsidP="00437B1A">
            <w:pPr>
              <w:jc w:val="both"/>
              <w:rPr>
                <w:rFonts w:ascii="Times New Roman" w:eastAsia="Calibri" w:hAnsi="Times New Roman" w:cs="Times New Roman"/>
                <w:b/>
                <w:bCs/>
                <w:i/>
                <w:sz w:val="24"/>
                <w:szCs w:val="24"/>
              </w:rPr>
            </w:pPr>
          </w:p>
        </w:tc>
        <w:tc>
          <w:tcPr>
            <w:tcW w:w="3880" w:type="dxa"/>
            <w:vMerge/>
            <w:hideMark/>
          </w:tcPr>
          <w:p w14:paraId="32DED2C5" w14:textId="77777777" w:rsidR="00437B1A" w:rsidRPr="00437B1A" w:rsidRDefault="00437B1A" w:rsidP="00437B1A">
            <w:pPr>
              <w:jc w:val="both"/>
              <w:rPr>
                <w:rFonts w:ascii="Times New Roman" w:eastAsia="Calibri" w:hAnsi="Times New Roman" w:cs="Times New Roman"/>
                <w:b/>
                <w:bCs/>
                <w:i/>
                <w:sz w:val="24"/>
                <w:szCs w:val="24"/>
              </w:rPr>
            </w:pPr>
          </w:p>
        </w:tc>
        <w:tc>
          <w:tcPr>
            <w:tcW w:w="1620" w:type="dxa"/>
            <w:vMerge/>
            <w:hideMark/>
          </w:tcPr>
          <w:p w14:paraId="29489EFE" w14:textId="77777777" w:rsidR="00437B1A" w:rsidRPr="00437B1A" w:rsidRDefault="00437B1A" w:rsidP="00437B1A">
            <w:pPr>
              <w:jc w:val="both"/>
              <w:rPr>
                <w:rFonts w:ascii="Times New Roman" w:eastAsia="Calibri" w:hAnsi="Times New Roman" w:cs="Times New Roman"/>
                <w:b/>
                <w:bCs/>
                <w:i/>
                <w:sz w:val="24"/>
                <w:szCs w:val="24"/>
              </w:rPr>
            </w:pPr>
          </w:p>
        </w:tc>
        <w:tc>
          <w:tcPr>
            <w:tcW w:w="1100" w:type="dxa"/>
            <w:vMerge/>
            <w:hideMark/>
          </w:tcPr>
          <w:p w14:paraId="62083E6D"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714FD8BA" w14:textId="77777777" w:rsidR="00437B1A" w:rsidRPr="00437B1A" w:rsidRDefault="00437B1A" w:rsidP="00437B1A">
            <w:pPr>
              <w:jc w:val="both"/>
              <w:rPr>
                <w:rFonts w:ascii="Times New Roman" w:eastAsia="Calibri" w:hAnsi="Times New Roman" w:cs="Times New Roman"/>
                <w:b/>
                <w:bCs/>
                <w:i/>
                <w:sz w:val="24"/>
                <w:szCs w:val="24"/>
              </w:rPr>
            </w:pPr>
          </w:p>
        </w:tc>
        <w:tc>
          <w:tcPr>
            <w:tcW w:w="1040" w:type="dxa"/>
            <w:vMerge/>
            <w:hideMark/>
          </w:tcPr>
          <w:p w14:paraId="1F3A3E73" w14:textId="77777777" w:rsidR="00437B1A" w:rsidRPr="00437B1A" w:rsidRDefault="00437B1A" w:rsidP="00437B1A">
            <w:pPr>
              <w:jc w:val="both"/>
              <w:rPr>
                <w:rFonts w:ascii="Times New Roman" w:eastAsia="Calibri" w:hAnsi="Times New Roman" w:cs="Times New Roman"/>
                <w:b/>
                <w:bCs/>
                <w:i/>
                <w:sz w:val="24"/>
                <w:szCs w:val="24"/>
              </w:rPr>
            </w:pPr>
          </w:p>
        </w:tc>
        <w:tc>
          <w:tcPr>
            <w:tcW w:w="4600" w:type="dxa"/>
            <w:vMerge/>
            <w:hideMark/>
          </w:tcPr>
          <w:p w14:paraId="187A8464" w14:textId="77777777" w:rsidR="00437B1A" w:rsidRPr="00437B1A" w:rsidRDefault="00437B1A" w:rsidP="00437B1A">
            <w:pPr>
              <w:jc w:val="both"/>
              <w:rPr>
                <w:rFonts w:ascii="Times New Roman" w:eastAsia="Calibri" w:hAnsi="Times New Roman" w:cs="Times New Roman"/>
                <w:b/>
                <w:bCs/>
                <w:i/>
                <w:sz w:val="24"/>
                <w:szCs w:val="24"/>
              </w:rPr>
            </w:pPr>
          </w:p>
        </w:tc>
        <w:tc>
          <w:tcPr>
            <w:tcW w:w="1120" w:type="dxa"/>
            <w:vMerge/>
            <w:hideMark/>
          </w:tcPr>
          <w:p w14:paraId="2F35B62A"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3A9A27D3" w14:textId="77777777" w:rsidR="00437B1A" w:rsidRPr="00437B1A" w:rsidRDefault="00437B1A" w:rsidP="00437B1A">
            <w:pPr>
              <w:jc w:val="both"/>
              <w:rPr>
                <w:rFonts w:ascii="Times New Roman" w:eastAsia="Calibri" w:hAnsi="Times New Roman" w:cs="Times New Roman"/>
                <w:b/>
                <w:bCs/>
                <w:i/>
                <w:sz w:val="24"/>
                <w:szCs w:val="24"/>
              </w:rPr>
            </w:pPr>
          </w:p>
        </w:tc>
        <w:tc>
          <w:tcPr>
            <w:tcW w:w="1200" w:type="dxa"/>
            <w:vMerge/>
            <w:hideMark/>
          </w:tcPr>
          <w:p w14:paraId="46F696D4" w14:textId="77777777" w:rsidR="00437B1A" w:rsidRPr="00437B1A" w:rsidRDefault="00437B1A" w:rsidP="00437B1A">
            <w:pPr>
              <w:jc w:val="both"/>
              <w:rPr>
                <w:rFonts w:ascii="Times New Roman" w:eastAsia="Calibri" w:hAnsi="Times New Roman" w:cs="Times New Roman"/>
                <w:b/>
                <w:bCs/>
                <w:i/>
                <w:sz w:val="24"/>
                <w:szCs w:val="24"/>
              </w:rPr>
            </w:pPr>
          </w:p>
        </w:tc>
        <w:tc>
          <w:tcPr>
            <w:tcW w:w="1360" w:type="dxa"/>
            <w:vMerge/>
            <w:hideMark/>
          </w:tcPr>
          <w:p w14:paraId="7D05204C" w14:textId="77777777" w:rsidR="00437B1A" w:rsidRPr="00437B1A" w:rsidRDefault="00437B1A" w:rsidP="00437B1A">
            <w:pPr>
              <w:jc w:val="both"/>
              <w:rPr>
                <w:rFonts w:ascii="Times New Roman" w:eastAsia="Calibri" w:hAnsi="Times New Roman" w:cs="Times New Roman"/>
                <w:b/>
                <w:bCs/>
                <w:i/>
                <w:sz w:val="24"/>
                <w:szCs w:val="24"/>
              </w:rPr>
            </w:pPr>
          </w:p>
        </w:tc>
        <w:tc>
          <w:tcPr>
            <w:tcW w:w="1940" w:type="dxa"/>
            <w:vMerge/>
            <w:hideMark/>
          </w:tcPr>
          <w:p w14:paraId="48B50948" w14:textId="77777777" w:rsidR="00437B1A" w:rsidRPr="00437B1A" w:rsidRDefault="00437B1A" w:rsidP="00437B1A">
            <w:pPr>
              <w:jc w:val="both"/>
              <w:rPr>
                <w:rFonts w:ascii="Times New Roman" w:eastAsia="Calibri" w:hAnsi="Times New Roman" w:cs="Times New Roman"/>
                <w:b/>
                <w:bCs/>
                <w:i/>
                <w:sz w:val="24"/>
                <w:szCs w:val="24"/>
              </w:rPr>
            </w:pPr>
          </w:p>
        </w:tc>
      </w:tr>
      <w:tr w:rsidR="00437B1A" w:rsidRPr="00437B1A" w14:paraId="036B78E3" w14:textId="77777777" w:rsidTr="00437B1A">
        <w:trPr>
          <w:trHeight w:val="458"/>
        </w:trPr>
        <w:tc>
          <w:tcPr>
            <w:tcW w:w="920" w:type="dxa"/>
            <w:vMerge/>
            <w:hideMark/>
          </w:tcPr>
          <w:p w14:paraId="6A094D34" w14:textId="77777777" w:rsidR="00437B1A" w:rsidRPr="00437B1A" w:rsidRDefault="00437B1A" w:rsidP="00437B1A">
            <w:pPr>
              <w:jc w:val="both"/>
              <w:rPr>
                <w:rFonts w:ascii="Times New Roman" w:eastAsia="Calibri" w:hAnsi="Times New Roman" w:cs="Times New Roman"/>
                <w:b/>
                <w:bCs/>
                <w:i/>
                <w:sz w:val="24"/>
                <w:szCs w:val="24"/>
              </w:rPr>
            </w:pPr>
          </w:p>
        </w:tc>
        <w:tc>
          <w:tcPr>
            <w:tcW w:w="3880" w:type="dxa"/>
            <w:vMerge/>
            <w:hideMark/>
          </w:tcPr>
          <w:p w14:paraId="01E3AD78" w14:textId="77777777" w:rsidR="00437B1A" w:rsidRPr="00437B1A" w:rsidRDefault="00437B1A" w:rsidP="00437B1A">
            <w:pPr>
              <w:jc w:val="both"/>
              <w:rPr>
                <w:rFonts w:ascii="Times New Roman" w:eastAsia="Calibri" w:hAnsi="Times New Roman" w:cs="Times New Roman"/>
                <w:b/>
                <w:bCs/>
                <w:i/>
                <w:sz w:val="24"/>
                <w:szCs w:val="24"/>
              </w:rPr>
            </w:pPr>
          </w:p>
        </w:tc>
        <w:tc>
          <w:tcPr>
            <w:tcW w:w="1620" w:type="dxa"/>
            <w:vMerge/>
            <w:hideMark/>
          </w:tcPr>
          <w:p w14:paraId="16828573" w14:textId="77777777" w:rsidR="00437B1A" w:rsidRPr="00437B1A" w:rsidRDefault="00437B1A" w:rsidP="00437B1A">
            <w:pPr>
              <w:jc w:val="both"/>
              <w:rPr>
                <w:rFonts w:ascii="Times New Roman" w:eastAsia="Calibri" w:hAnsi="Times New Roman" w:cs="Times New Roman"/>
                <w:b/>
                <w:bCs/>
                <w:i/>
                <w:sz w:val="24"/>
                <w:szCs w:val="24"/>
              </w:rPr>
            </w:pPr>
          </w:p>
        </w:tc>
        <w:tc>
          <w:tcPr>
            <w:tcW w:w="1100" w:type="dxa"/>
            <w:vMerge/>
            <w:hideMark/>
          </w:tcPr>
          <w:p w14:paraId="284650BE"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2C9449D7" w14:textId="77777777" w:rsidR="00437B1A" w:rsidRPr="00437B1A" w:rsidRDefault="00437B1A" w:rsidP="00437B1A">
            <w:pPr>
              <w:jc w:val="both"/>
              <w:rPr>
                <w:rFonts w:ascii="Times New Roman" w:eastAsia="Calibri" w:hAnsi="Times New Roman" w:cs="Times New Roman"/>
                <w:b/>
                <w:bCs/>
                <w:i/>
                <w:sz w:val="24"/>
                <w:szCs w:val="24"/>
              </w:rPr>
            </w:pPr>
          </w:p>
        </w:tc>
        <w:tc>
          <w:tcPr>
            <w:tcW w:w="1040" w:type="dxa"/>
            <w:vMerge/>
            <w:hideMark/>
          </w:tcPr>
          <w:p w14:paraId="4FE17527" w14:textId="77777777" w:rsidR="00437B1A" w:rsidRPr="00437B1A" w:rsidRDefault="00437B1A" w:rsidP="00437B1A">
            <w:pPr>
              <w:jc w:val="both"/>
              <w:rPr>
                <w:rFonts w:ascii="Times New Roman" w:eastAsia="Calibri" w:hAnsi="Times New Roman" w:cs="Times New Roman"/>
                <w:b/>
                <w:bCs/>
                <w:i/>
                <w:sz w:val="24"/>
                <w:szCs w:val="24"/>
              </w:rPr>
            </w:pPr>
          </w:p>
        </w:tc>
        <w:tc>
          <w:tcPr>
            <w:tcW w:w="4600" w:type="dxa"/>
            <w:vMerge/>
            <w:hideMark/>
          </w:tcPr>
          <w:p w14:paraId="17582DEA" w14:textId="77777777" w:rsidR="00437B1A" w:rsidRPr="00437B1A" w:rsidRDefault="00437B1A" w:rsidP="00437B1A">
            <w:pPr>
              <w:jc w:val="both"/>
              <w:rPr>
                <w:rFonts w:ascii="Times New Roman" w:eastAsia="Calibri" w:hAnsi="Times New Roman" w:cs="Times New Roman"/>
                <w:b/>
                <w:bCs/>
                <w:i/>
                <w:sz w:val="24"/>
                <w:szCs w:val="24"/>
              </w:rPr>
            </w:pPr>
          </w:p>
        </w:tc>
        <w:tc>
          <w:tcPr>
            <w:tcW w:w="1120" w:type="dxa"/>
            <w:vMerge/>
            <w:hideMark/>
          </w:tcPr>
          <w:p w14:paraId="2CE62E32"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1586F2E2" w14:textId="77777777" w:rsidR="00437B1A" w:rsidRPr="00437B1A" w:rsidRDefault="00437B1A" w:rsidP="00437B1A">
            <w:pPr>
              <w:jc w:val="both"/>
              <w:rPr>
                <w:rFonts w:ascii="Times New Roman" w:eastAsia="Calibri" w:hAnsi="Times New Roman" w:cs="Times New Roman"/>
                <w:b/>
                <w:bCs/>
                <w:i/>
                <w:sz w:val="24"/>
                <w:szCs w:val="24"/>
              </w:rPr>
            </w:pPr>
          </w:p>
        </w:tc>
        <w:tc>
          <w:tcPr>
            <w:tcW w:w="1200" w:type="dxa"/>
            <w:vMerge/>
            <w:hideMark/>
          </w:tcPr>
          <w:p w14:paraId="75207CD9" w14:textId="77777777" w:rsidR="00437B1A" w:rsidRPr="00437B1A" w:rsidRDefault="00437B1A" w:rsidP="00437B1A">
            <w:pPr>
              <w:jc w:val="both"/>
              <w:rPr>
                <w:rFonts w:ascii="Times New Roman" w:eastAsia="Calibri" w:hAnsi="Times New Roman" w:cs="Times New Roman"/>
                <w:b/>
                <w:bCs/>
                <w:i/>
                <w:sz w:val="24"/>
                <w:szCs w:val="24"/>
              </w:rPr>
            </w:pPr>
          </w:p>
        </w:tc>
        <w:tc>
          <w:tcPr>
            <w:tcW w:w="1360" w:type="dxa"/>
            <w:vMerge/>
            <w:hideMark/>
          </w:tcPr>
          <w:p w14:paraId="7A628C3C" w14:textId="77777777" w:rsidR="00437B1A" w:rsidRPr="00437B1A" w:rsidRDefault="00437B1A" w:rsidP="00437B1A">
            <w:pPr>
              <w:jc w:val="both"/>
              <w:rPr>
                <w:rFonts w:ascii="Times New Roman" w:eastAsia="Calibri" w:hAnsi="Times New Roman" w:cs="Times New Roman"/>
                <w:b/>
                <w:bCs/>
                <w:i/>
                <w:sz w:val="24"/>
                <w:szCs w:val="24"/>
              </w:rPr>
            </w:pPr>
          </w:p>
        </w:tc>
        <w:tc>
          <w:tcPr>
            <w:tcW w:w="1940" w:type="dxa"/>
            <w:vMerge/>
            <w:hideMark/>
          </w:tcPr>
          <w:p w14:paraId="31AAE04B" w14:textId="77777777" w:rsidR="00437B1A" w:rsidRPr="00437B1A" w:rsidRDefault="00437B1A" w:rsidP="00437B1A">
            <w:pPr>
              <w:jc w:val="both"/>
              <w:rPr>
                <w:rFonts w:ascii="Times New Roman" w:eastAsia="Calibri" w:hAnsi="Times New Roman" w:cs="Times New Roman"/>
                <w:b/>
                <w:bCs/>
                <w:i/>
                <w:sz w:val="24"/>
                <w:szCs w:val="24"/>
              </w:rPr>
            </w:pPr>
          </w:p>
        </w:tc>
      </w:tr>
      <w:tr w:rsidR="00437B1A" w:rsidRPr="00437B1A" w14:paraId="19644B2D" w14:textId="77777777" w:rsidTr="00437B1A">
        <w:trPr>
          <w:trHeight w:val="458"/>
        </w:trPr>
        <w:tc>
          <w:tcPr>
            <w:tcW w:w="920" w:type="dxa"/>
            <w:vMerge/>
            <w:hideMark/>
          </w:tcPr>
          <w:p w14:paraId="4D09558F" w14:textId="77777777" w:rsidR="00437B1A" w:rsidRPr="00437B1A" w:rsidRDefault="00437B1A" w:rsidP="00437B1A">
            <w:pPr>
              <w:jc w:val="both"/>
              <w:rPr>
                <w:rFonts w:ascii="Times New Roman" w:eastAsia="Calibri" w:hAnsi="Times New Roman" w:cs="Times New Roman"/>
                <w:b/>
                <w:bCs/>
                <w:i/>
                <w:sz w:val="24"/>
                <w:szCs w:val="24"/>
              </w:rPr>
            </w:pPr>
          </w:p>
        </w:tc>
        <w:tc>
          <w:tcPr>
            <w:tcW w:w="3880" w:type="dxa"/>
            <w:vMerge/>
            <w:hideMark/>
          </w:tcPr>
          <w:p w14:paraId="7A243885" w14:textId="77777777" w:rsidR="00437B1A" w:rsidRPr="00437B1A" w:rsidRDefault="00437B1A" w:rsidP="00437B1A">
            <w:pPr>
              <w:jc w:val="both"/>
              <w:rPr>
                <w:rFonts w:ascii="Times New Roman" w:eastAsia="Calibri" w:hAnsi="Times New Roman" w:cs="Times New Roman"/>
                <w:b/>
                <w:bCs/>
                <w:i/>
                <w:sz w:val="24"/>
                <w:szCs w:val="24"/>
              </w:rPr>
            </w:pPr>
          </w:p>
        </w:tc>
        <w:tc>
          <w:tcPr>
            <w:tcW w:w="1620" w:type="dxa"/>
            <w:vMerge/>
            <w:hideMark/>
          </w:tcPr>
          <w:p w14:paraId="5A9943E5" w14:textId="77777777" w:rsidR="00437B1A" w:rsidRPr="00437B1A" w:rsidRDefault="00437B1A" w:rsidP="00437B1A">
            <w:pPr>
              <w:jc w:val="both"/>
              <w:rPr>
                <w:rFonts w:ascii="Times New Roman" w:eastAsia="Calibri" w:hAnsi="Times New Roman" w:cs="Times New Roman"/>
                <w:b/>
                <w:bCs/>
                <w:i/>
                <w:sz w:val="24"/>
                <w:szCs w:val="24"/>
              </w:rPr>
            </w:pPr>
          </w:p>
        </w:tc>
        <w:tc>
          <w:tcPr>
            <w:tcW w:w="1100" w:type="dxa"/>
            <w:vMerge/>
            <w:hideMark/>
          </w:tcPr>
          <w:p w14:paraId="44CE9284"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43D7A220" w14:textId="77777777" w:rsidR="00437B1A" w:rsidRPr="00437B1A" w:rsidRDefault="00437B1A" w:rsidP="00437B1A">
            <w:pPr>
              <w:jc w:val="both"/>
              <w:rPr>
                <w:rFonts w:ascii="Times New Roman" w:eastAsia="Calibri" w:hAnsi="Times New Roman" w:cs="Times New Roman"/>
                <w:b/>
                <w:bCs/>
                <w:i/>
                <w:sz w:val="24"/>
                <w:szCs w:val="24"/>
              </w:rPr>
            </w:pPr>
          </w:p>
        </w:tc>
        <w:tc>
          <w:tcPr>
            <w:tcW w:w="1040" w:type="dxa"/>
            <w:vMerge/>
            <w:hideMark/>
          </w:tcPr>
          <w:p w14:paraId="42738D1A" w14:textId="77777777" w:rsidR="00437B1A" w:rsidRPr="00437B1A" w:rsidRDefault="00437B1A" w:rsidP="00437B1A">
            <w:pPr>
              <w:jc w:val="both"/>
              <w:rPr>
                <w:rFonts w:ascii="Times New Roman" w:eastAsia="Calibri" w:hAnsi="Times New Roman" w:cs="Times New Roman"/>
                <w:b/>
                <w:bCs/>
                <w:i/>
                <w:sz w:val="24"/>
                <w:szCs w:val="24"/>
              </w:rPr>
            </w:pPr>
          </w:p>
        </w:tc>
        <w:tc>
          <w:tcPr>
            <w:tcW w:w="4600" w:type="dxa"/>
            <w:vMerge/>
            <w:hideMark/>
          </w:tcPr>
          <w:p w14:paraId="65F8F25D" w14:textId="77777777" w:rsidR="00437B1A" w:rsidRPr="00437B1A" w:rsidRDefault="00437B1A" w:rsidP="00437B1A">
            <w:pPr>
              <w:jc w:val="both"/>
              <w:rPr>
                <w:rFonts w:ascii="Times New Roman" w:eastAsia="Calibri" w:hAnsi="Times New Roman" w:cs="Times New Roman"/>
                <w:b/>
                <w:bCs/>
                <w:i/>
                <w:sz w:val="24"/>
                <w:szCs w:val="24"/>
              </w:rPr>
            </w:pPr>
          </w:p>
        </w:tc>
        <w:tc>
          <w:tcPr>
            <w:tcW w:w="1120" w:type="dxa"/>
            <w:vMerge/>
            <w:hideMark/>
          </w:tcPr>
          <w:p w14:paraId="1A76C469"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5959B5D4" w14:textId="77777777" w:rsidR="00437B1A" w:rsidRPr="00437B1A" w:rsidRDefault="00437B1A" w:rsidP="00437B1A">
            <w:pPr>
              <w:jc w:val="both"/>
              <w:rPr>
                <w:rFonts w:ascii="Times New Roman" w:eastAsia="Calibri" w:hAnsi="Times New Roman" w:cs="Times New Roman"/>
                <w:b/>
                <w:bCs/>
                <w:i/>
                <w:sz w:val="24"/>
                <w:szCs w:val="24"/>
              </w:rPr>
            </w:pPr>
          </w:p>
        </w:tc>
        <w:tc>
          <w:tcPr>
            <w:tcW w:w="1200" w:type="dxa"/>
            <w:vMerge/>
            <w:hideMark/>
          </w:tcPr>
          <w:p w14:paraId="61A15D01" w14:textId="77777777" w:rsidR="00437B1A" w:rsidRPr="00437B1A" w:rsidRDefault="00437B1A" w:rsidP="00437B1A">
            <w:pPr>
              <w:jc w:val="both"/>
              <w:rPr>
                <w:rFonts w:ascii="Times New Roman" w:eastAsia="Calibri" w:hAnsi="Times New Roman" w:cs="Times New Roman"/>
                <w:b/>
                <w:bCs/>
                <w:i/>
                <w:sz w:val="24"/>
                <w:szCs w:val="24"/>
              </w:rPr>
            </w:pPr>
          </w:p>
        </w:tc>
        <w:tc>
          <w:tcPr>
            <w:tcW w:w="1360" w:type="dxa"/>
            <w:vMerge/>
            <w:hideMark/>
          </w:tcPr>
          <w:p w14:paraId="0679EB26" w14:textId="77777777" w:rsidR="00437B1A" w:rsidRPr="00437B1A" w:rsidRDefault="00437B1A" w:rsidP="00437B1A">
            <w:pPr>
              <w:jc w:val="both"/>
              <w:rPr>
                <w:rFonts w:ascii="Times New Roman" w:eastAsia="Calibri" w:hAnsi="Times New Roman" w:cs="Times New Roman"/>
                <w:b/>
                <w:bCs/>
                <w:i/>
                <w:sz w:val="24"/>
                <w:szCs w:val="24"/>
              </w:rPr>
            </w:pPr>
          </w:p>
        </w:tc>
        <w:tc>
          <w:tcPr>
            <w:tcW w:w="1940" w:type="dxa"/>
            <w:vMerge/>
            <w:hideMark/>
          </w:tcPr>
          <w:p w14:paraId="0E3EC6FB" w14:textId="77777777" w:rsidR="00437B1A" w:rsidRPr="00437B1A" w:rsidRDefault="00437B1A" w:rsidP="00437B1A">
            <w:pPr>
              <w:jc w:val="both"/>
              <w:rPr>
                <w:rFonts w:ascii="Times New Roman" w:eastAsia="Calibri" w:hAnsi="Times New Roman" w:cs="Times New Roman"/>
                <w:b/>
                <w:bCs/>
                <w:i/>
                <w:sz w:val="24"/>
                <w:szCs w:val="24"/>
              </w:rPr>
            </w:pPr>
          </w:p>
        </w:tc>
      </w:tr>
      <w:tr w:rsidR="00437B1A" w:rsidRPr="00437B1A" w14:paraId="4E7F0F53" w14:textId="77777777" w:rsidTr="00437B1A">
        <w:trPr>
          <w:trHeight w:val="458"/>
        </w:trPr>
        <w:tc>
          <w:tcPr>
            <w:tcW w:w="920" w:type="dxa"/>
            <w:vMerge/>
            <w:hideMark/>
          </w:tcPr>
          <w:p w14:paraId="37A4B578" w14:textId="77777777" w:rsidR="00437B1A" w:rsidRPr="00437B1A" w:rsidRDefault="00437B1A" w:rsidP="00437B1A">
            <w:pPr>
              <w:jc w:val="both"/>
              <w:rPr>
                <w:rFonts w:ascii="Times New Roman" w:eastAsia="Calibri" w:hAnsi="Times New Roman" w:cs="Times New Roman"/>
                <w:b/>
                <w:bCs/>
                <w:i/>
                <w:sz w:val="24"/>
                <w:szCs w:val="24"/>
              </w:rPr>
            </w:pPr>
          </w:p>
        </w:tc>
        <w:tc>
          <w:tcPr>
            <w:tcW w:w="3880" w:type="dxa"/>
            <w:vMerge/>
            <w:hideMark/>
          </w:tcPr>
          <w:p w14:paraId="44D2984E" w14:textId="77777777" w:rsidR="00437B1A" w:rsidRPr="00437B1A" w:rsidRDefault="00437B1A" w:rsidP="00437B1A">
            <w:pPr>
              <w:jc w:val="both"/>
              <w:rPr>
                <w:rFonts w:ascii="Times New Roman" w:eastAsia="Calibri" w:hAnsi="Times New Roman" w:cs="Times New Roman"/>
                <w:b/>
                <w:bCs/>
                <w:i/>
                <w:sz w:val="24"/>
                <w:szCs w:val="24"/>
              </w:rPr>
            </w:pPr>
          </w:p>
        </w:tc>
        <w:tc>
          <w:tcPr>
            <w:tcW w:w="1620" w:type="dxa"/>
            <w:vMerge/>
            <w:hideMark/>
          </w:tcPr>
          <w:p w14:paraId="5E29CEC3" w14:textId="77777777" w:rsidR="00437B1A" w:rsidRPr="00437B1A" w:rsidRDefault="00437B1A" w:rsidP="00437B1A">
            <w:pPr>
              <w:jc w:val="both"/>
              <w:rPr>
                <w:rFonts w:ascii="Times New Roman" w:eastAsia="Calibri" w:hAnsi="Times New Roman" w:cs="Times New Roman"/>
                <w:b/>
                <w:bCs/>
                <w:i/>
                <w:sz w:val="24"/>
                <w:szCs w:val="24"/>
              </w:rPr>
            </w:pPr>
          </w:p>
        </w:tc>
        <w:tc>
          <w:tcPr>
            <w:tcW w:w="1100" w:type="dxa"/>
            <w:vMerge/>
            <w:hideMark/>
          </w:tcPr>
          <w:p w14:paraId="04EDF44C"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37C1B8D7" w14:textId="77777777" w:rsidR="00437B1A" w:rsidRPr="00437B1A" w:rsidRDefault="00437B1A" w:rsidP="00437B1A">
            <w:pPr>
              <w:jc w:val="both"/>
              <w:rPr>
                <w:rFonts w:ascii="Times New Roman" w:eastAsia="Calibri" w:hAnsi="Times New Roman" w:cs="Times New Roman"/>
                <w:b/>
                <w:bCs/>
                <w:i/>
                <w:sz w:val="24"/>
                <w:szCs w:val="24"/>
              </w:rPr>
            </w:pPr>
          </w:p>
        </w:tc>
        <w:tc>
          <w:tcPr>
            <w:tcW w:w="1040" w:type="dxa"/>
            <w:vMerge/>
            <w:hideMark/>
          </w:tcPr>
          <w:p w14:paraId="1DDCD08C" w14:textId="77777777" w:rsidR="00437B1A" w:rsidRPr="00437B1A" w:rsidRDefault="00437B1A" w:rsidP="00437B1A">
            <w:pPr>
              <w:jc w:val="both"/>
              <w:rPr>
                <w:rFonts w:ascii="Times New Roman" w:eastAsia="Calibri" w:hAnsi="Times New Roman" w:cs="Times New Roman"/>
                <w:b/>
                <w:bCs/>
                <w:i/>
                <w:sz w:val="24"/>
                <w:szCs w:val="24"/>
              </w:rPr>
            </w:pPr>
          </w:p>
        </w:tc>
        <w:tc>
          <w:tcPr>
            <w:tcW w:w="4600" w:type="dxa"/>
            <w:vMerge/>
            <w:hideMark/>
          </w:tcPr>
          <w:p w14:paraId="3B39466E" w14:textId="77777777" w:rsidR="00437B1A" w:rsidRPr="00437B1A" w:rsidRDefault="00437B1A" w:rsidP="00437B1A">
            <w:pPr>
              <w:jc w:val="both"/>
              <w:rPr>
                <w:rFonts w:ascii="Times New Roman" w:eastAsia="Calibri" w:hAnsi="Times New Roman" w:cs="Times New Roman"/>
                <w:b/>
                <w:bCs/>
                <w:i/>
                <w:sz w:val="24"/>
                <w:szCs w:val="24"/>
              </w:rPr>
            </w:pPr>
          </w:p>
        </w:tc>
        <w:tc>
          <w:tcPr>
            <w:tcW w:w="1120" w:type="dxa"/>
            <w:vMerge/>
            <w:hideMark/>
          </w:tcPr>
          <w:p w14:paraId="1F4FACF3" w14:textId="77777777" w:rsidR="00437B1A" w:rsidRPr="00437B1A" w:rsidRDefault="00437B1A" w:rsidP="00437B1A">
            <w:pPr>
              <w:jc w:val="both"/>
              <w:rPr>
                <w:rFonts w:ascii="Times New Roman" w:eastAsia="Calibri" w:hAnsi="Times New Roman" w:cs="Times New Roman"/>
                <w:b/>
                <w:bCs/>
                <w:i/>
                <w:sz w:val="24"/>
                <w:szCs w:val="24"/>
              </w:rPr>
            </w:pPr>
          </w:p>
        </w:tc>
        <w:tc>
          <w:tcPr>
            <w:tcW w:w="1400" w:type="dxa"/>
            <w:vMerge/>
            <w:hideMark/>
          </w:tcPr>
          <w:p w14:paraId="4EAAA897" w14:textId="77777777" w:rsidR="00437B1A" w:rsidRPr="00437B1A" w:rsidRDefault="00437B1A" w:rsidP="00437B1A">
            <w:pPr>
              <w:jc w:val="both"/>
              <w:rPr>
                <w:rFonts w:ascii="Times New Roman" w:eastAsia="Calibri" w:hAnsi="Times New Roman" w:cs="Times New Roman"/>
                <w:b/>
                <w:bCs/>
                <w:i/>
                <w:sz w:val="24"/>
                <w:szCs w:val="24"/>
              </w:rPr>
            </w:pPr>
          </w:p>
        </w:tc>
        <w:tc>
          <w:tcPr>
            <w:tcW w:w="1200" w:type="dxa"/>
            <w:vMerge/>
            <w:hideMark/>
          </w:tcPr>
          <w:p w14:paraId="0412792F" w14:textId="77777777" w:rsidR="00437B1A" w:rsidRPr="00437B1A" w:rsidRDefault="00437B1A" w:rsidP="00437B1A">
            <w:pPr>
              <w:jc w:val="both"/>
              <w:rPr>
                <w:rFonts w:ascii="Times New Roman" w:eastAsia="Calibri" w:hAnsi="Times New Roman" w:cs="Times New Roman"/>
                <w:b/>
                <w:bCs/>
                <w:i/>
                <w:sz w:val="24"/>
                <w:szCs w:val="24"/>
              </w:rPr>
            </w:pPr>
          </w:p>
        </w:tc>
        <w:tc>
          <w:tcPr>
            <w:tcW w:w="1360" w:type="dxa"/>
            <w:vMerge/>
            <w:hideMark/>
          </w:tcPr>
          <w:p w14:paraId="53BFA8C2" w14:textId="77777777" w:rsidR="00437B1A" w:rsidRPr="00437B1A" w:rsidRDefault="00437B1A" w:rsidP="00437B1A">
            <w:pPr>
              <w:jc w:val="both"/>
              <w:rPr>
                <w:rFonts w:ascii="Times New Roman" w:eastAsia="Calibri" w:hAnsi="Times New Roman" w:cs="Times New Roman"/>
                <w:b/>
                <w:bCs/>
                <w:i/>
                <w:sz w:val="24"/>
                <w:szCs w:val="24"/>
              </w:rPr>
            </w:pPr>
          </w:p>
        </w:tc>
        <w:tc>
          <w:tcPr>
            <w:tcW w:w="1940" w:type="dxa"/>
            <w:vMerge/>
            <w:hideMark/>
          </w:tcPr>
          <w:p w14:paraId="7ABA0C84" w14:textId="77777777" w:rsidR="00437B1A" w:rsidRPr="00437B1A" w:rsidRDefault="00437B1A" w:rsidP="00437B1A">
            <w:pPr>
              <w:jc w:val="both"/>
              <w:rPr>
                <w:rFonts w:ascii="Times New Roman" w:eastAsia="Calibri" w:hAnsi="Times New Roman" w:cs="Times New Roman"/>
                <w:b/>
                <w:bCs/>
                <w:i/>
                <w:sz w:val="24"/>
                <w:szCs w:val="24"/>
              </w:rPr>
            </w:pPr>
          </w:p>
        </w:tc>
      </w:tr>
      <w:tr w:rsidR="00437B1A" w:rsidRPr="00437B1A" w14:paraId="314E4D23" w14:textId="77777777" w:rsidTr="00437B1A">
        <w:trPr>
          <w:trHeight w:val="270"/>
        </w:trPr>
        <w:tc>
          <w:tcPr>
            <w:tcW w:w="920" w:type="dxa"/>
            <w:hideMark/>
          </w:tcPr>
          <w:p w14:paraId="7B7BC83A"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1</w:t>
            </w:r>
          </w:p>
        </w:tc>
        <w:tc>
          <w:tcPr>
            <w:tcW w:w="3880" w:type="dxa"/>
            <w:hideMark/>
          </w:tcPr>
          <w:p w14:paraId="56BD5A8C"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zabezpečenie požiadaviek na prístupnosť k službám osobám so zdravotným postihnutím </w:t>
            </w:r>
          </w:p>
        </w:tc>
        <w:tc>
          <w:tcPr>
            <w:tcW w:w="1620" w:type="dxa"/>
            <w:hideMark/>
          </w:tcPr>
          <w:p w14:paraId="394781E7"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návrh zákona</w:t>
            </w:r>
          </w:p>
        </w:tc>
        <w:tc>
          <w:tcPr>
            <w:tcW w:w="1100" w:type="dxa"/>
            <w:hideMark/>
          </w:tcPr>
          <w:p w14:paraId="074F5AFB"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4 ods. 1</w:t>
            </w:r>
          </w:p>
        </w:tc>
        <w:tc>
          <w:tcPr>
            <w:tcW w:w="1400" w:type="dxa"/>
            <w:hideMark/>
          </w:tcPr>
          <w:p w14:paraId="0A61FD6B"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EÚ harmonizácia s možnosťou voľby</w:t>
            </w:r>
          </w:p>
        </w:tc>
        <w:tc>
          <w:tcPr>
            <w:tcW w:w="1040" w:type="dxa"/>
            <w:hideMark/>
          </w:tcPr>
          <w:p w14:paraId="6C43A81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28. júna 2025</w:t>
            </w:r>
          </w:p>
        </w:tc>
        <w:tc>
          <w:tcPr>
            <w:tcW w:w="4600" w:type="dxa"/>
            <w:hideMark/>
          </w:tcPr>
          <w:p w14:paraId="7A957437"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banky, platobné inštitúcie, inštitúcie elektronických peňazí, nebankové spoločnosti, obchodníci s cennými papiermi</w:t>
            </w:r>
          </w:p>
        </w:tc>
        <w:tc>
          <w:tcPr>
            <w:tcW w:w="1120" w:type="dxa"/>
            <w:hideMark/>
          </w:tcPr>
          <w:p w14:paraId="529862C8"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97 </w:t>
            </w:r>
          </w:p>
        </w:tc>
        <w:tc>
          <w:tcPr>
            <w:tcW w:w="1400" w:type="dxa"/>
            <w:hideMark/>
          </w:tcPr>
          <w:p w14:paraId="3B1275C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N </w:t>
            </w:r>
          </w:p>
        </w:tc>
        <w:tc>
          <w:tcPr>
            <w:tcW w:w="1200" w:type="dxa"/>
            <w:hideMark/>
          </w:tcPr>
          <w:p w14:paraId="4E3D85C6"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360" w:type="dxa"/>
            <w:hideMark/>
          </w:tcPr>
          <w:p w14:paraId="2941CA08"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940" w:type="dxa"/>
            <w:hideMark/>
          </w:tcPr>
          <w:p w14:paraId="5BF06B3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In (zvyšuje náklady)</w:t>
            </w:r>
          </w:p>
        </w:tc>
      </w:tr>
      <w:tr w:rsidR="00437B1A" w:rsidRPr="00437B1A" w14:paraId="2309A97C" w14:textId="77777777" w:rsidTr="00437B1A">
        <w:trPr>
          <w:trHeight w:val="792"/>
        </w:trPr>
        <w:tc>
          <w:tcPr>
            <w:tcW w:w="920" w:type="dxa"/>
            <w:hideMark/>
          </w:tcPr>
          <w:p w14:paraId="23F212FB"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w:t>
            </w:r>
          </w:p>
        </w:tc>
        <w:tc>
          <w:tcPr>
            <w:tcW w:w="3880" w:type="dxa"/>
            <w:hideMark/>
          </w:tcPr>
          <w:p w14:paraId="18CEE3C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poskytovanie informácií o prístupnosti spôsobom vhodným </w:t>
            </w:r>
            <w:r w:rsidRPr="00437B1A">
              <w:rPr>
                <w:rFonts w:ascii="Times New Roman" w:eastAsia="Calibri" w:hAnsi="Times New Roman" w:cs="Times New Roman"/>
                <w:i/>
                <w:sz w:val="24"/>
                <w:szCs w:val="24"/>
              </w:rPr>
              <w:lastRenderedPageBreak/>
              <w:t>pre osoby so zdravotným postihnutím</w:t>
            </w:r>
          </w:p>
        </w:tc>
        <w:tc>
          <w:tcPr>
            <w:tcW w:w="1620" w:type="dxa"/>
            <w:hideMark/>
          </w:tcPr>
          <w:p w14:paraId="5406074A"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lastRenderedPageBreak/>
              <w:t>návrh zákona</w:t>
            </w:r>
          </w:p>
        </w:tc>
        <w:tc>
          <w:tcPr>
            <w:tcW w:w="1100" w:type="dxa"/>
            <w:hideMark/>
          </w:tcPr>
          <w:p w14:paraId="0652773B"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§6 ods. 1 písm. b)</w:t>
            </w:r>
          </w:p>
        </w:tc>
        <w:tc>
          <w:tcPr>
            <w:tcW w:w="1400" w:type="dxa"/>
            <w:hideMark/>
          </w:tcPr>
          <w:p w14:paraId="24B4C1A4"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EÚ harmonizácia s možnosťou voľby</w:t>
            </w:r>
          </w:p>
        </w:tc>
        <w:tc>
          <w:tcPr>
            <w:tcW w:w="1040" w:type="dxa"/>
            <w:hideMark/>
          </w:tcPr>
          <w:p w14:paraId="457574B0"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28. júna 2025</w:t>
            </w:r>
          </w:p>
        </w:tc>
        <w:tc>
          <w:tcPr>
            <w:tcW w:w="4600" w:type="dxa"/>
            <w:hideMark/>
          </w:tcPr>
          <w:p w14:paraId="460A620C"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banky, platobné inštitúcie, inštitúcie elektronických </w:t>
            </w:r>
            <w:r w:rsidRPr="00437B1A">
              <w:rPr>
                <w:rFonts w:ascii="Times New Roman" w:eastAsia="Calibri" w:hAnsi="Times New Roman" w:cs="Times New Roman"/>
                <w:i/>
                <w:sz w:val="24"/>
                <w:szCs w:val="24"/>
              </w:rPr>
              <w:lastRenderedPageBreak/>
              <w:t>peňazí, nebankové spoločnosti, obchodníci s cennými papiermi</w:t>
            </w:r>
          </w:p>
        </w:tc>
        <w:tc>
          <w:tcPr>
            <w:tcW w:w="1120" w:type="dxa"/>
            <w:hideMark/>
          </w:tcPr>
          <w:p w14:paraId="1760459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lastRenderedPageBreak/>
              <w:t xml:space="preserve">                97 </w:t>
            </w:r>
          </w:p>
        </w:tc>
        <w:tc>
          <w:tcPr>
            <w:tcW w:w="1400" w:type="dxa"/>
            <w:hideMark/>
          </w:tcPr>
          <w:p w14:paraId="635AACE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N </w:t>
            </w:r>
          </w:p>
        </w:tc>
        <w:tc>
          <w:tcPr>
            <w:tcW w:w="1200" w:type="dxa"/>
            <w:hideMark/>
          </w:tcPr>
          <w:p w14:paraId="28A7640C"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118,08</w:t>
            </w:r>
          </w:p>
        </w:tc>
        <w:tc>
          <w:tcPr>
            <w:tcW w:w="1360" w:type="dxa"/>
            <w:hideMark/>
          </w:tcPr>
          <w:p w14:paraId="38B5E332"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11 453,40</w:t>
            </w:r>
          </w:p>
        </w:tc>
        <w:tc>
          <w:tcPr>
            <w:tcW w:w="1940" w:type="dxa"/>
            <w:hideMark/>
          </w:tcPr>
          <w:p w14:paraId="34D9CFE7"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In (zvyšuje náklady)</w:t>
            </w:r>
          </w:p>
        </w:tc>
      </w:tr>
      <w:tr w:rsidR="00437B1A" w:rsidRPr="00437B1A" w14:paraId="7AE2A891" w14:textId="77777777" w:rsidTr="00437B1A">
        <w:trPr>
          <w:trHeight w:val="264"/>
        </w:trPr>
        <w:tc>
          <w:tcPr>
            <w:tcW w:w="920" w:type="dxa"/>
            <w:hideMark/>
          </w:tcPr>
          <w:p w14:paraId="44B7C85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3</w:t>
            </w:r>
          </w:p>
        </w:tc>
        <w:tc>
          <w:tcPr>
            <w:tcW w:w="3880" w:type="dxa"/>
            <w:hideMark/>
          </w:tcPr>
          <w:p w14:paraId="598DD10D" w14:textId="77777777" w:rsidR="00437B1A" w:rsidRPr="00437B1A" w:rsidRDefault="00437B1A" w:rsidP="00437B1A">
            <w:pPr>
              <w:jc w:val="both"/>
              <w:rPr>
                <w:rFonts w:ascii="Times New Roman" w:eastAsia="Calibri" w:hAnsi="Times New Roman" w:cs="Times New Roman"/>
                <w:i/>
                <w:sz w:val="24"/>
                <w:szCs w:val="24"/>
              </w:rPr>
            </w:pPr>
            <w:proofErr w:type="spellStart"/>
            <w:r w:rsidRPr="00437B1A">
              <w:rPr>
                <w:rFonts w:ascii="Times New Roman" w:eastAsia="Calibri" w:hAnsi="Times New Roman" w:cs="Times New Roman"/>
                <w:i/>
                <w:sz w:val="24"/>
                <w:szCs w:val="24"/>
              </w:rPr>
              <w:t>zebzepečenie</w:t>
            </w:r>
            <w:proofErr w:type="spellEnd"/>
            <w:r w:rsidRPr="00437B1A">
              <w:rPr>
                <w:rFonts w:ascii="Times New Roman" w:eastAsia="Calibri" w:hAnsi="Times New Roman" w:cs="Times New Roman"/>
                <w:i/>
                <w:sz w:val="24"/>
                <w:szCs w:val="24"/>
              </w:rPr>
              <w:t xml:space="preserve"> požiadaviek na prístupnosť k službám pre osoby so zdravotným postihnutím</w:t>
            </w:r>
          </w:p>
        </w:tc>
        <w:tc>
          <w:tcPr>
            <w:tcW w:w="1620" w:type="dxa"/>
            <w:hideMark/>
          </w:tcPr>
          <w:p w14:paraId="3099CDF2"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návrh zákona</w:t>
            </w:r>
          </w:p>
        </w:tc>
        <w:tc>
          <w:tcPr>
            <w:tcW w:w="1100" w:type="dxa"/>
            <w:hideMark/>
          </w:tcPr>
          <w:p w14:paraId="177E77CF"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4 ods. 1</w:t>
            </w:r>
          </w:p>
        </w:tc>
        <w:tc>
          <w:tcPr>
            <w:tcW w:w="1400" w:type="dxa"/>
            <w:hideMark/>
          </w:tcPr>
          <w:p w14:paraId="69C71132"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EÚ harmonizácia s možnosťou voľby</w:t>
            </w:r>
          </w:p>
        </w:tc>
        <w:tc>
          <w:tcPr>
            <w:tcW w:w="1040" w:type="dxa"/>
            <w:hideMark/>
          </w:tcPr>
          <w:p w14:paraId="14EB9291"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28. júna 2025</w:t>
            </w:r>
          </w:p>
        </w:tc>
        <w:tc>
          <w:tcPr>
            <w:tcW w:w="4600" w:type="dxa"/>
            <w:hideMark/>
          </w:tcPr>
          <w:p w14:paraId="2C6291A1"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Podniky</w:t>
            </w:r>
          </w:p>
        </w:tc>
        <w:tc>
          <w:tcPr>
            <w:tcW w:w="1120" w:type="dxa"/>
            <w:hideMark/>
          </w:tcPr>
          <w:p w14:paraId="5C7995D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30 000 </w:t>
            </w:r>
          </w:p>
        </w:tc>
        <w:tc>
          <w:tcPr>
            <w:tcW w:w="1400" w:type="dxa"/>
            <w:hideMark/>
          </w:tcPr>
          <w:p w14:paraId="3F775152"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200" w:type="dxa"/>
            <w:hideMark/>
          </w:tcPr>
          <w:p w14:paraId="5F77914D"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360" w:type="dxa"/>
            <w:hideMark/>
          </w:tcPr>
          <w:p w14:paraId="090E2100"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909 506,25</w:t>
            </w:r>
          </w:p>
        </w:tc>
        <w:tc>
          <w:tcPr>
            <w:tcW w:w="1940" w:type="dxa"/>
            <w:hideMark/>
          </w:tcPr>
          <w:p w14:paraId="7E14B14C"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In (zvyšuje náklady)</w:t>
            </w:r>
          </w:p>
        </w:tc>
      </w:tr>
      <w:tr w:rsidR="00437B1A" w:rsidRPr="00437B1A" w14:paraId="405391E7" w14:textId="77777777" w:rsidTr="00437B1A">
        <w:trPr>
          <w:trHeight w:val="264"/>
        </w:trPr>
        <w:tc>
          <w:tcPr>
            <w:tcW w:w="920" w:type="dxa"/>
            <w:hideMark/>
          </w:tcPr>
          <w:p w14:paraId="6469BB8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4</w:t>
            </w:r>
          </w:p>
        </w:tc>
        <w:tc>
          <w:tcPr>
            <w:tcW w:w="3880" w:type="dxa"/>
            <w:hideMark/>
          </w:tcPr>
          <w:p w14:paraId="474C502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sprístupniť verejnosti informácie o ustanovených požiadavkách na prístupnosť poskytovanej služby pre osoby so zdravotným postihnutím a o súlade poskytovanej služby s týmito </w:t>
            </w:r>
            <w:r w:rsidRPr="00437B1A">
              <w:rPr>
                <w:rFonts w:ascii="Times New Roman" w:eastAsia="Calibri" w:hAnsi="Times New Roman" w:cs="Times New Roman"/>
                <w:i/>
                <w:sz w:val="24"/>
                <w:szCs w:val="24"/>
              </w:rPr>
              <w:lastRenderedPageBreak/>
              <w:t>požiadavkami</w:t>
            </w:r>
          </w:p>
        </w:tc>
        <w:tc>
          <w:tcPr>
            <w:tcW w:w="1620" w:type="dxa"/>
            <w:hideMark/>
          </w:tcPr>
          <w:p w14:paraId="55AC031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lastRenderedPageBreak/>
              <w:t>návrh zákona</w:t>
            </w:r>
          </w:p>
        </w:tc>
        <w:tc>
          <w:tcPr>
            <w:tcW w:w="1100" w:type="dxa"/>
            <w:hideMark/>
          </w:tcPr>
          <w:p w14:paraId="43008804"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6 ods. 1 písm. b)</w:t>
            </w:r>
          </w:p>
        </w:tc>
        <w:tc>
          <w:tcPr>
            <w:tcW w:w="1400" w:type="dxa"/>
            <w:hideMark/>
          </w:tcPr>
          <w:p w14:paraId="066ECD6F"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EÚ harmonizácia s možnosťou voľby</w:t>
            </w:r>
          </w:p>
        </w:tc>
        <w:tc>
          <w:tcPr>
            <w:tcW w:w="1040" w:type="dxa"/>
            <w:hideMark/>
          </w:tcPr>
          <w:p w14:paraId="63CBD5D7"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28. júna 2025</w:t>
            </w:r>
          </w:p>
        </w:tc>
        <w:tc>
          <w:tcPr>
            <w:tcW w:w="4600" w:type="dxa"/>
            <w:hideMark/>
          </w:tcPr>
          <w:p w14:paraId="1DD793F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Podniky</w:t>
            </w:r>
          </w:p>
        </w:tc>
        <w:tc>
          <w:tcPr>
            <w:tcW w:w="1120" w:type="dxa"/>
            <w:hideMark/>
          </w:tcPr>
          <w:p w14:paraId="7255268D"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30 000 </w:t>
            </w:r>
          </w:p>
        </w:tc>
        <w:tc>
          <w:tcPr>
            <w:tcW w:w="1400" w:type="dxa"/>
            <w:hideMark/>
          </w:tcPr>
          <w:p w14:paraId="47B4E0AA"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200" w:type="dxa"/>
            <w:hideMark/>
          </w:tcPr>
          <w:p w14:paraId="011BB3E7"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360" w:type="dxa"/>
            <w:hideMark/>
          </w:tcPr>
          <w:p w14:paraId="1ED145BD"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849 670,31</w:t>
            </w:r>
          </w:p>
        </w:tc>
        <w:tc>
          <w:tcPr>
            <w:tcW w:w="1940" w:type="dxa"/>
            <w:hideMark/>
          </w:tcPr>
          <w:p w14:paraId="5D6D2C91"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In (zvyšuje náklady)</w:t>
            </w:r>
          </w:p>
        </w:tc>
      </w:tr>
      <w:tr w:rsidR="00437B1A" w:rsidRPr="00437B1A" w14:paraId="6389EB2F" w14:textId="77777777" w:rsidTr="00437B1A">
        <w:trPr>
          <w:trHeight w:val="264"/>
        </w:trPr>
        <w:tc>
          <w:tcPr>
            <w:tcW w:w="920" w:type="dxa"/>
            <w:hideMark/>
          </w:tcPr>
          <w:p w14:paraId="61111731"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5</w:t>
            </w:r>
          </w:p>
        </w:tc>
        <w:tc>
          <w:tcPr>
            <w:tcW w:w="3880" w:type="dxa"/>
            <w:hideMark/>
          </w:tcPr>
          <w:p w14:paraId="67B3AF8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zabezpečiť, aby boli zavedené postupy, vďaka ktorým zostane poskytovanie služby v súlade s požiadavkami na prístupnosť služby pre osoby so zdravotným postihnutím aj pri zmene poskytovanej služby</w:t>
            </w:r>
          </w:p>
        </w:tc>
        <w:tc>
          <w:tcPr>
            <w:tcW w:w="1620" w:type="dxa"/>
            <w:hideMark/>
          </w:tcPr>
          <w:p w14:paraId="7362C4FB"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návrh zákona</w:t>
            </w:r>
          </w:p>
        </w:tc>
        <w:tc>
          <w:tcPr>
            <w:tcW w:w="1100" w:type="dxa"/>
            <w:hideMark/>
          </w:tcPr>
          <w:p w14:paraId="2F2BCEB1"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6 ods. 1 písm. c)</w:t>
            </w:r>
          </w:p>
        </w:tc>
        <w:tc>
          <w:tcPr>
            <w:tcW w:w="1400" w:type="dxa"/>
            <w:hideMark/>
          </w:tcPr>
          <w:p w14:paraId="3EA5195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EÚ harmonizácia s možnosťou voľby</w:t>
            </w:r>
          </w:p>
        </w:tc>
        <w:tc>
          <w:tcPr>
            <w:tcW w:w="1040" w:type="dxa"/>
            <w:hideMark/>
          </w:tcPr>
          <w:p w14:paraId="5ECB066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28. júna 2025</w:t>
            </w:r>
          </w:p>
        </w:tc>
        <w:tc>
          <w:tcPr>
            <w:tcW w:w="4600" w:type="dxa"/>
            <w:hideMark/>
          </w:tcPr>
          <w:p w14:paraId="2DC1CD20"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Podniky</w:t>
            </w:r>
          </w:p>
        </w:tc>
        <w:tc>
          <w:tcPr>
            <w:tcW w:w="1120" w:type="dxa"/>
            <w:hideMark/>
          </w:tcPr>
          <w:p w14:paraId="7EE71C70"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30 000 </w:t>
            </w:r>
          </w:p>
        </w:tc>
        <w:tc>
          <w:tcPr>
            <w:tcW w:w="1400" w:type="dxa"/>
            <w:hideMark/>
          </w:tcPr>
          <w:p w14:paraId="033AF066"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200" w:type="dxa"/>
            <w:hideMark/>
          </w:tcPr>
          <w:p w14:paraId="07252857"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360" w:type="dxa"/>
            <w:hideMark/>
          </w:tcPr>
          <w:p w14:paraId="3789365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263 278,13</w:t>
            </w:r>
          </w:p>
        </w:tc>
        <w:tc>
          <w:tcPr>
            <w:tcW w:w="1940" w:type="dxa"/>
            <w:hideMark/>
          </w:tcPr>
          <w:p w14:paraId="25F5D8C6"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In (zvyšuje náklady)</w:t>
            </w:r>
          </w:p>
        </w:tc>
      </w:tr>
      <w:tr w:rsidR="00437B1A" w:rsidRPr="00437B1A" w14:paraId="5655BDF0" w14:textId="77777777" w:rsidTr="00437B1A">
        <w:trPr>
          <w:trHeight w:val="264"/>
        </w:trPr>
        <w:tc>
          <w:tcPr>
            <w:tcW w:w="920" w:type="dxa"/>
            <w:hideMark/>
          </w:tcPr>
          <w:p w14:paraId="3D106050"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6</w:t>
            </w:r>
          </w:p>
        </w:tc>
        <w:tc>
          <w:tcPr>
            <w:tcW w:w="3880" w:type="dxa"/>
            <w:hideMark/>
          </w:tcPr>
          <w:p w14:paraId="384BA8AA"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620" w:type="dxa"/>
            <w:hideMark/>
          </w:tcPr>
          <w:p w14:paraId="4992662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100" w:type="dxa"/>
            <w:hideMark/>
          </w:tcPr>
          <w:p w14:paraId="10661C06"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400" w:type="dxa"/>
            <w:hideMark/>
          </w:tcPr>
          <w:p w14:paraId="384DBF96"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vyberte  </w:t>
            </w:r>
          </w:p>
        </w:tc>
        <w:tc>
          <w:tcPr>
            <w:tcW w:w="1040" w:type="dxa"/>
            <w:hideMark/>
          </w:tcPr>
          <w:p w14:paraId="19BBBA2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w:t>
            </w:r>
          </w:p>
        </w:tc>
        <w:tc>
          <w:tcPr>
            <w:tcW w:w="4600" w:type="dxa"/>
            <w:hideMark/>
          </w:tcPr>
          <w:p w14:paraId="51E244A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120" w:type="dxa"/>
            <w:hideMark/>
          </w:tcPr>
          <w:p w14:paraId="706FF774"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400" w:type="dxa"/>
            <w:hideMark/>
          </w:tcPr>
          <w:p w14:paraId="12751FF8"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200" w:type="dxa"/>
            <w:hideMark/>
          </w:tcPr>
          <w:p w14:paraId="32582644"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360" w:type="dxa"/>
            <w:hideMark/>
          </w:tcPr>
          <w:p w14:paraId="7AC0C8E1"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940" w:type="dxa"/>
            <w:hideMark/>
          </w:tcPr>
          <w:p w14:paraId="50E75932"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vyberte  </w:t>
            </w:r>
          </w:p>
        </w:tc>
      </w:tr>
      <w:tr w:rsidR="00437B1A" w:rsidRPr="00437B1A" w14:paraId="605DCD8A" w14:textId="77777777" w:rsidTr="00437B1A">
        <w:trPr>
          <w:trHeight w:val="264"/>
        </w:trPr>
        <w:tc>
          <w:tcPr>
            <w:tcW w:w="920" w:type="dxa"/>
            <w:hideMark/>
          </w:tcPr>
          <w:p w14:paraId="326473CF"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7</w:t>
            </w:r>
          </w:p>
        </w:tc>
        <w:tc>
          <w:tcPr>
            <w:tcW w:w="3880" w:type="dxa"/>
            <w:hideMark/>
          </w:tcPr>
          <w:p w14:paraId="52BB9AF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620" w:type="dxa"/>
            <w:hideMark/>
          </w:tcPr>
          <w:p w14:paraId="0234327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100" w:type="dxa"/>
            <w:hideMark/>
          </w:tcPr>
          <w:p w14:paraId="278014E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400" w:type="dxa"/>
            <w:hideMark/>
          </w:tcPr>
          <w:p w14:paraId="77AEEBC9"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vyberte  </w:t>
            </w:r>
          </w:p>
        </w:tc>
        <w:tc>
          <w:tcPr>
            <w:tcW w:w="1040" w:type="dxa"/>
            <w:hideMark/>
          </w:tcPr>
          <w:p w14:paraId="0C987742"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w:t>
            </w:r>
          </w:p>
        </w:tc>
        <w:tc>
          <w:tcPr>
            <w:tcW w:w="4600" w:type="dxa"/>
            <w:hideMark/>
          </w:tcPr>
          <w:p w14:paraId="5023CE8E"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w:t>
            </w:r>
          </w:p>
        </w:tc>
        <w:tc>
          <w:tcPr>
            <w:tcW w:w="1120" w:type="dxa"/>
            <w:hideMark/>
          </w:tcPr>
          <w:p w14:paraId="08B8048B"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400" w:type="dxa"/>
            <w:hideMark/>
          </w:tcPr>
          <w:p w14:paraId="1692EBA4"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                      -   </w:t>
            </w:r>
          </w:p>
        </w:tc>
        <w:tc>
          <w:tcPr>
            <w:tcW w:w="1200" w:type="dxa"/>
            <w:hideMark/>
          </w:tcPr>
          <w:p w14:paraId="1D66AD5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360" w:type="dxa"/>
            <w:hideMark/>
          </w:tcPr>
          <w:p w14:paraId="07140C38"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0,00</w:t>
            </w:r>
          </w:p>
        </w:tc>
        <w:tc>
          <w:tcPr>
            <w:tcW w:w="1940" w:type="dxa"/>
            <w:hideMark/>
          </w:tcPr>
          <w:p w14:paraId="27256343" w14:textId="77777777" w:rsidR="00437B1A" w:rsidRPr="00437B1A" w:rsidRDefault="00437B1A" w:rsidP="00437B1A">
            <w:pPr>
              <w:jc w:val="both"/>
              <w:rPr>
                <w:rFonts w:ascii="Times New Roman" w:eastAsia="Calibri" w:hAnsi="Times New Roman" w:cs="Times New Roman"/>
                <w:i/>
                <w:sz w:val="24"/>
                <w:szCs w:val="24"/>
              </w:rPr>
            </w:pPr>
            <w:r w:rsidRPr="00437B1A">
              <w:rPr>
                <w:rFonts w:ascii="Times New Roman" w:eastAsia="Calibri" w:hAnsi="Times New Roman" w:cs="Times New Roman"/>
                <w:i/>
                <w:sz w:val="24"/>
                <w:szCs w:val="24"/>
              </w:rPr>
              <w:t xml:space="preserve">vyberte  </w:t>
            </w:r>
          </w:p>
        </w:tc>
      </w:tr>
    </w:tbl>
    <w:p w14:paraId="0D0AF6E1" w14:textId="775F4686" w:rsidR="00437B1A" w:rsidRDefault="00437B1A" w:rsidP="00054C41">
      <w:pPr>
        <w:jc w:val="both"/>
        <w:rPr>
          <w:rFonts w:ascii="Times New Roman" w:eastAsia="Calibri" w:hAnsi="Times New Roman" w:cs="Times New Roman"/>
          <w:i/>
          <w:sz w:val="24"/>
          <w:szCs w:val="24"/>
        </w:rPr>
      </w:pPr>
    </w:p>
    <w:p w14:paraId="1D218C40" w14:textId="025AB7B6" w:rsidR="00437B1A" w:rsidRDefault="00437B1A" w:rsidP="00054C41">
      <w:pPr>
        <w:jc w:val="both"/>
        <w:rPr>
          <w:rFonts w:ascii="Times New Roman" w:eastAsia="Calibri" w:hAnsi="Times New Roman" w:cs="Times New Roman"/>
          <w:i/>
          <w:sz w:val="24"/>
          <w:szCs w:val="24"/>
        </w:rPr>
      </w:pPr>
    </w:p>
    <w:p w14:paraId="6D46745E" w14:textId="3724F293" w:rsidR="00437B1A" w:rsidRDefault="00437B1A" w:rsidP="00054C41">
      <w:pPr>
        <w:jc w:val="both"/>
        <w:rPr>
          <w:rFonts w:ascii="Times New Roman" w:eastAsia="Calibri" w:hAnsi="Times New Roman" w:cs="Times New Roman"/>
          <w:i/>
          <w:sz w:val="24"/>
          <w:szCs w:val="24"/>
        </w:rPr>
      </w:pPr>
    </w:p>
    <w:p w14:paraId="1F7ABC7C" w14:textId="45EFD5F8" w:rsidR="00437B1A" w:rsidRDefault="00437B1A" w:rsidP="00054C41">
      <w:pPr>
        <w:jc w:val="both"/>
        <w:rPr>
          <w:rFonts w:ascii="Times New Roman" w:eastAsia="Calibri" w:hAnsi="Times New Roman" w:cs="Times New Roman"/>
          <w:i/>
          <w:sz w:val="24"/>
          <w:szCs w:val="24"/>
        </w:rPr>
      </w:pPr>
    </w:p>
    <w:p w14:paraId="1CF05965" w14:textId="5E096BEF" w:rsidR="00437B1A" w:rsidRDefault="00437B1A" w:rsidP="00054C41">
      <w:pPr>
        <w:jc w:val="both"/>
        <w:rPr>
          <w:rFonts w:ascii="Times New Roman" w:eastAsia="Calibri" w:hAnsi="Times New Roman" w:cs="Times New Roman"/>
          <w:i/>
          <w:sz w:val="24"/>
          <w:szCs w:val="24"/>
        </w:rPr>
      </w:pPr>
    </w:p>
    <w:p w14:paraId="2A7EAAC8" w14:textId="782B299A" w:rsidR="00437B1A" w:rsidRDefault="00437B1A" w:rsidP="00054C41">
      <w:pPr>
        <w:jc w:val="both"/>
        <w:rPr>
          <w:rFonts w:ascii="Times New Roman" w:eastAsia="Calibri" w:hAnsi="Times New Roman" w:cs="Times New Roman"/>
          <w:i/>
          <w:sz w:val="24"/>
          <w:szCs w:val="24"/>
        </w:rPr>
      </w:pPr>
    </w:p>
    <w:p w14:paraId="2AE7DF99" w14:textId="083F3D1D" w:rsidR="00437B1A" w:rsidRDefault="00437B1A" w:rsidP="00054C41">
      <w:pPr>
        <w:jc w:val="both"/>
        <w:rPr>
          <w:rFonts w:ascii="Times New Roman" w:eastAsia="Calibri" w:hAnsi="Times New Roman" w:cs="Times New Roman"/>
          <w:i/>
          <w:sz w:val="24"/>
          <w:szCs w:val="24"/>
        </w:rPr>
      </w:pPr>
    </w:p>
    <w:p w14:paraId="7D182AF8" w14:textId="73BB15C2" w:rsidR="00437B1A" w:rsidRDefault="00437B1A" w:rsidP="00054C41">
      <w:pPr>
        <w:jc w:val="both"/>
        <w:rPr>
          <w:rFonts w:ascii="Times New Roman" w:eastAsia="Calibri" w:hAnsi="Times New Roman" w:cs="Times New Roman"/>
          <w:i/>
          <w:sz w:val="24"/>
          <w:szCs w:val="24"/>
        </w:rPr>
      </w:pPr>
    </w:p>
    <w:p w14:paraId="6B3EB4E0" w14:textId="6298FA7F" w:rsidR="00437B1A" w:rsidRDefault="00437B1A" w:rsidP="00054C41">
      <w:pPr>
        <w:jc w:val="both"/>
        <w:rPr>
          <w:rFonts w:ascii="Times New Roman" w:eastAsia="Calibri" w:hAnsi="Times New Roman" w:cs="Times New Roman"/>
          <w:i/>
          <w:sz w:val="24"/>
          <w:szCs w:val="24"/>
        </w:rPr>
      </w:pPr>
    </w:p>
    <w:p w14:paraId="21CEBE18" w14:textId="4430EFED" w:rsidR="00437B1A" w:rsidRDefault="00437B1A" w:rsidP="00054C41">
      <w:pPr>
        <w:jc w:val="both"/>
        <w:rPr>
          <w:rFonts w:ascii="Times New Roman" w:eastAsia="Calibri" w:hAnsi="Times New Roman" w:cs="Times New Roman"/>
          <w:i/>
          <w:sz w:val="24"/>
          <w:szCs w:val="24"/>
        </w:rPr>
      </w:pPr>
    </w:p>
    <w:p w14:paraId="2471422C" w14:textId="77777777" w:rsidR="00437B1A" w:rsidRPr="00D8247C" w:rsidRDefault="00437B1A" w:rsidP="00054C41">
      <w:pPr>
        <w:jc w:val="both"/>
        <w:rPr>
          <w:rFonts w:ascii="Times New Roman" w:eastAsia="Calibri" w:hAnsi="Times New Roman" w:cs="Times New Roman"/>
          <w:i/>
          <w:sz w:val="24"/>
          <w:szCs w:val="24"/>
        </w:r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18C9E067" w14:textId="5BB34E3A"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08CCEA81" w14:textId="0DB66D64" w:rsidR="00FB1FDC" w:rsidRDefault="00FB1FD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Počet subjektov finančného trhu je dostupný na </w:t>
      </w:r>
      <w:hyperlink r:id="rId12" w:history="1">
        <w:r w:rsidRPr="00237F5C">
          <w:rPr>
            <w:rStyle w:val="Hypertextovprepojenie"/>
            <w:rFonts w:ascii="Times New Roman" w:eastAsia="Calibri" w:hAnsi="Times New Roman" w:cs="Times New Roman"/>
            <w:bCs/>
            <w:iCs/>
            <w:sz w:val="24"/>
            <w:szCs w:val="24"/>
          </w:rPr>
          <w:t>https://subjekty.nbs.sk/</w:t>
        </w:r>
      </w:hyperlink>
      <w:r>
        <w:rPr>
          <w:rFonts w:ascii="Times New Roman" w:eastAsia="Calibri" w:hAnsi="Times New Roman" w:cs="Times New Roman"/>
          <w:bCs/>
          <w:iCs/>
          <w:color w:val="000000"/>
          <w:sz w:val="24"/>
          <w:szCs w:val="24"/>
        </w:rPr>
        <w:t xml:space="preserve">. </w:t>
      </w:r>
    </w:p>
    <w:p w14:paraId="2A8F4582" w14:textId="55BEE17F" w:rsidR="00FB1FDC" w:rsidRDefault="00FB1FD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 rámci výpočtu vplyvov regulácie v riadku č. 1 boli identifikované nepriame finančné náklady</w:t>
      </w:r>
      <w:r w:rsidR="0093133A">
        <w:rPr>
          <w:rFonts w:ascii="Times New Roman" w:eastAsia="Calibri" w:hAnsi="Times New Roman" w:cs="Times New Roman"/>
          <w:bCs/>
          <w:iCs/>
          <w:color w:val="000000"/>
          <w:sz w:val="24"/>
          <w:szCs w:val="24"/>
        </w:rPr>
        <w:t xml:space="preserve"> pre vybrané finančné inštitúcie, a to</w:t>
      </w:r>
      <w:r w:rsidR="00A52162">
        <w:rPr>
          <w:rFonts w:ascii="Times New Roman" w:eastAsia="Calibri" w:hAnsi="Times New Roman" w:cs="Times New Roman"/>
          <w:bCs/>
          <w:iCs/>
          <w:color w:val="000000"/>
          <w:sz w:val="24"/>
          <w:szCs w:val="24"/>
        </w:rPr>
        <w:t xml:space="preserve"> vo forme zabezpečenia</w:t>
      </w:r>
      <w:r w:rsidR="00A52162" w:rsidRPr="00A52162">
        <w:rPr>
          <w:rFonts w:ascii="Times New Roman" w:eastAsia="Calibri" w:hAnsi="Times New Roman" w:cs="Times New Roman"/>
          <w:bCs/>
          <w:iCs/>
          <w:color w:val="000000"/>
          <w:sz w:val="24"/>
          <w:szCs w:val="24"/>
        </w:rPr>
        <w:t xml:space="preserve"> požiadaviek na prístupnosť k službám osobám so zdravotným postihnutím</w:t>
      </w:r>
      <w:r w:rsidR="00A52162">
        <w:rPr>
          <w:rFonts w:ascii="Times New Roman" w:eastAsia="Calibri" w:hAnsi="Times New Roman" w:cs="Times New Roman"/>
          <w:bCs/>
          <w:iCs/>
          <w:color w:val="000000"/>
          <w:sz w:val="24"/>
          <w:szCs w:val="24"/>
        </w:rPr>
        <w:t xml:space="preserve">. Identifikovali sme počet </w:t>
      </w:r>
      <w:r w:rsidR="0093133A">
        <w:rPr>
          <w:rFonts w:ascii="Times New Roman" w:eastAsia="Calibri" w:hAnsi="Times New Roman" w:cs="Times New Roman"/>
          <w:bCs/>
          <w:iCs/>
          <w:color w:val="000000"/>
          <w:sz w:val="24"/>
          <w:szCs w:val="24"/>
        </w:rPr>
        <w:t xml:space="preserve">týchto </w:t>
      </w:r>
      <w:r w:rsidR="00A52162">
        <w:rPr>
          <w:rFonts w:ascii="Times New Roman" w:eastAsia="Calibri" w:hAnsi="Times New Roman" w:cs="Times New Roman"/>
          <w:bCs/>
          <w:iCs/>
          <w:color w:val="000000"/>
          <w:sz w:val="24"/>
          <w:szCs w:val="24"/>
        </w:rPr>
        <w:t xml:space="preserve">dotknutých subjektov, ale v súčasnosti nie je možné kvantifikovať tieto náklady na jedného podnikateľa z dôvodu rôznej veľkosti subjektov a z dôvodu, že </w:t>
      </w:r>
      <w:r w:rsidR="0093133A">
        <w:rPr>
          <w:rFonts w:ascii="Times New Roman" w:eastAsia="Calibri" w:hAnsi="Times New Roman" w:cs="Times New Roman"/>
          <w:bCs/>
          <w:iCs/>
          <w:color w:val="000000"/>
          <w:sz w:val="24"/>
          <w:szCs w:val="24"/>
        </w:rPr>
        <w:t>nedisponujeme informáciou</w:t>
      </w:r>
      <w:r w:rsidR="00A52162">
        <w:rPr>
          <w:rFonts w:ascii="Times New Roman" w:eastAsia="Calibri" w:hAnsi="Times New Roman" w:cs="Times New Roman"/>
          <w:bCs/>
          <w:iCs/>
          <w:color w:val="000000"/>
          <w:sz w:val="24"/>
          <w:szCs w:val="24"/>
        </w:rPr>
        <w:t xml:space="preserve">, aký stupeň zabezpečenia požiadaviek na prístupnosť už majú tieto subjekty </w:t>
      </w:r>
      <w:r w:rsidR="0093133A">
        <w:rPr>
          <w:rFonts w:ascii="Times New Roman" w:eastAsia="Calibri" w:hAnsi="Times New Roman" w:cs="Times New Roman"/>
          <w:bCs/>
          <w:iCs/>
          <w:color w:val="000000"/>
          <w:sz w:val="24"/>
          <w:szCs w:val="24"/>
        </w:rPr>
        <w:t xml:space="preserve">v súčasnosti </w:t>
      </w:r>
      <w:r w:rsidR="00A52162">
        <w:rPr>
          <w:rFonts w:ascii="Times New Roman" w:eastAsia="Calibri" w:hAnsi="Times New Roman" w:cs="Times New Roman"/>
          <w:bCs/>
          <w:iCs/>
          <w:color w:val="000000"/>
          <w:sz w:val="24"/>
          <w:szCs w:val="24"/>
        </w:rPr>
        <w:t xml:space="preserve">zavedený. </w:t>
      </w:r>
    </w:p>
    <w:p w14:paraId="16DDBA2D" w14:textId="6D697F31" w:rsidR="00437B1A" w:rsidRDefault="00437B1A" w:rsidP="00054C41">
      <w:pPr>
        <w:jc w:val="both"/>
        <w:rPr>
          <w:rFonts w:ascii="Times New Roman" w:eastAsia="Calibri" w:hAnsi="Times New Roman" w:cs="Times New Roman"/>
          <w:bCs/>
          <w:iCs/>
          <w:color w:val="000000"/>
          <w:sz w:val="24"/>
          <w:szCs w:val="24"/>
        </w:rPr>
      </w:pPr>
    </w:p>
    <w:p w14:paraId="03417DDB" w14:textId="68462C13" w:rsidR="00437B1A" w:rsidRDefault="00437B1A" w:rsidP="00054C41">
      <w:pPr>
        <w:jc w:val="both"/>
        <w:rPr>
          <w:rFonts w:ascii="Times New Roman" w:hAnsi="Times New Roman" w:cs="Times New Roman"/>
          <w:sz w:val="24"/>
          <w:szCs w:val="24"/>
        </w:rPr>
      </w:pPr>
      <w:r>
        <w:rPr>
          <w:rFonts w:ascii="Times New Roman" w:eastAsia="Calibri" w:hAnsi="Times New Roman" w:cs="Times New Roman"/>
          <w:bCs/>
          <w:iCs/>
          <w:color w:val="000000"/>
          <w:sz w:val="24"/>
          <w:szCs w:val="24"/>
        </w:rPr>
        <w:t xml:space="preserve">V rámci výpočtu podnikov, išlo o podnik, </w:t>
      </w:r>
      <w:r>
        <w:rPr>
          <w:rFonts w:ascii="Times New Roman" w:hAnsi="Times New Roman" w:cs="Times New Roman"/>
          <w:sz w:val="24"/>
          <w:szCs w:val="24"/>
        </w:rPr>
        <w:t xml:space="preserve">ktorý </w:t>
      </w:r>
      <w:r w:rsidRPr="00037B25">
        <w:rPr>
          <w:rFonts w:ascii="Times New Roman" w:hAnsi="Times New Roman" w:cs="Times New Roman"/>
          <w:sz w:val="24"/>
          <w:szCs w:val="24"/>
        </w:rPr>
        <w:t xml:space="preserve">zamestnáva </w:t>
      </w:r>
      <w:r>
        <w:rPr>
          <w:rFonts w:ascii="Times New Roman" w:hAnsi="Times New Roman" w:cs="Times New Roman"/>
          <w:sz w:val="24"/>
          <w:szCs w:val="24"/>
        </w:rPr>
        <w:t>viac</w:t>
      </w:r>
      <w:r w:rsidRPr="00037B25">
        <w:rPr>
          <w:rFonts w:ascii="Times New Roman" w:hAnsi="Times New Roman" w:cs="Times New Roman"/>
          <w:sz w:val="24"/>
          <w:szCs w:val="24"/>
        </w:rPr>
        <w:t xml:space="preserve"> ako 10 osôb a ktorý má</w:t>
      </w:r>
      <w:r>
        <w:rPr>
          <w:rFonts w:ascii="Times New Roman" w:hAnsi="Times New Roman" w:cs="Times New Roman"/>
          <w:sz w:val="24"/>
          <w:szCs w:val="24"/>
        </w:rPr>
        <w:t xml:space="preserve"> r</w:t>
      </w:r>
      <w:r w:rsidRPr="00037B25">
        <w:rPr>
          <w:rFonts w:ascii="Times New Roman" w:hAnsi="Times New Roman" w:cs="Times New Roman"/>
          <w:sz w:val="24"/>
          <w:szCs w:val="24"/>
        </w:rPr>
        <w:t>očný obrat, ktorý presahuje 2 000 000 eur, alebo</w:t>
      </w:r>
      <w:r>
        <w:rPr>
          <w:rFonts w:ascii="Times New Roman" w:hAnsi="Times New Roman" w:cs="Times New Roman"/>
          <w:sz w:val="24"/>
          <w:szCs w:val="24"/>
        </w:rPr>
        <w:t xml:space="preserve"> </w:t>
      </w:r>
      <w:r w:rsidRPr="00037B25">
        <w:rPr>
          <w:rFonts w:ascii="Times New Roman" w:hAnsi="Times New Roman" w:cs="Times New Roman"/>
          <w:sz w:val="24"/>
          <w:szCs w:val="24"/>
        </w:rPr>
        <w:t>celkovú sumu majetku, ktorá presahuje 2 000 000 eur</w:t>
      </w:r>
      <w:r>
        <w:rPr>
          <w:rFonts w:ascii="Times New Roman" w:hAnsi="Times New Roman" w:cs="Times New Roman"/>
          <w:sz w:val="24"/>
          <w:szCs w:val="24"/>
        </w:rPr>
        <w:t xml:space="preserve">. Počet podnikov, ktorých sa regulácia dotkne bol odhadnutý na základe informácií zverejnených na </w:t>
      </w:r>
      <w:hyperlink r:id="rId13" w:history="1">
        <w:r w:rsidRPr="001C4F12">
          <w:rPr>
            <w:rStyle w:val="Hypertextovprepojenie"/>
            <w:rFonts w:ascii="Times New Roman" w:hAnsi="Times New Roman" w:cs="Times New Roman"/>
            <w:sz w:val="24"/>
            <w:szCs w:val="24"/>
          </w:rPr>
          <w:t>http://monitoringmsp.sk/wp-content/uploads/2021/07/Male-a-stredne-podnikanie-v-cislach-2020.pdf</w:t>
        </w:r>
      </w:hyperlink>
    </w:p>
    <w:p w14:paraId="0CB549DE" w14:textId="77777777" w:rsidR="00437B1A" w:rsidRPr="00437B1A" w:rsidRDefault="00437B1A" w:rsidP="00054C41">
      <w:pPr>
        <w:jc w:val="both"/>
        <w:rPr>
          <w:rFonts w:ascii="Times New Roman" w:eastAsia="Calibri" w:hAnsi="Times New Roman" w:cs="Times New Roman"/>
          <w:bCs/>
          <w:iCs/>
          <w:color w:val="000000"/>
          <w:sz w:val="24"/>
          <w:szCs w:val="24"/>
        </w:rPr>
      </w:pPr>
    </w:p>
    <w:p w14:paraId="5AA1BD25" w14:textId="77777777" w:rsidR="00A52162" w:rsidRPr="00437B1A" w:rsidRDefault="00A52162" w:rsidP="00054C41">
      <w:pPr>
        <w:rPr>
          <w:rFonts w:ascii="Times New Roman" w:eastAsia="Calibri" w:hAnsi="Times New Roman" w:cs="Times New Roman"/>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E037C96" w14:textId="4F9B2AEB" w:rsidR="00D17E5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31D0F59E"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386B7CB3" w14:textId="2C1AD4AC" w:rsidR="00437B1A" w:rsidRPr="00437B1A" w:rsidRDefault="00437B1A" w:rsidP="00054C41">
      <w:pPr>
        <w:spacing w:after="0"/>
        <w:jc w:val="both"/>
        <w:rPr>
          <w:rFonts w:ascii="Times New Roman" w:eastAsia="Calibri" w:hAnsi="Times New Roman" w:cs="Times New Roman"/>
          <w:sz w:val="24"/>
          <w:szCs w:val="24"/>
        </w:rPr>
      </w:pPr>
      <w:r w:rsidRPr="00437B1A">
        <w:rPr>
          <w:rFonts w:ascii="Times New Roman" w:eastAsia="Calibri" w:hAnsi="Times New Roman" w:cs="Times New Roman"/>
          <w:sz w:val="24"/>
          <w:szCs w:val="24"/>
        </w:rPr>
        <w:lastRenderedPageBreak/>
        <w:t>Uvedená regulácia sa bude týkať iba podniku, ktorý zamestnáva viac ako 10 osôb a ktorý má ročný obrat, ktorý presahuje 2 000 000 eur, alebo celkovú sumu majetku, ktorá presahuje 2 000 000 eur</w:t>
      </w:r>
      <w:r>
        <w:rPr>
          <w:rFonts w:ascii="Times New Roman" w:eastAsia="Calibri" w:hAnsi="Times New Roman" w:cs="Times New Roman"/>
          <w:sz w:val="24"/>
          <w:szCs w:val="24"/>
        </w:rPr>
        <w:t>.</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839CCBB"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5C7024D5" w14:textId="1ABA3EFE" w:rsidR="00437B1A" w:rsidRPr="00C4373E" w:rsidRDefault="00437B1A" w:rsidP="00054C41">
      <w:pPr>
        <w:spacing w:after="0"/>
        <w:jc w:val="both"/>
        <w:rPr>
          <w:rFonts w:ascii="Times New Roman" w:eastAsia="Calibri" w:hAnsi="Times New Roman" w:cs="Times New Roman"/>
          <w:sz w:val="24"/>
          <w:szCs w:val="24"/>
        </w:rPr>
      </w:pPr>
      <w:r w:rsidRPr="00C4373E">
        <w:rPr>
          <w:rFonts w:ascii="Times New Roman" w:eastAsia="Calibri" w:hAnsi="Times New Roman" w:cs="Times New Roman"/>
          <w:iCs/>
          <w:sz w:val="24"/>
          <w:szCs w:val="24"/>
        </w:rPr>
        <w:t>Nakoľko ide o transpozíciu smernice</w:t>
      </w:r>
      <w:r w:rsidR="00C4373E" w:rsidRPr="00C4373E">
        <w:rPr>
          <w:rFonts w:ascii="Times New Roman" w:eastAsia="Calibri" w:hAnsi="Times New Roman" w:cs="Times New Roman"/>
          <w:iCs/>
          <w:sz w:val="24"/>
          <w:szCs w:val="24"/>
        </w:rPr>
        <w:t xml:space="preserve"> Európskeho parlamentu a Rady (EÚ) 2019/882 zo 17. apríla 2019 o požiadavkách na prístupnosť výrobkov a služieb (Ú. v. EÚ L 151, 7.6. 2019)</w:t>
      </w:r>
      <w:r w:rsidR="00C4373E">
        <w:rPr>
          <w:rFonts w:ascii="Times New Roman" w:eastAsia="Calibri" w:hAnsi="Times New Roman" w:cs="Times New Roman"/>
          <w:iCs/>
          <w:sz w:val="24"/>
          <w:szCs w:val="24"/>
        </w:rPr>
        <w:t>, ktorá bude vyžadovať rovnaké požiadavky na prístupnosť tovarov a služieb pre osoby so zdravotným postihnutím v celej EÚ, zlepší sa inklúzia osôb so zdravotným postihnutím do spoločnosti.</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534B04F0" w:rsidR="00054C41" w:rsidRPr="00D8247C" w:rsidRDefault="004D230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4373E">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15347A7" w:rsidR="00054C41" w:rsidRPr="00D8247C" w:rsidRDefault="004D2305"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C4373E">
                <w:rPr>
                  <w:rFonts w:ascii="Times New Roman" w:eastAsia="Calibri" w:hAnsi="Times New Roman" w:cs="Times New Roman"/>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45FAFF78" w:rsidR="00054C41" w:rsidRDefault="00054C41" w:rsidP="00054C41">
      <w:pPr>
        <w:spacing w:after="0"/>
        <w:jc w:val="both"/>
        <w:rPr>
          <w:rFonts w:ascii="Times New Roman" w:eastAsia="Calibri" w:hAnsi="Times New Roman" w:cs="Times New Roman"/>
          <w:i/>
          <w:color w:val="0070C0"/>
        </w:rPr>
      </w:pPr>
    </w:p>
    <w:p w14:paraId="492779DB" w14:textId="2844798E" w:rsidR="00CF0220" w:rsidRDefault="00CF0220" w:rsidP="00054C41">
      <w:pPr>
        <w:spacing w:after="0"/>
        <w:jc w:val="both"/>
        <w:rPr>
          <w:rFonts w:ascii="Times New Roman" w:eastAsia="Calibri" w:hAnsi="Times New Roman" w:cs="Times New Roman"/>
          <w:i/>
          <w:color w:val="0070C0"/>
        </w:rPr>
      </w:pPr>
    </w:p>
    <w:p w14:paraId="65F80005" w14:textId="435DB56E" w:rsidR="00CF0220" w:rsidRDefault="00CF0220" w:rsidP="00054C41">
      <w:pPr>
        <w:spacing w:after="0"/>
        <w:jc w:val="both"/>
        <w:rPr>
          <w:rFonts w:ascii="Times New Roman" w:eastAsia="Calibri" w:hAnsi="Times New Roman" w:cs="Times New Roman"/>
          <w:i/>
          <w:color w:val="0070C0"/>
        </w:rPr>
      </w:pPr>
    </w:p>
    <w:p w14:paraId="7D0621BC" w14:textId="38D9859D" w:rsidR="00CF0220" w:rsidRDefault="00CF0220" w:rsidP="00054C41">
      <w:pPr>
        <w:spacing w:after="0"/>
        <w:jc w:val="both"/>
        <w:rPr>
          <w:rFonts w:ascii="Times New Roman" w:eastAsia="Calibri" w:hAnsi="Times New Roman" w:cs="Times New Roman"/>
          <w:i/>
          <w:color w:val="0070C0"/>
        </w:rPr>
      </w:pPr>
    </w:p>
    <w:p w14:paraId="0BE7BC71" w14:textId="53D2DE4C" w:rsidR="00CF0220" w:rsidRDefault="00CF0220" w:rsidP="00054C41">
      <w:pPr>
        <w:spacing w:after="0"/>
        <w:jc w:val="both"/>
        <w:rPr>
          <w:rFonts w:ascii="Times New Roman" w:eastAsia="Calibri" w:hAnsi="Times New Roman" w:cs="Times New Roman"/>
          <w:i/>
          <w:color w:val="0070C0"/>
        </w:rPr>
      </w:pPr>
    </w:p>
    <w:p w14:paraId="5BA6D9B5" w14:textId="0ABE191B" w:rsidR="00CF0220" w:rsidRDefault="00CF0220" w:rsidP="00054C41">
      <w:pPr>
        <w:spacing w:after="0"/>
        <w:jc w:val="both"/>
        <w:rPr>
          <w:rFonts w:ascii="Times New Roman" w:eastAsia="Calibri" w:hAnsi="Times New Roman" w:cs="Times New Roman"/>
          <w:i/>
          <w:color w:val="0070C0"/>
        </w:rPr>
      </w:pPr>
    </w:p>
    <w:p w14:paraId="39D5C6A6" w14:textId="77777777" w:rsidR="00CF0220" w:rsidRPr="00895898" w:rsidRDefault="00CF0220"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lastRenderedPageBreak/>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 xml:space="preserve">poplatkov, ktorých cieľom je znižovať negatívne </w:t>
      </w:r>
      <w:proofErr w:type="spellStart"/>
      <w:r w:rsidR="001D3FA0" w:rsidRPr="001D3FA0">
        <w:rPr>
          <w:rFonts w:ascii="Times New Roman" w:eastAsia="Times New Roman" w:hAnsi="Times New Roman" w:cs="Times New Roman"/>
          <w:iCs/>
          <w:sz w:val="24"/>
          <w:szCs w:val="24"/>
          <w:lang w:eastAsia="sk-SK"/>
        </w:rPr>
        <w:t>externality</w:t>
      </w:r>
      <w:proofErr w:type="spellEnd"/>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 xml:space="preserve">poplatky, ktorých cieľom je znižovať negatívne </w:t>
      </w:r>
      <w:proofErr w:type="spellStart"/>
      <w:r w:rsidR="001D3FA0" w:rsidRPr="00391648">
        <w:rPr>
          <w:rFonts w:ascii="Times New Roman" w:eastAsia="Times New Roman" w:hAnsi="Times New Roman" w:cs="Times New Roman"/>
          <w:b/>
          <w:sz w:val="24"/>
          <w:szCs w:val="24"/>
          <w:lang w:eastAsia="sk-SK"/>
        </w:rPr>
        <w:t>externality</w:t>
      </w:r>
      <w:proofErr w:type="spellEnd"/>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 xml:space="preserve">Pod negatívnymi </w:t>
      </w:r>
      <w:proofErr w:type="spellStart"/>
      <w:r w:rsidR="000C5E9A">
        <w:rPr>
          <w:rFonts w:ascii="Times New Roman" w:eastAsia="Times New Roman" w:hAnsi="Times New Roman" w:cs="Times New Roman"/>
          <w:sz w:val="24"/>
          <w:szCs w:val="24"/>
          <w:lang w:eastAsia="sk-SK"/>
        </w:rPr>
        <w:t>externalitami</w:t>
      </w:r>
      <w:proofErr w:type="spellEnd"/>
      <w:r w:rsidR="000C5E9A">
        <w:rPr>
          <w:rFonts w:ascii="Times New Roman" w:eastAsia="Times New Roman" w:hAnsi="Times New Roman" w:cs="Times New Roman"/>
          <w:sz w:val="24"/>
          <w:szCs w:val="24"/>
          <w:lang w:eastAsia="sk-SK"/>
        </w:rPr>
        <w:t xml:space="preserve">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w:t>
      </w:r>
      <w:r w:rsidRPr="00D8247C">
        <w:rPr>
          <w:rFonts w:ascii="Times New Roman" w:eastAsia="Times New Roman" w:hAnsi="Times New Roman" w:cs="Times New Roman"/>
          <w:i/>
          <w:iCs/>
          <w:sz w:val="24"/>
          <w:szCs w:val="24"/>
          <w:lang w:eastAsia="sk-SK"/>
        </w:rPr>
        <w:lastRenderedPageBreak/>
        <w:t xml:space="preserve">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Vplyv na </w:t>
      </w:r>
      <w:proofErr w:type="spellStart"/>
      <w:r w:rsidRPr="00D8247C">
        <w:rPr>
          <w:rFonts w:ascii="Times New Roman" w:eastAsia="Times New Roman" w:hAnsi="Times New Roman" w:cs="Times New Roman"/>
          <w:b/>
          <w:sz w:val="24"/>
          <w:szCs w:val="24"/>
          <w:lang w:eastAsia="sk-SK"/>
        </w:rPr>
        <w:t>mikro</w:t>
      </w:r>
      <w:proofErr w:type="spellEnd"/>
      <w:r w:rsidRPr="00D8247C">
        <w:rPr>
          <w:rFonts w:ascii="Times New Roman" w:eastAsia="Times New Roman" w:hAnsi="Times New Roman" w:cs="Times New Roman"/>
          <w:b/>
          <w:sz w:val="24"/>
          <w:szCs w:val="24"/>
          <w:lang w:eastAsia="sk-SK"/>
        </w:rPr>
        <w:t>,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F. Úplná harmonizácia práva EÚ</w:t>
      </w:r>
      <w:r w:rsidRPr="00D8247C">
        <w:rPr>
          <w:rFonts w:ascii="Times New Roman" w:eastAsia="Times New Roman" w:hAnsi="Times New Roman" w:cs="Times New Roman"/>
          <w:sz w:val="24"/>
          <w:szCs w:val="24"/>
          <w:lang w:eastAsia="sk-SK"/>
        </w:rPr>
        <w:t xml:space="preserve">: spočítajú sa náklady tých ustanovení predkladaného právneho predpisu, ktoré vyplývajú z legislatívy EÚ, od ktorej sa nemožno odkloniť a ktorú ani nie je možné upraviť inak (z Tabuľky č. 2 – Pôvod regulácie: EÚ úplná </w:t>
      </w:r>
      <w:proofErr w:type="spellStart"/>
      <w:r w:rsidRPr="00D8247C">
        <w:rPr>
          <w:rFonts w:ascii="Times New Roman" w:eastAsia="Times New Roman" w:hAnsi="Times New Roman" w:cs="Times New Roman"/>
          <w:sz w:val="24"/>
          <w:szCs w:val="24"/>
          <w:lang w:eastAsia="sk-SK"/>
        </w:rPr>
        <w:t>harm</w:t>
      </w:r>
      <w:proofErr w:type="spellEnd"/>
      <w:r w:rsidRPr="00D8247C">
        <w:rPr>
          <w:rFonts w:ascii="Times New Roman" w:eastAsia="Times New Roman" w:hAnsi="Times New Roman" w:cs="Times New Roman"/>
          <w:sz w:val="24"/>
          <w:szCs w:val="24"/>
          <w:lang w:eastAsia="sk-SK"/>
        </w:rPr>
        <w:t>.).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 xml:space="preserve">SK; EÚ úplná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xml:space="preserve">.; EÚ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lastRenderedPageBreak/>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lastRenderedPageBreak/>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 xml:space="preserve">poplatky, ktorých cieľom je znižovať negatívne </w:t>
      </w:r>
      <w:proofErr w:type="spellStart"/>
      <w:r w:rsidR="00A1736E" w:rsidRPr="00391648">
        <w:rPr>
          <w:rFonts w:ascii="Times New Roman" w:eastAsia="Calibri" w:hAnsi="Times New Roman" w:cs="Times New Roman"/>
          <w:bCs/>
          <w:sz w:val="24"/>
          <w:szCs w:val="24"/>
        </w:rPr>
        <w:t>externality</w:t>
      </w:r>
      <w:proofErr w:type="spellEnd"/>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224C429F" w14:textId="77777777" w:rsidR="00054C41" w:rsidRPr="00D8247C" w:rsidRDefault="00054C41" w:rsidP="00054C41">
      <w:pPr>
        <w:jc w:val="both"/>
        <w:rPr>
          <w:rFonts w:ascii="Times New Roman" w:eastAsia="Calibri" w:hAnsi="Times New Roman" w:cs="Times New Roman"/>
          <w:bCs/>
          <w:sz w:val="24"/>
          <w:szCs w:val="24"/>
        </w:rPr>
      </w:pP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w:t>
      </w:r>
      <w:proofErr w:type="spellStart"/>
      <w:r w:rsidR="000C5E9A">
        <w:rPr>
          <w:rFonts w:ascii="Times New Roman" w:eastAsia="Calibri" w:hAnsi="Times New Roman" w:cs="Times New Roman"/>
          <w:sz w:val="24"/>
          <w:szCs w:val="24"/>
        </w:rPr>
        <w:t>externality</w:t>
      </w:r>
      <w:proofErr w:type="spellEnd"/>
      <w:r w:rsidR="000C5E9A">
        <w:rPr>
          <w:rFonts w:ascii="Times New Roman" w:eastAsia="Calibri" w:hAnsi="Times New Roman" w:cs="Times New Roman"/>
          <w:sz w:val="24"/>
          <w:szCs w:val="24"/>
        </w:rPr>
        <w:t xml:space="preserve">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437B1A" w:rsidRDefault="00437B1A"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437B1A" w:rsidRDefault="00437B1A"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437B1A" w:rsidRDefault="00437B1A"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437B1A" w:rsidRDefault="00437B1A"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437B1A" w:rsidRDefault="00437B1A"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437B1A" w:rsidRDefault="00437B1A"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1BB1CC7"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lastRenderedPageBreak/>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437B1A" w:rsidRDefault="00437B1A"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437B1A" w:rsidRDefault="00437B1A"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437B1A" w:rsidRDefault="00437B1A"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437B1A" w:rsidRDefault="00437B1A"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437B1A" w:rsidRDefault="00437B1A"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437B1A" w:rsidRDefault="00437B1A"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437B1A" w:rsidRDefault="00437B1A"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437B1A" w:rsidRDefault="00437B1A"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437B1A" w:rsidRDefault="00437B1A"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437B1A" w:rsidRDefault="00437B1A"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58B8FA07"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B5CB17D"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3E11E52C"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4F919DE1" w14:textId="77777777" w:rsidR="00054C41" w:rsidRPr="00895898" w:rsidRDefault="00054C41" w:rsidP="00054C41">
      <w:pPr>
        <w:spacing w:after="120" w:line="240" w:lineRule="auto"/>
        <w:rPr>
          <w:rFonts w:ascii="Arial" w:eastAsia="Times New Roman" w:hAnsi="Arial" w:cs="Times New Roman"/>
          <w:noProof/>
          <w:color w:val="000000"/>
          <w:lang w:eastAsia="sk-SK"/>
        </w:rPr>
      </w:pPr>
    </w:p>
    <w:p w14:paraId="206292DD" w14:textId="77777777" w:rsidR="00054C41" w:rsidRPr="00895898" w:rsidRDefault="00054C41" w:rsidP="00054C41">
      <w:pPr>
        <w:spacing w:after="120" w:line="240" w:lineRule="auto"/>
        <w:rPr>
          <w:rFonts w:ascii="Arial" w:eastAsia="Times New Roman" w:hAnsi="Arial" w:cs="Times New Roman"/>
          <w:color w:val="000000"/>
        </w:rPr>
      </w:pPr>
    </w:p>
    <w:p w14:paraId="00A8DEC3" w14:textId="77777777" w:rsidR="00054C41" w:rsidRPr="00895898" w:rsidRDefault="00054C41" w:rsidP="00054C41">
      <w:pPr>
        <w:spacing w:after="120" w:line="240" w:lineRule="auto"/>
        <w:rPr>
          <w:rFonts w:ascii="Arial" w:eastAsia="Times New Roman" w:hAnsi="Arial" w:cs="Times New Roman"/>
          <w:b/>
          <w:color w:val="000000"/>
        </w:rPr>
      </w:pPr>
    </w:p>
    <w:p w14:paraId="69769456" w14:textId="77777777" w:rsidR="00054C41" w:rsidRDefault="00054C41" w:rsidP="00054C41">
      <w:pPr>
        <w:spacing w:after="0" w:line="240" w:lineRule="auto"/>
        <w:rPr>
          <w:rFonts w:ascii="Times New Roman" w:eastAsia="Calibri" w:hAnsi="Times New Roman" w:cs="Times New Roman"/>
          <w:i/>
        </w:rPr>
      </w:pP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437B1A" w:rsidRDefault="00437B1A"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437B1A" w:rsidRDefault="00437B1A"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437B1A" w:rsidRDefault="00437B1A"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437B1A" w:rsidRDefault="00437B1A"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437B1A" w:rsidRDefault="00437B1A"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437B1A" w:rsidRDefault="00437B1A"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437B1A" w:rsidRDefault="00437B1A"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437B1A" w:rsidRDefault="00437B1A"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437B1A" w:rsidRDefault="00437B1A"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437B1A" w:rsidRDefault="00437B1A"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77777777" w:rsidR="00054C41" w:rsidRPr="00895898" w:rsidRDefault="00054C41"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lastRenderedPageBreak/>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bookmarkStart w:id="1" w:name="_GoBack"/>
      <w:bookmarkEnd w:id="1"/>
      <w:r w:rsidRPr="001F1B43">
        <w:rPr>
          <w:rFonts w:ascii="Times New Roman" w:eastAsia="Calibri" w:hAnsi="Times New Roman" w:cs="Times New Roman"/>
          <w:i/>
          <w:sz w:val="24"/>
          <w:szCs w:val="24"/>
        </w:rPr>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lastRenderedPageBreak/>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77777777" w:rsidR="00340CFD" w:rsidRP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71572DEA" w14:textId="77777777" w:rsidR="00054C41" w:rsidRPr="00895898" w:rsidRDefault="00054C41" w:rsidP="00054C41">
      <w:pPr>
        <w:spacing w:after="0" w:line="240" w:lineRule="auto"/>
        <w:ind w:right="-426"/>
        <w:rPr>
          <w:rFonts w:ascii="Times New Roman" w:eastAsia="Times New Roman" w:hAnsi="Times New Roman" w:cs="Times New Roman"/>
          <w:i/>
          <w:color w:val="000000"/>
          <w:sz w:val="20"/>
          <w:szCs w:val="20"/>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proofErr w:type="spellStart"/>
      <w:r w:rsidRPr="00D8247C">
        <w:rPr>
          <w:rFonts w:ascii="Times New Roman" w:eastAsia="Calibri" w:hAnsi="Times New Roman" w:cs="Times New Roman"/>
          <w:bCs/>
          <w:sz w:val="24"/>
          <w:szCs w:val="24"/>
        </w:rPr>
        <w:t>link</w:t>
      </w:r>
      <w:proofErr w:type="spellEnd"/>
      <w:r w:rsidRPr="00D8247C">
        <w:rPr>
          <w:rFonts w:ascii="Times New Roman" w:eastAsia="Calibri" w:hAnsi="Times New Roman" w:cs="Times New Roman"/>
          <w:bCs/>
          <w:sz w:val="24"/>
          <w:szCs w:val="24"/>
        </w:rPr>
        <w:t xml:space="preserve">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06E7A8E5" w14:textId="77777777" w:rsidR="00054C41" w:rsidRPr="00D8247C" w:rsidRDefault="00054C41" w:rsidP="00054C41">
      <w:pPr>
        <w:jc w:val="both"/>
        <w:rPr>
          <w:rFonts w:ascii="Times New Roman" w:eastAsia="Calibri" w:hAnsi="Times New Roman" w:cs="Times New Roman"/>
          <w:bCs/>
          <w:sz w:val="24"/>
          <w:szCs w:val="24"/>
        </w:rPr>
      </w:pPr>
    </w:p>
    <w:p w14:paraId="00471F2E" w14:textId="77777777" w:rsidR="00054C41" w:rsidRPr="00D8247C" w:rsidRDefault="00054C41"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lastRenderedPageBreak/>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AA2D83A"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lastRenderedPageBreak/>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B59A" w14:textId="77777777" w:rsidR="004D2305" w:rsidRDefault="004D2305" w:rsidP="00054C41">
      <w:pPr>
        <w:spacing w:after="0" w:line="240" w:lineRule="auto"/>
      </w:pPr>
      <w:r>
        <w:separator/>
      </w:r>
    </w:p>
  </w:endnote>
  <w:endnote w:type="continuationSeparator" w:id="0">
    <w:p w14:paraId="4D6BC45D" w14:textId="77777777" w:rsidR="004D2305" w:rsidRDefault="004D2305"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3B927DBF" w:rsidR="00437B1A" w:rsidRPr="006045CB" w:rsidRDefault="00437B1A"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F0220">
          <w:rPr>
            <w:rFonts w:ascii="Times New Roman" w:hAnsi="Times New Roman" w:cs="Times New Roman"/>
            <w:noProof/>
            <w:sz w:val="24"/>
            <w:szCs w:val="24"/>
          </w:rPr>
          <w:t>14</w:t>
        </w:r>
        <w:r w:rsidRPr="006045CB">
          <w:rPr>
            <w:rFonts w:ascii="Times New Roman" w:hAnsi="Times New Roman" w:cs="Times New Roman"/>
            <w:sz w:val="24"/>
            <w:szCs w:val="24"/>
          </w:rPr>
          <w:fldChar w:fldCharType="end"/>
        </w:r>
      </w:p>
    </w:sdtContent>
  </w:sdt>
  <w:p w14:paraId="7D48B09B" w14:textId="77777777" w:rsidR="00437B1A" w:rsidRPr="00FF7125" w:rsidRDefault="00437B1A" w:rsidP="00054C41">
    <w:pPr>
      <w:pStyle w:val="Pta"/>
      <w:rPr>
        <w:sz w:val="24"/>
        <w:szCs w:val="24"/>
      </w:rPr>
    </w:pPr>
  </w:p>
  <w:p w14:paraId="68AC3825" w14:textId="77777777" w:rsidR="00437B1A" w:rsidRDefault="00437B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EA7C6" w14:textId="77777777" w:rsidR="004D2305" w:rsidRDefault="004D2305" w:rsidP="00054C41">
      <w:pPr>
        <w:spacing w:after="0" w:line="240" w:lineRule="auto"/>
      </w:pPr>
      <w:r>
        <w:separator/>
      </w:r>
    </w:p>
  </w:footnote>
  <w:footnote w:type="continuationSeparator" w:id="0">
    <w:p w14:paraId="48C05B5B" w14:textId="77777777" w:rsidR="004D2305" w:rsidRDefault="004D2305"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437B1A" w:rsidRPr="006045CB" w:rsidRDefault="00437B1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437B1A" w:rsidRPr="006045CB" w:rsidRDefault="00437B1A"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7F97"/>
    <w:rsid w:val="00054C41"/>
    <w:rsid w:val="00060DA1"/>
    <w:rsid w:val="00081CF3"/>
    <w:rsid w:val="000C5E9A"/>
    <w:rsid w:val="001142E1"/>
    <w:rsid w:val="00122100"/>
    <w:rsid w:val="00142154"/>
    <w:rsid w:val="001B4C03"/>
    <w:rsid w:val="001D1083"/>
    <w:rsid w:val="001D3FA0"/>
    <w:rsid w:val="001E53CB"/>
    <w:rsid w:val="00225A83"/>
    <w:rsid w:val="00270EA5"/>
    <w:rsid w:val="002B20E0"/>
    <w:rsid w:val="00336DC2"/>
    <w:rsid w:val="00340CFD"/>
    <w:rsid w:val="00354160"/>
    <w:rsid w:val="00371F9D"/>
    <w:rsid w:val="0038255E"/>
    <w:rsid w:val="00391648"/>
    <w:rsid w:val="0039304E"/>
    <w:rsid w:val="003E58B8"/>
    <w:rsid w:val="003F06D7"/>
    <w:rsid w:val="00437B1A"/>
    <w:rsid w:val="00445638"/>
    <w:rsid w:val="00446432"/>
    <w:rsid w:val="004D20CB"/>
    <w:rsid w:val="004D2305"/>
    <w:rsid w:val="00631DD3"/>
    <w:rsid w:val="00641433"/>
    <w:rsid w:val="006454A5"/>
    <w:rsid w:val="00651C8A"/>
    <w:rsid w:val="006A58FF"/>
    <w:rsid w:val="007259CB"/>
    <w:rsid w:val="00747735"/>
    <w:rsid w:val="0077106D"/>
    <w:rsid w:val="007B40FB"/>
    <w:rsid w:val="007E24B2"/>
    <w:rsid w:val="007E43E5"/>
    <w:rsid w:val="00825919"/>
    <w:rsid w:val="00835948"/>
    <w:rsid w:val="008634E9"/>
    <w:rsid w:val="008801B5"/>
    <w:rsid w:val="008B4AA1"/>
    <w:rsid w:val="008C1C71"/>
    <w:rsid w:val="008F4D42"/>
    <w:rsid w:val="00907010"/>
    <w:rsid w:val="00923C0C"/>
    <w:rsid w:val="0093133A"/>
    <w:rsid w:val="00943491"/>
    <w:rsid w:val="009722A1"/>
    <w:rsid w:val="009A4D56"/>
    <w:rsid w:val="009E09F7"/>
    <w:rsid w:val="00A000DA"/>
    <w:rsid w:val="00A1736E"/>
    <w:rsid w:val="00A52162"/>
    <w:rsid w:val="00B66E33"/>
    <w:rsid w:val="00BD0EF7"/>
    <w:rsid w:val="00C21399"/>
    <w:rsid w:val="00C4373E"/>
    <w:rsid w:val="00C560C4"/>
    <w:rsid w:val="00C6748F"/>
    <w:rsid w:val="00CC2F6B"/>
    <w:rsid w:val="00CF0220"/>
    <w:rsid w:val="00D005F2"/>
    <w:rsid w:val="00D17E51"/>
    <w:rsid w:val="00D631FA"/>
    <w:rsid w:val="00D65486"/>
    <w:rsid w:val="00D82356"/>
    <w:rsid w:val="00D84EEE"/>
    <w:rsid w:val="00D90A61"/>
    <w:rsid w:val="00DF02CE"/>
    <w:rsid w:val="00E030DA"/>
    <w:rsid w:val="00E7545A"/>
    <w:rsid w:val="00E97B76"/>
    <w:rsid w:val="00EB2BEC"/>
    <w:rsid w:val="00EC0704"/>
    <w:rsid w:val="00ED6B5D"/>
    <w:rsid w:val="00EE4C99"/>
    <w:rsid w:val="00F52382"/>
    <w:rsid w:val="00F74FC9"/>
    <w:rsid w:val="00FB1FDC"/>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FB1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214">
      <w:bodyDiv w:val="1"/>
      <w:marLeft w:val="0"/>
      <w:marRight w:val="0"/>
      <w:marTop w:val="0"/>
      <w:marBottom w:val="0"/>
      <w:divBdr>
        <w:top w:val="none" w:sz="0" w:space="0" w:color="auto"/>
        <w:left w:val="none" w:sz="0" w:space="0" w:color="auto"/>
        <w:bottom w:val="none" w:sz="0" w:space="0" w:color="auto"/>
        <w:right w:val="none" w:sz="0" w:space="0" w:color="auto"/>
      </w:divBdr>
    </w:div>
    <w:div w:id="421994368">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72436623">
      <w:bodyDiv w:val="1"/>
      <w:marLeft w:val="0"/>
      <w:marRight w:val="0"/>
      <w:marTop w:val="0"/>
      <w:marBottom w:val="0"/>
      <w:divBdr>
        <w:top w:val="none" w:sz="0" w:space="0" w:color="auto"/>
        <w:left w:val="none" w:sz="0" w:space="0" w:color="auto"/>
        <w:bottom w:val="none" w:sz="0" w:space="0" w:color="auto"/>
        <w:right w:val="none" w:sz="0" w:space="0" w:color="auto"/>
      </w:divBdr>
    </w:div>
    <w:div w:id="1939213316">
      <w:bodyDiv w:val="1"/>
      <w:marLeft w:val="0"/>
      <w:marRight w:val="0"/>
      <w:marTop w:val="0"/>
      <w:marBottom w:val="0"/>
      <w:divBdr>
        <w:top w:val="none" w:sz="0" w:space="0" w:color="auto"/>
        <w:left w:val="none" w:sz="0" w:space="0" w:color="auto"/>
        <w:bottom w:val="none" w:sz="0" w:space="0" w:color="auto"/>
        <w:right w:val="none" w:sz="0" w:space="0" w:color="auto"/>
      </w:divBdr>
    </w:div>
    <w:div w:id="2055503564">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itoringmsp.sk/wp-content/uploads/2021/07/Male-a-stredne-podnikanie-v-cislach-202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ubjekty.nbs.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3BBFBCC-A4A6-4A2A-A84A-E4B983EE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5050</Words>
  <Characters>28788</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2022-05-13T05:38:00Z</cp:lastPrinted>
  <dcterms:created xsi:type="dcterms:W3CDTF">2022-05-13T05:29:00Z</dcterms:created>
  <dcterms:modified xsi:type="dcterms:W3CDTF">2022-05-13T05:39:00Z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