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B49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1A6725B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7E3255AC" w14:textId="77777777" w:rsidTr="42FD4335"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497DE7C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612C3099" w14:textId="77777777" w:rsidTr="42FD4335"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6C0D9C2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05E40C94" w14:textId="77777777" w:rsidTr="42FD4335">
        <w:tc>
          <w:tcPr>
            <w:tcW w:w="9180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75152D7" w14:textId="020B4500" w:rsidR="001B23B7" w:rsidRPr="00967D68" w:rsidRDefault="00967D68" w:rsidP="00967D68">
            <w:pPr>
              <w:spacing w:before="120" w:after="12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</w:t>
            </w:r>
            <w:r w:rsidRPr="00967D68">
              <w:rPr>
                <w:rFonts w:ascii="Times" w:hAnsi="Times" w:cs="Times"/>
                <w:sz w:val="20"/>
                <w:szCs w:val="20"/>
              </w:rPr>
              <w:t>ktorým sa mení a dopĺňa zákon č. 305/201</w:t>
            </w:r>
            <w:r>
              <w:rPr>
                <w:rFonts w:ascii="Times" w:hAnsi="Times" w:cs="Times"/>
                <w:sz w:val="20"/>
                <w:szCs w:val="20"/>
              </w:rPr>
              <w:t xml:space="preserve">3 Z. z. o elektronickej podobe </w:t>
            </w:r>
            <w:r w:rsidRPr="00967D68">
              <w:rPr>
                <w:rFonts w:ascii="Times" w:hAnsi="Times" w:cs="Times"/>
                <w:sz w:val="20"/>
                <w:szCs w:val="20"/>
              </w:rPr>
              <w:t>výkonu pôsobnosti orgánov verejnej moci a o zmene a doplnení niektorých zákonov (zákon o e-Governmente) v znení neskorších predpisov a ktorým sa menia a dopĺňajú niektoré zákony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B043B4" w14:paraId="132E5AED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8C330A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28FEA53" w14:textId="77777777" w:rsidTr="42FD4335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2EAEB" w14:textId="62083196" w:rsidR="001B23B7" w:rsidRPr="00B043B4" w:rsidRDefault="006A245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investícií, regionálneho rozvoja a informatizácie Slovenskej republiky</w:t>
            </w:r>
            <w:r w:rsidR="00AE5E8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60035">
              <w:rPr>
                <w:rFonts w:ascii="Times" w:hAnsi="Times" w:cs="Times"/>
                <w:sz w:val="20"/>
                <w:szCs w:val="20"/>
              </w:rPr>
              <w:t>(ďalej len „MIRRI SR“)</w:t>
            </w:r>
          </w:p>
          <w:p w14:paraId="11DB3BC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17CA62" w14:textId="77777777" w:rsidTr="42FD4335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61D472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C3E495A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0DA6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61C3372" w14:textId="77777777" w:rsidTr="42FD4335">
        <w:tc>
          <w:tcPr>
            <w:tcW w:w="4212" w:type="dxa"/>
            <w:gridSpan w:val="2"/>
            <w:vMerge/>
          </w:tcPr>
          <w:p w14:paraId="07BBDC2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CF9BA1B" w14:textId="77777777" w:rsidR="001B23B7" w:rsidRPr="00B043B4" w:rsidRDefault="006A245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6573E7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7B04A75D" w14:textId="77777777" w:rsidTr="42FD4335">
        <w:tc>
          <w:tcPr>
            <w:tcW w:w="4212" w:type="dxa"/>
            <w:gridSpan w:val="2"/>
            <w:vMerge/>
          </w:tcPr>
          <w:p w14:paraId="02EE5DA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D8C97B5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A4B6C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32EA1FFF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7C95880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F906E7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A221CD7" w14:textId="77777777" w:rsidTr="42FD4335">
        <w:tc>
          <w:tcPr>
            <w:tcW w:w="59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ADA5AE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431" w14:textId="14D975AB" w:rsidR="001B23B7" w:rsidRPr="00B043B4" w:rsidRDefault="00C07756" w:rsidP="42FD433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24</w:t>
            </w:r>
            <w:r w:rsidR="006A2451" w:rsidRPr="42FD43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  <w:r w:rsidR="50121297" w:rsidRPr="42FD43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09</w:t>
            </w:r>
            <w:r w:rsidR="006A2451" w:rsidRPr="42FD43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.2021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30.09.2021</w:t>
            </w:r>
          </w:p>
        </w:tc>
      </w:tr>
      <w:tr w:rsidR="001B23B7" w:rsidRPr="00B043B4" w14:paraId="0540B4D7" w14:textId="77777777" w:rsidTr="42FD433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B9310E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4D4" w14:textId="50659667" w:rsidR="001B23B7" w:rsidRPr="00B043B4" w:rsidRDefault="006C5145" w:rsidP="42FD433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marec </w:t>
            </w:r>
            <w:r w:rsidR="00DA04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B043B4" w14:paraId="05B7B28C" w14:textId="77777777" w:rsidTr="42FD4335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E665E32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F95" w14:textId="18FCC4A4" w:rsidR="001B23B7" w:rsidRPr="00B043B4" w:rsidRDefault="00D65439" w:rsidP="42FD433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04.05.2022 – 10.05.2022</w:t>
            </w:r>
          </w:p>
        </w:tc>
      </w:tr>
      <w:tr w:rsidR="001B23B7" w:rsidRPr="00B043B4" w14:paraId="36B004DA" w14:textId="77777777" w:rsidTr="42FD433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349490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74C" w14:textId="3D0F6041" w:rsidR="001B23B7" w:rsidRPr="00B043B4" w:rsidRDefault="001B23B7" w:rsidP="42FD433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1B23B7" w:rsidRPr="00B043B4" w14:paraId="1BE13B6B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B6FBA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B2917DF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AB1341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7DBC4435" w14:textId="77777777" w:rsidTr="42FD4335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B3321" w14:textId="34E9FA35" w:rsidR="009B3842" w:rsidRDefault="009B3842" w:rsidP="00FA3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Ad.1) Elektronické schránky</w:t>
            </w:r>
            <w:r w:rsidR="001D74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doručovanie</w:t>
            </w:r>
          </w:p>
          <w:p w14:paraId="71915E21" w14:textId="135ACB21" w:rsidR="00010F5F" w:rsidRDefault="00010F5F" w:rsidP="00FA3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 o e-Governmente zaviedol povinnosť orgánov verejnej moci vykonávať verejnú moc elektronicky. Na elektronickú úradnú komunikáciu boli zriadené elektronické schránky, ktoré sú definované ako</w:t>
            </w:r>
            <w:r w:rsidR="004D36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„</w:t>
            </w:r>
            <w:r w:rsidR="004D3654" w:rsidRPr="004D36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elektronické úložisko, v ktorom sú uchovávané elektronické správy a</w:t>
            </w:r>
            <w:r w:rsidR="004D36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4D3654" w:rsidRPr="004D36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notifikácie</w:t>
            </w:r>
            <w:r w:rsidR="004D36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“. Zriaďovanie a aktiváciu elektronickej schránky ustanovil zákon v závislosti od právneho postavenia subjektu, ktorému sa schránka zriaďuje</w:t>
            </w:r>
            <w:r w:rsidR="00A94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pričom v prvom kole boli zriadené a súčasne aktivované elektronické schránky všetkým orgánom verejnej moci</w:t>
            </w:r>
            <w:r w:rsidR="00F004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(do 1. februára 2014). A</w:t>
            </w:r>
            <w:r w:rsidR="00A94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 následne došlo k povinnej aktivácii elektronických schránok právnickým osobám</w:t>
            </w:r>
            <w:r w:rsidR="00BA45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pričom táto sa uskutočnila v niekoľkých fázach v závislosti od </w:t>
            </w:r>
            <w:r w:rsidR="00967D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kvality </w:t>
            </w:r>
            <w:r w:rsidR="00BA45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dostupnosti údajov potrebných na zriadenie a aktiváciu schránky (posledný termín bol 1. júna 2020)</w:t>
            </w:r>
            <w:r w:rsidR="00F004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Zákon </w:t>
            </w:r>
            <w:r w:rsidR="008C1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e-Governmente </w:t>
            </w:r>
            <w:r w:rsidR="00BA45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súčasnosti </w:t>
            </w:r>
            <w:r w:rsidR="00F004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nepredpokladá povinnú aktiváciu elektronických schránok fyzických osôb – podnikateľov, ako ani fyzických osôb.</w:t>
            </w:r>
            <w:r w:rsidR="00A94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</w:t>
            </w:r>
            <w:r w:rsidR="004D36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daje na zriaďovanie elektronických schránok mal mať prevádzkovateľ modulu elektronických schránok k dispozícii z referenčných registrov, </w:t>
            </w:r>
            <w:r w:rsidR="004D3654" w:rsidRPr="008C1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ktorými sú register fyzických osôb zriadený zákonom č. 253/1998 Z. z. </w:t>
            </w:r>
            <w:r w:rsidR="004D3654" w:rsidRPr="00763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 hlásení pobytu občanov Slovenskej republiky a registri obyvateľov Slovenskej republiky</w:t>
            </w:r>
            <w:r w:rsidR="008C161A" w:rsidRPr="00763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v znení neskorších predpisov</w:t>
            </w:r>
            <w:r w:rsidR="004D3654" w:rsidRPr="00763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,</w:t>
            </w:r>
            <w:r w:rsidR="004D3654" w:rsidRPr="008C1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register právnických osôb, </w:t>
            </w:r>
            <w:r w:rsidR="00A94FAF" w:rsidRPr="008C1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podnikateľov a orgánov verejnej moci zriadený zákonom č. 272/2015 Z. z. </w:t>
            </w:r>
            <w:r w:rsidR="00A94FAF" w:rsidRPr="00763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 registri právnických osôb, podnikateľov a orgánov verejnej moci a o zmene a doplnení niektorých zákonov</w:t>
            </w:r>
            <w:r w:rsidR="008C161A" w:rsidRPr="00763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v znení neskorších predpisov</w:t>
            </w:r>
            <w:r w:rsidR="00A94FAF" w:rsidRPr="008C1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A94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66C3017B" w14:textId="45E64B8E" w:rsidR="00E37E95" w:rsidRDefault="00BA4541" w:rsidP="004C23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 elektronických</w:t>
            </w:r>
            <w:r w:rsidR="00A63526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schránok</w:t>
            </w:r>
            <w:r w:rsidR="00A635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prebiehalo v dôsledku 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rôzn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dostupnos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stav</w:t>
            </w:r>
            <w:r w:rsidR="0008448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kvalit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údajov v referenčných registroch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zdrojových registroch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ich 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nedostačujúceho 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vzájomné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prepojeni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a,</w:t>
            </w:r>
            <w:r w:rsidR="00A94FAF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inak než predpokladal zákon o e-Governmente. V dôsledku uvedeného, ako aj vzhľadom na praktické skúsenosti orgánov verejnej moci s ele</w:t>
            </w:r>
            <w:r w:rsidR="00A635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ktronickou úradnou komunikáciou, aplikačné problémy súvisiace</w:t>
            </w:r>
            <w:r w:rsidR="00A63526" w:rsidRPr="00A635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doručovaním a inými pravidlami pre počítanie leh</w:t>
            </w:r>
            <w:r w:rsidR="007B5E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ôt podľa zákona o e-Governmente</w:t>
            </w:r>
            <w:r w:rsidR="008C1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potrebné</w:t>
            </w:r>
            <w:r w:rsidR="00A63526" w:rsidRPr="00A635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pristúpi</w:t>
            </w:r>
            <w:r w:rsidR="008C16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</w:t>
            </w:r>
            <w:r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 revízii právnej úpravy elektronických schráno</w:t>
            </w:r>
            <w:r w:rsidR="00D71D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pre orgány verejnej moci</w:t>
            </w:r>
            <w:r w:rsidR="00236D80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0A695B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2EED6FF0" w14:textId="045EF523" w:rsidR="00D65439" w:rsidRDefault="00D65439" w:rsidP="004C23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Návrhom zákona dochádza tiež k nastaveniu automatizovanej deaktivácie</w:t>
            </w:r>
            <w:r w:rsidRPr="00D654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schránok v prípade zániku právneho postavenia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fyzickej osoby - </w:t>
            </w:r>
            <w:r w:rsidRPr="00D654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podnikateľa na základe konsolidovaných údajov z registra právnických osôb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táto zmena si vyžada úpravy v rámci </w:t>
            </w:r>
            <w:r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ústredného portálu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verejnej správy (ďalej len „ÚPVS“).</w:t>
            </w:r>
          </w:p>
          <w:p w14:paraId="7122A78D" w14:textId="785F7DBA" w:rsidR="000A695B" w:rsidRDefault="00AB6104" w:rsidP="004C23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Zároveň </w:t>
            </w:r>
            <w:r w:rsidR="00257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dochádza k úprave pravidiel</w:t>
            </w:r>
            <w:r w:rsidR="6B831F1A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B74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elektronického</w:t>
            </w:r>
            <w:r w:rsidR="00346A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doručovan</w:t>
            </w:r>
            <w:r w:rsidR="000B74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ia</w:t>
            </w:r>
            <w:r w:rsidR="00D20021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57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elektronických úradných dokumentov </w:t>
            </w:r>
            <w:r w:rsidR="270AA02D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orgánmi verejnej moci</w:t>
            </w:r>
            <w:r w:rsidR="00E37E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osobe, ktorá sa do </w:t>
            </w:r>
            <w:r w:rsidR="00E37E95" w:rsidRPr="007D3F8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schránky prihlásila a požiadala o deaktiváciu elektronickej schránky</w:t>
            </w:r>
            <w:r w:rsidR="00257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 uložení elektronickej úradnej správy v</w:t>
            </w:r>
            <w:r w:rsidR="007E65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257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schránke</w:t>
            </w:r>
            <w:r w:rsidR="007E65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rovnako sa upravuje aj deaktivácia schránky pre fyzické osoby podnikateľov</w:t>
            </w:r>
            <w:r w:rsidR="00257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D20021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Uvedená zmena si vyžiada úpravy na strane správcu </w:t>
            </w:r>
            <w:r w:rsidR="00D654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ÚPVS </w:t>
            </w:r>
            <w:r w:rsidR="00D20021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7737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zároveň </w:t>
            </w:r>
            <w:r w:rsidR="003E14D8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prispeje k </w:t>
            </w:r>
            <w:r w:rsidR="00517F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obmedzeniu</w:t>
            </w:r>
            <w:r w:rsidR="003E14D8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prípadného špekulatívneho konania zo strany majiteľa elektronickej schránky, ktorý o deaktiváciu požiadal</w:t>
            </w:r>
            <w:r w:rsidR="698D8124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</w:t>
            </w:r>
            <w:r w:rsidR="698D8124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cieľom vyhnúť sa prevzatiu elektronického úradného dokumentu, kde by musel orgán verejnej moci opätovne vykonať elektronické doručovanie</w:t>
            </w:r>
            <w:r w:rsidR="003E14D8" w:rsidRPr="00CB2D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3E14D8" w:rsidRPr="42FD43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3D0FE5DE" w14:textId="589D6DCA" w:rsidR="00EA509A" w:rsidRDefault="00346746" w:rsidP="00945C9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Ad.2</w:t>
            </w:r>
            <w:r w:rsidR="00EA50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Autentifikácia</w:t>
            </w:r>
          </w:p>
          <w:p w14:paraId="59D88172" w14:textId="54E83385" w:rsidR="00D85980" w:rsidRDefault="00D85980" w:rsidP="00D859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102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oblasti autentifikácie sa navrhuje otvoriť právnu úpravu pre používanie iných než dnes v zákone o e-Governmente ustanovených autentifikátorov. Zachováva sa možnosť autentifikácie s použitím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úradných </w:t>
            </w:r>
            <w:r w:rsidRPr="00F102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dokladov, ako aj autentifikačných prostriedkov notifikovaných podľa nariadenia Európskeho parlamentu a Rady (EÚ) č. </w:t>
            </w:r>
            <w:r w:rsidRPr="00763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910/2014 z 23. júla 2014 o elektronickej identifikácii a dôveryhodných službách pre elektronické transakcie na vnútornom trhu a o zrušení smernice 1999/93/ES (ďalej len „nariadenie (EÚ) č. 910/2014“),</w:t>
            </w:r>
            <w:r w:rsidRPr="00F102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pre iné autentifikačné prostriedky sa navrhuje zaviesť postup posudzovania ich súladu so štandardmi a postupmi podľa zákona o e-Governmente, ich evidencia a následné používanie podľa rozhodnutia orgánu verejnej moci.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72BCABC" w14:textId="2886AD46" w:rsidR="00EA509A" w:rsidRDefault="00346746" w:rsidP="00F1021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Ad.3</w:t>
            </w:r>
            <w:r w:rsidR="00EA50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Autorizácia</w:t>
            </w:r>
          </w:p>
          <w:p w14:paraId="51516958" w14:textId="5CA92E21" w:rsidR="00BF2880" w:rsidRDefault="00D85980" w:rsidP="00D859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oblasti autorizáci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 dochádza k spresneniu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podpory funkcionality autorizácie klikom</w:t>
            </w:r>
            <w:r w:rsidR="00517F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elektronické podania podané prostredníctvom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pričom naďalej bude platiť dobrovoľnosť sprístupnenia tejto funkcionality </w:t>
            </w:r>
            <w:r w:rsidR="00517F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 elektronické podania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špecializovaných portáloch </w:t>
            </w:r>
            <w:r w:rsidR="00517F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elektronick</w:t>
            </w:r>
            <w:r w:rsidR="00517F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služ</w:t>
            </w:r>
            <w:r w:rsidR="00517F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verejnej správy</w:t>
            </w:r>
            <w:r w:rsidR="00517F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orgánu verejnej moci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</w:t>
            </w:r>
            <w:r w:rsidRPr="00A84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dôvodu 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povinnej </w:t>
            </w:r>
            <w:r w:rsidRPr="00A84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podpory autorizácie klikom 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ÚPVS </w:t>
            </w:r>
            <w:r w:rsidRPr="00A84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bude potrebné 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vykonať úpravy súvisiace s možnosťou výberu autorizácie klikom, </w:t>
            </w:r>
            <w:r w:rsidRPr="00A84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vytvoriť nové verzie služieb úplného overenia, zaevidovania podania a informatívneho overenia, ktorých výstup bude rozšírený o výsledok overenia autorizácie klikom (o údaje z autorizačnej doložky)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E417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5A5085E5" w14:textId="639680EB" w:rsidR="00D85980" w:rsidRDefault="00BF2880" w:rsidP="00D859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A2411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 23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 </w:t>
            </w:r>
            <w:r w:rsidR="00A2411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navrhuje úprava používania uznaných spôsobov autorizácie, pričom cieľom úpravy je</w:t>
            </w:r>
            <w:r w:rsidR="00A2411E" w:rsidRPr="00771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8FD" w:rsidRPr="00771B7B">
              <w:rPr>
                <w:rFonts w:ascii="Times New Roman" w:hAnsi="Times New Roman" w:cs="Times New Roman"/>
                <w:sz w:val="20"/>
                <w:szCs w:val="20"/>
              </w:rPr>
              <w:t xml:space="preserve">umožniť OVM si </w:t>
            </w:r>
            <w:r w:rsidR="00A2411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určiť, pre ktoré elektro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nické služby verejnej správy</w:t>
            </w:r>
            <w:r w:rsidR="00A2411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možno použiť uznaný spôsob autorizácie.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MIRRI SR zároveň pripravuje </w:t>
            </w:r>
            <w:r w:rsidR="00A2411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hlášku upravujúcu</w:t>
            </w:r>
            <w:r w:rsidR="00A2411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uznané spôsoby autorizácie v súlade so splnomocňovacím ustanovením v § 59 ods. 1 písm. m) zákona o e-Governmente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ktorou bude za uznaný spôsob autorizácie </w:t>
            </w:r>
            <w:r w:rsidR="00E97125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prehlásený zdokonalený elektronický podpis založený na kvalifikovanom certifikáte pre elektronický podpis, ktorý spĺňa požiadavky podľa nariadenia (EÚ) č. 910/2014.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Vplyvy spojené </w:t>
            </w:r>
            <w:r w:rsidR="00E97125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 zavádzaním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použitia uznaných spôsobov autorizácie </w:t>
            </w:r>
            <w:r w:rsidR="00E97125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ÚPVS alebo špecializovanom portáli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 preto vyčíslené až v rámci legislatívneho procesu návrhu vyhlášky o uznaných spôsoboch autorizácie.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6234B69" w14:textId="33AB5093" w:rsidR="00EA509A" w:rsidRDefault="00346746" w:rsidP="008B3D1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Ad.4</w:t>
            </w:r>
            <w:r w:rsidR="00EA50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D859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57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Integrované obslužné miesta</w:t>
            </w:r>
          </w:p>
          <w:p w14:paraId="33771E98" w14:textId="0FD26535" w:rsidR="008B381F" w:rsidRDefault="00D85980" w:rsidP="001317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Návrhom zákona dochádza k vypusteniu činnosti integrovaných obslužných miest (ďalej len „IOM“). Na základe dostupných údajov o vykonávanej činnosti osôb a</w:t>
            </w:r>
            <w:r w:rsidR="001317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zároveň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zmysle odporúčaní z auditu povinností uskutočneného v roku 2021 na základe spolupráce MIRRI SR so zástupcami odbornej komunity (</w:t>
            </w:r>
            <w:hyperlink r:id="rId11" w:history="1">
              <w:r w:rsidRPr="00020954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https://www.mirri.gov.sk/aktuality/informatizacia/mirri-spusti-v-spolupraci-s-odbornou-komunitou-prieskum-zamerany-na-dodrziavanie-zakona-o-e-governmente-vysledkom-bude-prehodnotenie-niektorych-opatreni-a-priprava-novely/index.html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sa javí ako potrebné prehodnotiť koncept asistovaného výkonu verejnej moci a vykonávanie činností IOM podľa aktuálnej právnej úpravy. </w:t>
            </w:r>
            <w:r w:rsidR="001317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ednoznačne prevažujúcou činnosťou IOM v súčasnosti je</w:t>
            </w:r>
            <w:r w:rsidR="001317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(1) vydávanie elektronického odpisu a výstupu z informačných systémov verejnej správy podľa § 26 zákona č. 95/2019 Z. z. o </w:t>
            </w:r>
            <w:r w:rsidRPr="006D63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informačných technológiách vo verejnej správe a o zmene a doplnení niektorých zákonov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„zákon o ITVS“) a </w:t>
            </w:r>
          </w:p>
          <w:p w14:paraId="69DC4A19" w14:textId="15815416" w:rsidR="0013178B" w:rsidRDefault="00D85980" w:rsidP="0076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(2) vykonávanie zaručenej konverzie podľa § 35 zákona o e-Governmente, ktoré sú osobitne upravené v inej časti zákona o e-Governmente alebo v zákone o</w:t>
            </w:r>
            <w:r w:rsidR="001317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ITVS</w:t>
            </w:r>
            <w:r w:rsidR="001317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25EF87A" w14:textId="1D837B74" w:rsidR="00D85980" w:rsidRDefault="0013178B" w:rsidP="0076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Vzhľadom na uvedené</w:t>
            </w:r>
            <w:r w:rsidR="00D859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navrhuje koncept IOM vypustiť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5CBDDCE" w14:textId="77777777" w:rsidR="008B381F" w:rsidRDefault="008B381F" w:rsidP="0076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777755E" w14:textId="5C29351C" w:rsidR="00EA509A" w:rsidRPr="00771B7B" w:rsidRDefault="00346746" w:rsidP="008663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Ad.5</w:t>
            </w:r>
            <w:r w:rsidR="00EA509A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ED5708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Zaručená konverzia</w:t>
            </w:r>
          </w:p>
          <w:p w14:paraId="1606D12D" w14:textId="77777777" w:rsidR="00502A93" w:rsidRDefault="00502A93" w:rsidP="00606B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oblasti zaručenej konverzie sa upúšťa od povinnosti vedenia lokálnej evidencie zaručených konverzií u osoby vykonávajúcej konverziu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dochádza k zmene postupnosti krokov pri vykonávaní zaručenej konverzie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zavádza sa 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povinné nahrávanie údajov do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centrálnej evidencie </w:t>
            </w:r>
            <w:r w:rsidR="0013178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záznamov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zaručen</w:t>
            </w:r>
            <w:r w:rsidR="0013178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konverzi</w:t>
            </w:r>
            <w:r w:rsidR="0013178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 pri vytváraní záznamu o zaručenej konverzii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v spojení s maximálnym zjednodušením náležitostí osvedčovacej doložky. Vzhľadom na 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to, že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niektoré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podrobnosti pri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vykonávaní zaručenej konverzie upravuje vyhláška Ministerstva investícií, regionálneho rozvoja a informatizácie Slovenskej republiky č. 70/2021 Z. z. o zaručenej konverzii (ďalej len „vyhláška o zaručenej konverzii“)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né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koncepčné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si budú vyžadovať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jej novelizáciu,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bude možné detailne 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posúdiť a vyznačiť všetky vplyvy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príslušných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analýz až pri predkladaní </w:t>
            </w:r>
            <w:r w:rsidR="00F55C9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samotnej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novely vyhlášky o zaručenej konverzii. Z uvedeného dôvodu </w:t>
            </w:r>
            <w:r w:rsidR="00866355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dopĺňa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prechodné obdobie do 1. 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októbra </w:t>
            </w:r>
            <w:r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2024 na implementáciu uvedených zmien. </w:t>
            </w:r>
            <w:r w:rsidR="00517FBA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dochádza k</w:t>
            </w:r>
            <w:r w:rsidR="00463C1B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doplneniu oprávnenia vykonávať zaručenú konverziu aj pre banky a pobočky zahraničnej banky</w:t>
            </w:r>
            <w:r w:rsidR="00606BDE" w:rsidRPr="00771B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A0BA55D" w14:textId="77777777" w:rsidR="00491F91" w:rsidRDefault="00491F91" w:rsidP="00606B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Ad.6) </w:t>
            </w:r>
            <w:r w:rsidRPr="00491F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Návrhy zmien v oblasti povinnosti vytvárania elektronického formulára pre elektronické úradné dokumenty</w:t>
            </w:r>
          </w:p>
          <w:p w14:paraId="2285AFF6" w14:textId="5BC40B71" w:rsidR="00491F91" w:rsidRPr="009B285C" w:rsidRDefault="00491F91" w:rsidP="00606B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Na základe zásadnej pripomienky k novele zákona a zámerov v pracovných skupinách Komisie pre štandardizáciu bude vytváranie elektronického formulára pre elektronický úradný dokument nepovinné a bude možné vytvárať elektronické úradné dokumenty aj ako iné elektronické dokumenty.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Navrhované zmeny si vyžiadajú implementáciu v rámci ÚPVS a </w:t>
            </w:r>
            <w:r w:rsidRPr="00491F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úpravu zverejneného vzoru autorizačnej doložky, aby v nich nebol ako elektronický úradný dokument označovaný výlučne vyplnený elektronický formulár.</w:t>
            </w:r>
          </w:p>
        </w:tc>
      </w:tr>
      <w:tr w:rsidR="001B23B7" w:rsidRPr="00B043B4" w14:paraId="01FDDA63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91AF4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960035" w:rsidRPr="00B043B4" w14:paraId="06EF884F" w14:textId="77777777" w:rsidTr="42FD4335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26814" w14:textId="13C3E571" w:rsidR="00960035" w:rsidRPr="00577B48" w:rsidRDefault="00FE5C7D" w:rsidP="00B5317C">
            <w:pPr>
              <w:pStyle w:val="Normlnywebov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960035">
              <w:rPr>
                <w:sz w:val="20"/>
                <w:szCs w:val="20"/>
              </w:rPr>
              <w:t xml:space="preserve">Cieľom predkladaného návrhu zákona je </w:t>
            </w:r>
            <w:r w:rsidR="00052DCC">
              <w:rPr>
                <w:sz w:val="20"/>
                <w:szCs w:val="20"/>
              </w:rPr>
              <w:t xml:space="preserve">v nadväznosti na skúsenosti z aplikačnej praxe a z kontrolnej činnosti MIRRI SR podľa </w:t>
            </w:r>
            <w:r w:rsidR="00052DCC" w:rsidRPr="003A6554">
              <w:rPr>
                <w:sz w:val="20"/>
                <w:szCs w:val="20"/>
              </w:rPr>
              <w:t>§ 56b zákona o e-Governmente</w:t>
            </w:r>
            <w:r w:rsidR="00052DCC" w:rsidRPr="00960035">
              <w:rPr>
                <w:sz w:val="20"/>
                <w:szCs w:val="20"/>
              </w:rPr>
              <w:t xml:space="preserve"> </w:t>
            </w:r>
            <w:r w:rsidRPr="00960035">
              <w:rPr>
                <w:sz w:val="20"/>
                <w:szCs w:val="20"/>
              </w:rPr>
              <w:t>zabezpeči</w:t>
            </w:r>
            <w:r w:rsidR="00052DCC">
              <w:rPr>
                <w:sz w:val="20"/>
                <w:szCs w:val="20"/>
              </w:rPr>
              <w:t>ť nevyhnutné legislatívne zmeny</w:t>
            </w:r>
            <w:r w:rsidRPr="003A6554">
              <w:rPr>
                <w:sz w:val="20"/>
                <w:szCs w:val="20"/>
              </w:rPr>
              <w:t>.</w:t>
            </w:r>
            <w:r w:rsidRPr="00960035">
              <w:rPr>
                <w:sz w:val="20"/>
                <w:szCs w:val="20"/>
              </w:rPr>
              <w:t xml:space="preserve"> Účelom úprav je</w:t>
            </w:r>
            <w:r w:rsidR="004C23C5">
              <w:rPr>
                <w:sz w:val="20"/>
                <w:szCs w:val="20"/>
              </w:rPr>
              <w:t xml:space="preserve"> zabezpečiť</w:t>
            </w:r>
            <w:r w:rsidRPr="00960035">
              <w:rPr>
                <w:sz w:val="20"/>
                <w:szCs w:val="20"/>
              </w:rPr>
              <w:t xml:space="preserve"> </w:t>
            </w:r>
            <w:r w:rsidR="004C23C5">
              <w:rPr>
                <w:sz w:val="20"/>
                <w:szCs w:val="20"/>
              </w:rPr>
              <w:t>skvalitnenie poskytovaných služieb prostredníctvom ÚPVS a zlepšiť c</w:t>
            </w:r>
            <w:r w:rsidR="00B5317C">
              <w:rPr>
                <w:sz w:val="20"/>
                <w:szCs w:val="20"/>
              </w:rPr>
              <w:t>elkové fungovanie e-Governmentu</w:t>
            </w:r>
            <w:r w:rsidRPr="00960035">
              <w:rPr>
                <w:sz w:val="20"/>
                <w:szCs w:val="20"/>
              </w:rPr>
              <w:t xml:space="preserve">. </w:t>
            </w:r>
          </w:p>
        </w:tc>
      </w:tr>
      <w:tr w:rsidR="001B23B7" w:rsidRPr="00B043B4" w14:paraId="5A77888F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4CFC4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960035" w:rsidRPr="00B043B4" w14:paraId="7587B33F" w14:textId="77777777" w:rsidTr="42FD433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EC272" w14:textId="66728505" w:rsidR="00960035" w:rsidRDefault="0076304B" w:rsidP="00CB2D5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0035" w:rsidRPr="00960035">
              <w:rPr>
                <w:rFonts w:ascii="Times New Roman" w:hAnsi="Times New Roman" w:cs="Times New Roman"/>
                <w:sz w:val="20"/>
                <w:szCs w:val="20"/>
              </w:rPr>
              <w:t>rgány verejnej moci, právnické oso</w:t>
            </w:r>
            <w:r w:rsidR="00052DCC">
              <w:rPr>
                <w:rFonts w:ascii="Times New Roman" w:hAnsi="Times New Roman" w:cs="Times New Roman"/>
                <w:sz w:val="20"/>
                <w:szCs w:val="20"/>
              </w:rPr>
              <w:t xml:space="preserve">by, </w:t>
            </w:r>
            <w:r w:rsidR="008B3D10">
              <w:rPr>
                <w:rFonts w:ascii="Times New Roman" w:hAnsi="Times New Roman" w:cs="Times New Roman"/>
                <w:sz w:val="20"/>
                <w:szCs w:val="20"/>
              </w:rPr>
              <w:t xml:space="preserve">fyzické osoby </w:t>
            </w:r>
            <w:r w:rsidR="00052DCC">
              <w:rPr>
                <w:rFonts w:ascii="Times New Roman" w:hAnsi="Times New Roman" w:cs="Times New Roman"/>
                <w:sz w:val="20"/>
                <w:szCs w:val="20"/>
              </w:rPr>
              <w:t>podnikatelia, fyzické osoby</w:t>
            </w:r>
          </w:p>
          <w:p w14:paraId="4F3669DA" w14:textId="77777777" w:rsidR="00960035" w:rsidRPr="00960035" w:rsidRDefault="00960035" w:rsidP="00960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35" w:rsidRPr="00B043B4" w14:paraId="4B6D9391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F47D08" w14:textId="77777777" w:rsidR="00960035" w:rsidRPr="00B043B4" w:rsidRDefault="00960035" w:rsidP="009600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960035" w:rsidRPr="00B043B4" w14:paraId="62A5DAEC" w14:textId="77777777" w:rsidTr="42FD4335">
        <w:trPr>
          <w:trHeight w:val="99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FEA9" w14:textId="77777777" w:rsidR="00960035" w:rsidRPr="00960035" w:rsidRDefault="00960035" w:rsidP="00FA327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Neboli pos</w:t>
            </w:r>
            <w:r w:rsidR="00085D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udzované alternatívne riešenia.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64B08331" w14:textId="4620CFF3" w:rsidR="00960035" w:rsidRPr="00960035" w:rsidRDefault="00960035" w:rsidP="00FA327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- n</w:t>
            </w:r>
            <w:r w:rsidRPr="009600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eprijatím zákona alebo minimalizáciou jeho dopadov nebude možné pokračovať v zjednodušovaní a zefektívňovaní elektronickej úradnej komunikácie a doručovania podľa zákona o e-Governmente, ako ani plneniu záväzkov MIRRI SR pri centrálnom riadení informatizácie spoločnosti (najmä</w:t>
            </w:r>
            <w:r w:rsidR="00052D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záväzky vyplývajúce z</w:t>
            </w:r>
            <w:r w:rsidRPr="009600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programové</w:t>
            </w:r>
            <w:r w:rsidR="00052D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 vyhlásenia</w:t>
            </w:r>
            <w:r w:rsidRPr="009600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SR 2021).</w:t>
            </w:r>
          </w:p>
        </w:tc>
      </w:tr>
      <w:tr w:rsidR="00960035" w:rsidRPr="00B043B4" w14:paraId="309916F6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CC6DB3" w14:textId="77777777" w:rsidR="00960035" w:rsidRPr="00B043B4" w:rsidRDefault="00960035" w:rsidP="009600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960035" w:rsidRPr="00B043B4" w14:paraId="3E06E5E5" w14:textId="77777777" w:rsidTr="42FD4335">
        <w:tc>
          <w:tcPr>
            <w:tcW w:w="6203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12B846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45E9F" w14:textId="49E8FDFA" w:rsidR="00960035" w:rsidRPr="00B043B4" w:rsidRDefault="006E74BE" w:rsidP="009600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1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96003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1EEA14" w14:textId="7A829A7D" w:rsidR="00960035" w:rsidRPr="00B043B4" w:rsidRDefault="006E74BE" w:rsidP="009600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1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96003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960035" w:rsidRPr="00B043B4" w14:paraId="299DB708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A1D1AE5" w14:textId="77777777" w:rsidR="00960035" w:rsidRPr="00B043B4" w:rsidRDefault="00960035" w:rsidP="009600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960035" w:rsidRPr="00B043B4" w14:paraId="29ED4838" w14:textId="77777777" w:rsidTr="42FD4335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8380B4" w14:textId="77777777" w:rsidR="00960035" w:rsidRPr="00085D1C" w:rsidRDefault="00085D1C" w:rsidP="00CB2D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5D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právna úprava nejde nad rámec minimálnych požiadaviek EÚ.</w:t>
            </w:r>
          </w:p>
        </w:tc>
      </w:tr>
      <w:tr w:rsidR="00960035" w:rsidRPr="00B043B4" w14:paraId="6533A745" w14:textId="77777777" w:rsidTr="42FD4335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8431F" w14:textId="77777777" w:rsidR="00960035" w:rsidRPr="00B043B4" w:rsidRDefault="00960035" w:rsidP="00960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0035" w:rsidRPr="00B043B4" w14:paraId="161653A0" w14:textId="77777777" w:rsidTr="42FD433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9A4E5F3" w14:textId="77777777" w:rsidR="00960035" w:rsidRPr="00B043B4" w:rsidRDefault="00960035" w:rsidP="009600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960035" w:rsidRPr="00B043B4" w14:paraId="2C5CC24E" w14:textId="77777777" w:rsidTr="42FD4335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2EB60" w14:textId="50E2C3C2" w:rsidR="00960035" w:rsidRPr="00085D1C" w:rsidRDefault="003960A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preskúmaniu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účelnosti predkladaného materiálu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 malo dôjsť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01D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nasledujúcej novelizácii zákona</w:t>
            </w:r>
            <w:r w:rsidR="00C2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01D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e-Governmente, najneskôr však 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roky od účinnosti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predkladaného návrhu. Vzhľadom na navrhovanú </w:t>
            </w:r>
            <w:r w:rsidR="001644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účinnosť 1. </w:t>
            </w:r>
            <w:r w:rsidR="00BF7E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októbra</w:t>
            </w:r>
            <w:r w:rsidR="001644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 k preskúmaniu účelnosti malo dôjsť </w:t>
            </w:r>
            <w:r w:rsidR="00101D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najneskôr </w:t>
            </w:r>
            <w:r w:rsidR="003A33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roku 2025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základe získaných poznatkov z aplikačnej praxe. </w:t>
            </w:r>
            <w:r w:rsidR="009244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Kritériom preskúmania účelnosti budú výsledky kontrol dodržiavania povinností ustanovených zákonom o e-Governmente a doručené podnety k aplikácii zákona v praxi.</w:t>
            </w:r>
          </w:p>
        </w:tc>
      </w:tr>
      <w:tr w:rsidR="00960035" w:rsidRPr="00B043B4" w14:paraId="2B9F62B3" w14:textId="77777777" w:rsidTr="42FD4335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B6AFFE" w14:textId="77777777" w:rsidR="00960035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E5B9CE9" w14:textId="67F0C0C6" w:rsidR="00960035" w:rsidRPr="00FA3274" w:rsidRDefault="00960035" w:rsidP="00D9068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960035" w:rsidRPr="00B043B4" w14:paraId="61F74E59" w14:textId="77777777" w:rsidTr="42FD4335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1C9A2E84" w14:textId="77777777" w:rsidR="00960035" w:rsidRPr="00B043B4" w:rsidRDefault="00960035" w:rsidP="009600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960035" w:rsidRPr="00B043B4" w14:paraId="59862891" w14:textId="77777777" w:rsidTr="42FD433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85A8B6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DA63C0A" w14:textId="77777777" w:rsidR="00960035" w:rsidRPr="00B043B4" w:rsidRDefault="0096003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D5A1104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34BA7EF" w14:textId="6900CD3B" w:rsidR="00960035" w:rsidRPr="00B043B4" w:rsidRDefault="005C2216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87661BA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08FF79D" w14:textId="0C100455" w:rsidR="00960035" w:rsidRPr="00B043B4" w:rsidRDefault="005C2216" w:rsidP="0096003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1AE9C0" w14:textId="77777777" w:rsidR="00960035" w:rsidRPr="00B043B4" w:rsidRDefault="00960035" w:rsidP="0096003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60035" w:rsidRPr="00B043B4" w14:paraId="2191618D" w14:textId="77777777" w:rsidTr="42FD433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0ACF2266" w14:textId="77777777" w:rsidR="00960035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7676B6F" w14:textId="77777777" w:rsidR="00960035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5916CFF" w14:textId="77777777" w:rsidR="00960035" w:rsidRPr="00A340BB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0F4D27" w14:textId="78799785" w:rsidR="00960035" w:rsidRPr="00B043B4" w:rsidRDefault="008F3D29" w:rsidP="009600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F94D4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CD63AF" w14:textId="7856115F" w:rsidR="00960035" w:rsidRPr="00B043B4" w:rsidRDefault="008F3D29" w:rsidP="009600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5DBCF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7E66A0" w14:textId="6ED69DCC" w:rsidR="00960035" w:rsidRPr="00B043B4" w:rsidRDefault="005C2216" w:rsidP="0096003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B41B" w14:textId="77777777" w:rsidR="00960035" w:rsidRPr="00B043B4" w:rsidRDefault="00960035" w:rsidP="0096003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960035" w:rsidRPr="00B043B4" w14:paraId="4725D940" w14:textId="77777777" w:rsidTr="42FD4335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582DDF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EE4A113" w14:textId="4BEC3B34" w:rsidR="00960035" w:rsidRPr="00B043B4" w:rsidRDefault="00BF7E1F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04204E" w14:textId="77777777" w:rsidR="00960035" w:rsidRPr="00B043B4" w:rsidRDefault="00960035" w:rsidP="009600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D583856" w14:textId="63FFCCFE" w:rsidR="00960035" w:rsidRPr="00B043B4" w:rsidRDefault="00BF7E1F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761994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C0108A" w14:textId="652FE8D4" w:rsidR="00960035" w:rsidRPr="00B043B4" w:rsidRDefault="008211EC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476CCD" w14:textId="77777777" w:rsidR="00960035" w:rsidRPr="00B043B4" w:rsidRDefault="00960035" w:rsidP="009600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60035" w:rsidRPr="00B043B4" w14:paraId="524B8C54" w14:textId="77777777" w:rsidTr="42FD4335">
        <w:tc>
          <w:tcPr>
            <w:tcW w:w="38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2E2"/>
          </w:tcPr>
          <w:p w14:paraId="120C51DB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DACFDB8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08E80C4" w14:textId="00D43698" w:rsidR="00960035" w:rsidRPr="00B043B4" w:rsidRDefault="00227C33" w:rsidP="009600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EEC209" w14:textId="77777777" w:rsidR="00960035" w:rsidRPr="00B043B4" w:rsidRDefault="00960035" w:rsidP="0096003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3969D39" w14:textId="34D683F2" w:rsidR="00960035" w:rsidRPr="00B043B4" w:rsidRDefault="00227C33" w:rsidP="009600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1A7843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684730A" w14:textId="2C81D908" w:rsidR="00960035" w:rsidRPr="00B043B4" w:rsidRDefault="008211EC" w:rsidP="009600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3E1228" w14:textId="77777777" w:rsidR="00960035" w:rsidRPr="00B043B4" w:rsidRDefault="00960035" w:rsidP="00960035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960035" w:rsidRPr="00B043B4" w14:paraId="50D6F517" w14:textId="77777777" w:rsidTr="42FD433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535FD6" w14:textId="77777777" w:rsidR="00960035" w:rsidRDefault="00960035" w:rsidP="0096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4906F1C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4033AE6" w14:textId="06240365" w:rsidR="00960035" w:rsidRPr="00B043B4" w:rsidRDefault="0079609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7461A" w14:textId="77777777" w:rsidR="00960035" w:rsidRPr="00B043B4" w:rsidRDefault="00960035" w:rsidP="009600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8FDEE" w14:textId="77777777" w:rsidR="00960035" w:rsidRPr="00B043B4" w:rsidRDefault="00960035" w:rsidP="009600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26CED" w14:textId="77777777" w:rsidR="00960035" w:rsidRPr="00B043B4" w:rsidRDefault="00960035" w:rsidP="009600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59954A" w14:textId="77777777" w:rsidR="00960035" w:rsidRPr="00B043B4" w:rsidRDefault="0096003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25E1" w14:textId="77777777" w:rsidR="00960035" w:rsidRPr="00B043B4" w:rsidRDefault="00960035" w:rsidP="009600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960035" w:rsidRPr="00B043B4" w14:paraId="3C1F83D3" w14:textId="77777777" w:rsidTr="42FD4335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18550B7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7662C2" w14:textId="77777777" w:rsidR="00960035" w:rsidRPr="00B043B4" w:rsidRDefault="0096003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83FF" w14:textId="77777777" w:rsidR="00960035" w:rsidRPr="00B043B4" w:rsidRDefault="00960035" w:rsidP="009600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4F871B" w14:textId="77777777" w:rsidR="00960035" w:rsidRPr="00B043B4" w:rsidRDefault="00085D1C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EFCDD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376D0B" w14:textId="77777777" w:rsidR="00960035" w:rsidRPr="00B043B4" w:rsidRDefault="0096003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F3922" w14:textId="77777777" w:rsidR="00960035" w:rsidRPr="00B043B4" w:rsidRDefault="00960035" w:rsidP="009600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60035" w:rsidRPr="00B043B4" w14:paraId="16C591AB" w14:textId="77777777" w:rsidTr="42FD433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111184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D9C2F4" w14:textId="77777777" w:rsidR="00960035" w:rsidRPr="00B043B4" w:rsidRDefault="0096003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8E7DA" w14:textId="77777777" w:rsidR="00960035" w:rsidRPr="00B043B4" w:rsidRDefault="00960035" w:rsidP="009600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836E89" w14:textId="77777777" w:rsidR="00960035" w:rsidRPr="00B043B4" w:rsidRDefault="00085D1C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5D87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F4E321" w14:textId="77777777" w:rsidR="00960035" w:rsidRPr="00B043B4" w:rsidRDefault="0096003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A2FB9" w14:textId="77777777" w:rsidR="00960035" w:rsidRPr="00B043B4" w:rsidRDefault="00960035" w:rsidP="009600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60035" w:rsidRPr="00B043B4" w14:paraId="4FEA28F6" w14:textId="77777777" w:rsidTr="42FD433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720F35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6BE460A" w14:textId="77777777" w:rsidR="00960035" w:rsidRPr="00B043B4" w:rsidRDefault="00AC3F54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1A2AF" w14:textId="77777777" w:rsidR="00960035" w:rsidRPr="00B043B4" w:rsidRDefault="00960035" w:rsidP="009600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1ADE21" w14:textId="77777777" w:rsidR="00960035" w:rsidRPr="00B043B4" w:rsidRDefault="00960035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6791" w14:textId="77777777" w:rsidR="00960035" w:rsidRPr="00B043B4" w:rsidRDefault="00960035" w:rsidP="009600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39D569" w14:textId="4B72B165" w:rsidR="00960035" w:rsidRPr="00B043B4" w:rsidRDefault="008B3D10" w:rsidP="009600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CC54E" w14:textId="77777777" w:rsidR="00960035" w:rsidRPr="00B043B4" w:rsidRDefault="00960035" w:rsidP="009600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1F9DFE87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324739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E3381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EB90CA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E655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24073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F5C10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B94F2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6D42492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3A4921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614206C" w14:textId="0FDD65F4" w:rsidR="000F2BE9" w:rsidRPr="00B043B4" w:rsidRDefault="0076304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2CBA3B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7F151F6" w14:textId="1E2CDFEE" w:rsidR="000F2BE9" w:rsidRPr="00B043B4" w:rsidRDefault="009B285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E20CC2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E101F68" w14:textId="1B7A2C0F" w:rsidR="000F2BE9" w:rsidRPr="00B043B4" w:rsidRDefault="0076304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91A3B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59F49942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FDDE79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04C9882" w14:textId="6B3D2504" w:rsidR="000F2BE9" w:rsidRPr="00B043B4" w:rsidRDefault="00F3450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8370D2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E8BE79A" w14:textId="5DDA19C5" w:rsidR="000F2BE9" w:rsidRPr="00B043B4" w:rsidRDefault="00F3450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40F9D0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BC57C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8ED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7BF0B330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7A859F0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8F015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22B95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BEE4F3" w14:textId="77777777" w:rsidR="00A340BB" w:rsidRPr="00B043B4" w:rsidRDefault="00AC3F54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1EE74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05D07A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A75E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C1723F5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B55CFB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ECB610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07946818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1E5BCF6" w14:textId="77777777" w:rsidR="003A33A4" w:rsidRDefault="00AC3F54" w:rsidP="003A33A4">
            <w:pPr>
              <w:spacing w:before="120" w:after="120"/>
              <w:jc w:val="both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 w:rsidRPr="00165F39"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 xml:space="preserve">K vplyvom na rozpočet verejnej správy: </w:t>
            </w:r>
          </w:p>
          <w:p w14:paraId="6415286A" w14:textId="7AF6DA64" w:rsidR="00462DC2" w:rsidRPr="003A33A4" w:rsidRDefault="003A33A4" w:rsidP="003A33A4">
            <w:pPr>
              <w:spacing w:before="120" w:after="120"/>
              <w:jc w:val="both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 w:rsidRPr="003A33A4">
              <w:rPr>
                <w:rFonts w:ascii="Times" w:hAnsi="Times" w:cs="Times"/>
                <w:bCs/>
                <w:sz w:val="20"/>
                <w:szCs w:val="20"/>
              </w:rPr>
              <w:t>Materiálom</w:t>
            </w:r>
            <w:r w:rsidR="00AC3F54" w:rsidRPr="008B349E">
              <w:rPr>
                <w:rFonts w:ascii="Times" w:hAnsi="Times" w:cs="Times"/>
                <w:sz w:val="20"/>
                <w:szCs w:val="20"/>
              </w:rPr>
              <w:t xml:space="preserve"> sa navrhujú zmeny</w:t>
            </w:r>
            <w:r w:rsidR="003777F9">
              <w:rPr>
                <w:rFonts w:ascii="Times" w:hAnsi="Times" w:cs="Times"/>
                <w:sz w:val="20"/>
                <w:szCs w:val="20"/>
              </w:rPr>
              <w:t xml:space="preserve"> popísané v bode 2</w:t>
            </w:r>
            <w:r w:rsidR="00AC3F54" w:rsidRPr="008B349E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AC3F54">
              <w:rPr>
                <w:rFonts w:ascii="Times" w:hAnsi="Times" w:cs="Times"/>
                <w:sz w:val="20"/>
                <w:szCs w:val="20"/>
              </w:rPr>
              <w:t xml:space="preserve">ktoré súvisia najmä s úpravou </w:t>
            </w:r>
            <w:r w:rsidR="00B525A3">
              <w:rPr>
                <w:rFonts w:ascii="Times" w:hAnsi="Times" w:cs="Times"/>
                <w:sz w:val="20"/>
                <w:szCs w:val="20"/>
              </w:rPr>
              <w:t>ÚPVS</w:t>
            </w:r>
            <w:r>
              <w:rPr>
                <w:rFonts w:ascii="Times" w:hAnsi="Times" w:cs="Times"/>
                <w:sz w:val="20"/>
                <w:szCs w:val="20"/>
              </w:rPr>
              <w:t xml:space="preserve"> a jeho </w:t>
            </w:r>
            <w:r w:rsidR="00B525A3">
              <w:rPr>
                <w:rFonts w:ascii="Times" w:hAnsi="Times" w:cs="Times"/>
                <w:sz w:val="20"/>
                <w:szCs w:val="20"/>
              </w:rPr>
              <w:t xml:space="preserve">spoločných </w:t>
            </w:r>
            <w:r>
              <w:rPr>
                <w:rFonts w:ascii="Times" w:hAnsi="Times" w:cs="Times"/>
                <w:sz w:val="20"/>
                <w:szCs w:val="20"/>
              </w:rPr>
              <w:t>modulov</w:t>
            </w:r>
            <w:r w:rsidR="00AC3F54">
              <w:rPr>
                <w:rFonts w:ascii="Times" w:hAnsi="Times" w:cs="Times"/>
                <w:sz w:val="20"/>
                <w:szCs w:val="20"/>
              </w:rPr>
              <w:t>. I</w:t>
            </w:r>
            <w:r w:rsidR="00AC3F54" w:rsidRPr="008B349E">
              <w:rPr>
                <w:rFonts w:ascii="Times" w:hAnsi="Times" w:cs="Times"/>
                <w:sz w:val="20"/>
                <w:szCs w:val="20"/>
              </w:rPr>
              <w:t xml:space="preserve">mplementácia </w:t>
            </w:r>
            <w:r w:rsidR="00AC3F54">
              <w:rPr>
                <w:rFonts w:ascii="Times" w:hAnsi="Times" w:cs="Times"/>
                <w:sz w:val="20"/>
                <w:szCs w:val="20"/>
              </w:rPr>
              <w:t xml:space="preserve">navrhovaných opatrení </w:t>
            </w:r>
            <w:r w:rsidR="00165F39">
              <w:rPr>
                <w:rFonts w:ascii="Times" w:hAnsi="Times" w:cs="Times"/>
                <w:sz w:val="20"/>
                <w:szCs w:val="20"/>
              </w:rPr>
              <w:t xml:space="preserve">v informačných systémoch </w:t>
            </w:r>
            <w:r w:rsidR="00AC3F54" w:rsidRPr="008B349E">
              <w:rPr>
                <w:rFonts w:ascii="Times" w:hAnsi="Times" w:cs="Times"/>
                <w:sz w:val="20"/>
                <w:szCs w:val="20"/>
              </w:rPr>
              <w:t xml:space="preserve">bude financovaná z rozpočtovej kapitoly </w:t>
            </w:r>
            <w:r w:rsidR="00254C2B">
              <w:rPr>
                <w:rFonts w:ascii="Times" w:hAnsi="Times" w:cs="Times"/>
                <w:sz w:val="20"/>
                <w:szCs w:val="20"/>
              </w:rPr>
              <w:t xml:space="preserve">MIRRI SR </w:t>
            </w:r>
            <w:r w:rsidR="00462DC2" w:rsidRPr="00462DC2">
              <w:rPr>
                <w:rFonts w:ascii="Times" w:hAnsi="Times" w:cs="Times"/>
                <w:sz w:val="20"/>
                <w:szCs w:val="20"/>
              </w:rPr>
              <w:t>v rámci schváleného limitu výdavkov pre príslušné rozpočtové roky</w:t>
            </w:r>
            <w:r w:rsidR="00AC3F54" w:rsidRPr="006321C1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165F39" w:rsidRPr="00632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 predovšetkým o navrhované zmeny v oblasti týkajúcej sa revízie elektronických schránok a elektronického</w:t>
            </w:r>
            <w:r w:rsidR="00165F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doručovania, </w:t>
            </w:r>
            <w:r w:rsidR="009F0D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úpravy súvisiace</w:t>
            </w:r>
            <w:r w:rsidR="003777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funkcionalitou</w:t>
            </w:r>
            <w:r w:rsidR="004E7F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777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autorizácie klikom podľa § 23 ods. 1 písm. a) bodu 2 zákona o e-Governmente</w:t>
            </w:r>
            <w:r w:rsidR="00491F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ako aj úpravy vo vzťahu k dobrovoľnosti </w:t>
            </w:r>
            <w:r w:rsidR="00491F91" w:rsidRPr="00491F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vytvárania elektronického formulára pre elektronické úradné dokumenty</w:t>
            </w:r>
            <w:r w:rsidR="00D859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Vplyv na rozpočet verejnej správy sa očakáva v súvislosti s novou povinnosťou MIRRI SR zabezpečiť posudzovanie</w:t>
            </w:r>
            <w:r w:rsidR="009F0D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splnenie podmienok pre zápis autentifikačných prostriedkov do evidencie vedenej MIRRI SR</w:t>
            </w:r>
            <w:r w:rsidR="00462D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462DC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53A30" w:rsidRPr="00771B7B">
              <w:rPr>
                <w:rFonts w:ascii="Times" w:hAnsi="Times" w:cs="Times"/>
                <w:sz w:val="20"/>
                <w:szCs w:val="20"/>
              </w:rPr>
              <w:t xml:space="preserve">Vplyvy súvisiace s úpravou uznaných spôsobov autorizácie budú detailne posúdené a vyčíslené v rámci legislatívneho procesu pripravovanej vyhlášky o uznaných spôsoboch autorizácie (predpoklad PPK v treťom kvartáli roka 2022, predpokladaná účinnosť najneskôr 1. január 2023). </w:t>
            </w:r>
            <w:r w:rsidR="004D3E81" w:rsidRPr="00771B7B">
              <w:rPr>
                <w:rFonts w:ascii="Times" w:hAnsi="Times" w:cs="Times"/>
                <w:sz w:val="20"/>
                <w:szCs w:val="20"/>
              </w:rPr>
              <w:t>Vplyvy súvisiace s úp</w:t>
            </w:r>
            <w:r w:rsidR="004D3E81">
              <w:rPr>
                <w:rFonts w:ascii="Times" w:hAnsi="Times" w:cs="Times"/>
                <w:sz w:val="20"/>
                <w:szCs w:val="20"/>
              </w:rPr>
              <w:t xml:space="preserve">ravami v oblasti zaručenej konverzie bude možné bližšie identifikovať až pri predkladaní novely </w:t>
            </w:r>
            <w:r w:rsidR="004D3E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vyhlášky </w:t>
            </w:r>
            <w:r w:rsidR="00C27945">
              <w:rPr>
                <w:rFonts w:ascii="Times" w:hAnsi="Times" w:cs="Times"/>
                <w:sz w:val="20"/>
                <w:szCs w:val="20"/>
              </w:rPr>
              <w:t>Ministerstva investícií regionálneho rozvoja a informatizácie Slovenskej republiky</w:t>
            </w:r>
            <w:r w:rsidR="004D3E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70/2021 Z. z. o zaručenej konverzii. </w:t>
            </w:r>
          </w:p>
          <w:p w14:paraId="70ACAF0D" w14:textId="3D684468" w:rsidR="00462DC2" w:rsidRPr="00462DC2" w:rsidRDefault="00462DC2" w:rsidP="00165F3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Predkladateľ neidentifikoval dopad legislatívnych zmien na iné orgány verejnej moci</w:t>
            </w:r>
            <w:r w:rsidRPr="00FA32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4D95DCF" w14:textId="35EB9C31" w:rsidR="00AC3F54" w:rsidRDefault="00AC3F54" w:rsidP="00B662D1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Bližšia špecif</w:t>
            </w:r>
            <w:r w:rsidR="00F3450A">
              <w:rPr>
                <w:rFonts w:ascii="Times" w:hAnsi="Times" w:cs="Times"/>
                <w:sz w:val="20"/>
                <w:szCs w:val="20"/>
              </w:rPr>
              <w:t>ikácia zmien a povinností a </w:t>
            </w:r>
            <w:r>
              <w:rPr>
                <w:rFonts w:ascii="Times" w:hAnsi="Times" w:cs="Times"/>
                <w:sz w:val="20"/>
                <w:szCs w:val="20"/>
              </w:rPr>
              <w:t>vyčís</w:t>
            </w:r>
            <w:r w:rsidR="00123793">
              <w:rPr>
                <w:rFonts w:ascii="Times" w:hAnsi="Times" w:cs="Times"/>
                <w:sz w:val="20"/>
                <w:szCs w:val="20"/>
              </w:rPr>
              <w:t xml:space="preserve">lenie </w:t>
            </w:r>
            <w:r w:rsidR="00F3450A">
              <w:rPr>
                <w:rFonts w:ascii="Times" w:hAnsi="Times" w:cs="Times"/>
                <w:sz w:val="20"/>
                <w:szCs w:val="20"/>
              </w:rPr>
              <w:t xml:space="preserve">nákladov </w:t>
            </w:r>
            <w:r w:rsidR="00123793">
              <w:rPr>
                <w:rFonts w:ascii="Times" w:hAnsi="Times" w:cs="Times"/>
                <w:sz w:val="20"/>
                <w:szCs w:val="20"/>
              </w:rPr>
              <w:t xml:space="preserve">sú rozpracované </w:t>
            </w:r>
            <w:r w:rsidR="00123793" w:rsidRPr="00C72ED4">
              <w:rPr>
                <w:rFonts w:ascii="Times" w:hAnsi="Times" w:cs="Times"/>
                <w:b/>
                <w:sz w:val="20"/>
                <w:szCs w:val="20"/>
              </w:rPr>
              <w:t>v</w:t>
            </w:r>
            <w:r w:rsidR="00462DC2" w:rsidRPr="00C72ED4">
              <w:rPr>
                <w:rFonts w:ascii="Times" w:hAnsi="Times" w:cs="Times"/>
                <w:b/>
                <w:sz w:val="20"/>
                <w:szCs w:val="20"/>
              </w:rPr>
              <w:t> prílohe č. 1 - Analýza</w:t>
            </w:r>
            <w:r w:rsidR="00123793" w:rsidRPr="00C72ED4">
              <w:rPr>
                <w:rFonts w:ascii="Times" w:hAnsi="Times" w:cs="Times"/>
                <w:b/>
                <w:sz w:val="20"/>
                <w:szCs w:val="20"/>
              </w:rPr>
              <w:t xml:space="preserve"> vplyvov </w:t>
            </w:r>
            <w:r w:rsidRPr="00C72ED4">
              <w:rPr>
                <w:rFonts w:ascii="Times" w:hAnsi="Times" w:cs="Times"/>
                <w:b/>
                <w:sz w:val="20"/>
                <w:szCs w:val="20"/>
              </w:rPr>
              <w:t>na rozpočet verejnej správy</w:t>
            </w:r>
            <w:r w:rsidRPr="00462DC2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ako aj v dôvodovej správe </w:t>
            </w:r>
            <w:r w:rsidR="00123793">
              <w:rPr>
                <w:rFonts w:ascii="Times" w:hAnsi="Times" w:cs="Times"/>
                <w:sz w:val="20"/>
                <w:szCs w:val="20"/>
              </w:rPr>
              <w:t xml:space="preserve">k </w:t>
            </w:r>
            <w:r>
              <w:rPr>
                <w:rFonts w:ascii="Times" w:hAnsi="Times" w:cs="Times"/>
                <w:sz w:val="20"/>
                <w:szCs w:val="20"/>
              </w:rPr>
              <w:t>návrhu materiálu.</w:t>
            </w:r>
          </w:p>
          <w:p w14:paraId="2AD3C4EA" w14:textId="57499F5B" w:rsidR="00385CED" w:rsidRPr="008B4C20" w:rsidRDefault="00385CED" w:rsidP="00B662D1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8B4C20">
              <w:rPr>
                <w:rFonts w:ascii="Times" w:hAnsi="Times" w:cs="Times"/>
                <w:b/>
                <w:sz w:val="20"/>
                <w:szCs w:val="20"/>
                <w:u w:val="single"/>
              </w:rPr>
              <w:t>K vplyvom na podnikateľské prostredie</w:t>
            </w:r>
            <w:r w:rsidRPr="008B4C20">
              <w:rPr>
                <w:rFonts w:ascii="Times" w:hAnsi="Times" w:cs="Times"/>
                <w:sz w:val="20"/>
                <w:szCs w:val="20"/>
                <w:u w:val="single"/>
              </w:rPr>
              <w:t>:</w:t>
            </w:r>
          </w:p>
          <w:p w14:paraId="437A4200" w14:textId="669602BB" w:rsidR="001644F6" w:rsidRPr="008B4C20" w:rsidRDefault="00385CED" w:rsidP="008B4C20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E6673">
              <w:rPr>
                <w:rFonts w:ascii="Times" w:hAnsi="Times" w:cs="Times"/>
                <w:sz w:val="20"/>
                <w:szCs w:val="20"/>
              </w:rPr>
              <w:t>Rozšírenie okruhu osôb oprávnených vykonávať zaručenú konverziu bude mať pozitívny vply</w:t>
            </w:r>
            <w:r w:rsidR="00BF7E1F" w:rsidRPr="004E6673">
              <w:rPr>
                <w:rFonts w:ascii="Times" w:hAnsi="Times" w:cs="Times"/>
                <w:sz w:val="20"/>
                <w:szCs w:val="20"/>
              </w:rPr>
              <w:t>v na podnikateľské prostredie</w:t>
            </w:r>
            <w:r w:rsidRPr="004E6673">
              <w:rPr>
                <w:rFonts w:ascii="Times" w:hAnsi="Times" w:cs="Times"/>
                <w:sz w:val="20"/>
                <w:szCs w:val="20"/>
              </w:rPr>
              <w:t xml:space="preserve">. Vzhľadom na to, že ide o oprávnenie, nie je dnes možné určiť počet pobočiek, ktoré reálne </w:t>
            </w:r>
            <w:r w:rsidR="00BF7E1F" w:rsidRPr="004E6673">
              <w:rPr>
                <w:rFonts w:ascii="Times" w:hAnsi="Times" w:cs="Times"/>
                <w:sz w:val="20"/>
                <w:szCs w:val="20"/>
              </w:rPr>
              <w:t>budú využívať oprávnenie vykonávať zaručenú konverziu v praxi</w:t>
            </w:r>
            <w:r w:rsidRPr="004E6673">
              <w:rPr>
                <w:rFonts w:ascii="Times" w:hAnsi="Times" w:cs="Times"/>
                <w:sz w:val="20"/>
                <w:szCs w:val="20"/>
              </w:rPr>
              <w:t>, a z toho dôvodu nie je možné presnejšie kvantifikovať dopady na podnikateľské prostredie.</w:t>
            </w:r>
            <w:r w:rsidR="00153A30" w:rsidRPr="004E6673">
              <w:rPr>
                <w:rFonts w:ascii="Times" w:hAnsi="Times" w:cs="Times"/>
                <w:sz w:val="20"/>
                <w:szCs w:val="20"/>
              </w:rPr>
              <w:t xml:space="preserve"> Vplyvy sú vyznačené v rámci prílohy</w:t>
            </w:r>
            <w:r w:rsidRPr="004E6673">
              <w:rPr>
                <w:rFonts w:ascii="Times" w:hAnsi="Times" w:cs="Times"/>
                <w:sz w:val="20"/>
                <w:szCs w:val="20"/>
              </w:rPr>
              <w:t xml:space="preserve"> č. 2 - Analýza vplyvov na podnikateľské prostredie a v priloženej kalkulačke.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4E863A62" w14:textId="019EC863" w:rsidR="00B662D1" w:rsidRPr="00AB20C6" w:rsidRDefault="00B662D1" w:rsidP="00B662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B2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K vplyvom na informatizáciu:</w:t>
            </w:r>
          </w:p>
          <w:p w14:paraId="46B713F1" w14:textId="3398A4F4" w:rsidR="00B662D1" w:rsidRDefault="00B662D1" w:rsidP="00B662D1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Navrhované zmeny si vyžadujú úpravu ÚPVS, resp. spoločných modulov</w:t>
            </w:r>
            <w:r w:rsidR="00620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súvislosti s novými povinnosťami správcu ÚPVS, ktorým je MIRRI SR, a to najmä v oblasti autorizácie (viď bližšie okruh 3 analýzy vplyvov na rozpočet verejnej správy)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620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 nadväznosti na vypustenie konceptu integrovaných obslužných miest zo zákona o e-Governmente dochádza k zrušeniu </w:t>
            </w:r>
            <w:r w:rsidR="003812F5">
              <w:rPr>
                <w:rFonts w:ascii="Times New Roman" w:eastAsia="Calibri" w:hAnsi="Times New Roman" w:cs="Times New Roman"/>
                <w:sz w:val="20"/>
                <w:szCs w:val="20"/>
              </w:rPr>
              <w:t>informačného systému</w:t>
            </w:r>
            <w:r w:rsidR="003812F5" w:rsidDel="0038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0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Integrované obslužné miesto, ktorého správcom je MIRRI SR, a to bez náhrady. Zároveň dochádza k zrušeniu existujúcich služieb poskytovaných v rámci tohto  informačného systému. Táto zmena bude mať negatívny vplyv na informatizáciu. </w:t>
            </w:r>
            <w:r>
              <w:rPr>
                <w:rFonts w:ascii="Times" w:hAnsi="Times" w:cs="Times"/>
                <w:sz w:val="20"/>
                <w:szCs w:val="20"/>
              </w:rPr>
              <w:t>Bližšia špecifikácia vplyvov je rozpracovaná v 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prílohe č. </w:t>
            </w:r>
            <w:r w:rsidR="00C02910">
              <w:rPr>
                <w:rFonts w:ascii="Times" w:hAnsi="Times" w:cs="Times"/>
                <w:b/>
                <w:bCs/>
                <w:sz w:val="20"/>
                <w:szCs w:val="20"/>
              </w:rPr>
              <w:t>3</w:t>
            </w:r>
            <w:r w:rsidRPr="00AB20C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- Analýza vplyvov na informatizáciu spoločnosti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  <w:p w14:paraId="43C26EFA" w14:textId="1DBBBFBA" w:rsidR="007147C7" w:rsidRPr="00165F39" w:rsidRDefault="007147C7" w:rsidP="00B662D1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321C1"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K vplyvom na služby verejnej správy pre občana</w:t>
            </w:r>
            <w:r w:rsidRPr="006321C1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Pr="00165F3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  <w:p w14:paraId="00EC62BC" w14:textId="01FCF0FF" w:rsidR="00385CED" w:rsidRPr="00B662D1" w:rsidRDefault="009F0D68" w:rsidP="004D3E81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Negatívny dopad bol identifikovaný v súvislosti </w:t>
            </w:r>
            <w:r w:rsidR="00B662D1">
              <w:rPr>
                <w:rFonts w:ascii="Times" w:hAnsi="Times" w:cs="Times"/>
                <w:sz w:val="20"/>
                <w:szCs w:val="20"/>
              </w:rPr>
              <w:t>s vypustením</w:t>
            </w:r>
            <w:r>
              <w:rPr>
                <w:rFonts w:ascii="Times" w:hAnsi="Times" w:cs="Times"/>
                <w:sz w:val="20"/>
                <w:szCs w:val="20"/>
              </w:rPr>
              <w:t xml:space="preserve"> konceptu IOM, vzhľadom na to, že asistovaný výkon verejnej moci nebude garantovaný na úrovni zákona. </w:t>
            </w:r>
            <w:r w:rsidR="00123793">
              <w:rPr>
                <w:rFonts w:ascii="Times" w:hAnsi="Times" w:cs="Times"/>
                <w:sz w:val="20"/>
                <w:szCs w:val="20"/>
              </w:rPr>
              <w:t xml:space="preserve">Prílohou </w:t>
            </w:r>
            <w:r w:rsidR="00B662D1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C02910">
              <w:rPr>
                <w:rFonts w:ascii="Times" w:hAnsi="Times" w:cs="Times"/>
                <w:sz w:val="20"/>
                <w:szCs w:val="20"/>
              </w:rPr>
              <w:t>4</w:t>
            </w:r>
            <w:r w:rsidR="00AB20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62DC2">
              <w:rPr>
                <w:rFonts w:ascii="Times" w:hAnsi="Times" w:cs="Times"/>
                <w:sz w:val="20"/>
                <w:szCs w:val="20"/>
              </w:rPr>
              <w:t xml:space="preserve">tejto doložky je </w:t>
            </w:r>
            <w:r w:rsidR="00123793">
              <w:rPr>
                <w:rFonts w:ascii="Times" w:hAnsi="Times" w:cs="Times"/>
                <w:sz w:val="20"/>
                <w:szCs w:val="20"/>
              </w:rPr>
              <w:t xml:space="preserve">vypracovaná </w:t>
            </w:r>
            <w:r w:rsidR="00123793" w:rsidRPr="00165F39">
              <w:rPr>
                <w:rFonts w:ascii="Times" w:hAnsi="Times" w:cs="Times"/>
                <w:b/>
                <w:bCs/>
                <w:sz w:val="20"/>
                <w:szCs w:val="20"/>
              </w:rPr>
              <w:t>Analýza vplyvov na služby verejnej správy pre občana</w:t>
            </w:r>
            <w:r w:rsidR="003A33A4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B043B4" w14:paraId="771FC4A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6A111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3C3DC66A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798CE" w14:textId="760C9139" w:rsidR="001B23B7" w:rsidRPr="00B043B4" w:rsidRDefault="00AC3F54" w:rsidP="00C07756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Ľubica Kašíková, </w:t>
            </w:r>
            <w:hyperlink r:id="rId12" w:history="1">
              <w:r w:rsidRPr="00B74A7B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lubica.kasikova@mirri.gov.sk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02/20928318</w:t>
            </w:r>
          </w:p>
        </w:tc>
      </w:tr>
      <w:tr w:rsidR="001B23B7" w:rsidRPr="00B043B4" w14:paraId="5C17F35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F1B77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0BD69EF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649F" w14:textId="67D33EDC" w:rsidR="001B23B7" w:rsidRPr="00AC3F54" w:rsidRDefault="000573FC" w:rsidP="00C0775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Interné kapacity predkladateľa a podriadených organizácií, </w:t>
            </w:r>
            <w:r w:rsidR="008938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výstupy a odporúčania z pracovných skupín</w:t>
            </w:r>
            <w:r w:rsidR="004E7F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D6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 vedením</w:t>
            </w:r>
            <w:r w:rsidR="004E7F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MIRRI SR</w:t>
            </w:r>
            <w:r w:rsidR="006D6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8938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výstupy </w:t>
            </w:r>
            <w:r w:rsidR="006D6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odporúčania </w:t>
            </w:r>
            <w:r w:rsidR="008938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auditu povinností, iné </w:t>
            </w:r>
            <w:r w:rsidR="006D6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podnety</w:t>
            </w:r>
            <w:r w:rsidR="008938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odbornej </w:t>
            </w:r>
            <w:r w:rsidR="00775B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verejnosti a orgánov verejnej moci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výstupy z vykonaných kontrol podľa </w:t>
            </w:r>
            <w:r w:rsidR="004E7F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§ 56a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zákona o e-Governmentu. </w:t>
            </w:r>
          </w:p>
          <w:p w14:paraId="4480EAD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68BD34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95C207" w14:textId="5F68976A" w:rsidR="001B23B7" w:rsidRPr="00742921" w:rsidRDefault="001B23B7" w:rsidP="003960A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42921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3960AF" w:rsidRPr="00742921">
              <w:rPr>
                <w:rFonts w:ascii="Times New Roman" w:eastAsia="Calibri" w:hAnsi="Times New Roman" w:cs="Times New Roman"/>
                <w:b/>
              </w:rPr>
              <w:t>183/2021</w:t>
            </w:r>
            <w:r w:rsidRPr="00742921">
              <w:rPr>
                <w:rFonts w:ascii="Calibri" w:eastAsia="Calibri" w:hAnsi="Calibri" w:cs="Times New Roman"/>
              </w:rPr>
              <w:t xml:space="preserve"> </w:t>
            </w:r>
          </w:p>
          <w:p w14:paraId="154155F8" w14:textId="77777777" w:rsidR="001B23B7" w:rsidRPr="00742921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42921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B043B4" w14:paraId="79E50069" w14:textId="77777777" w:rsidTr="001644F6">
        <w:trPr>
          <w:trHeight w:val="41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41504" w14:textId="77777777" w:rsidR="001B23B7" w:rsidRPr="003960A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960AF" w14:paraId="342ABC5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2172155" w14:textId="77777777" w:rsidR="001B23B7" w:rsidRPr="003960AF" w:rsidRDefault="006E74B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960A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960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960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C667C6B" w14:textId="77777777" w:rsidR="001B23B7" w:rsidRPr="003960AF" w:rsidRDefault="006E74B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960A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960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960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22BFD3BD" w14:textId="7F45276D" w:rsidR="001B23B7" w:rsidRPr="003960AF" w:rsidRDefault="006E74B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0AF" w:rsidRPr="003960A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3960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960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6886F22" w14:textId="294E3193" w:rsidR="001B23B7" w:rsidRPr="003960AF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9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7D09584" w14:textId="77777777" w:rsidR="003960AF" w:rsidRPr="003960AF" w:rsidRDefault="003960AF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06E537" w14:textId="77777777" w:rsidR="003960AF" w:rsidRPr="003960AF" w:rsidRDefault="003960AF" w:rsidP="003960AF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 doložke vybraných vplyvov</w:t>
            </w:r>
          </w:p>
          <w:p w14:paraId="1A945017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 </w:t>
            </w:r>
            <w:r w:rsidRPr="003960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Doložke vybraných vplyvov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žiada Komisia v bode 8. Preskúmanie účelnosti,  konkretizovať čas a kritériá preskúmania navrhovanej zmeny právnej úpravy.</w:t>
            </w:r>
          </w:p>
          <w:p w14:paraId="46D1456B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Odôvodnenie: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Predkladateľ v bode 8. uviedol veľmi všeobecne, že 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účinnosti a účelnosti navrhovaného predpisu bude vykonávané priebežne po nadobudnutí účinnosti, 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 preto Komisia žiada, aby doplnil  čas a na základe akých kritérií chce preskúmať účelnosť navrhovanej zmeny.</w:t>
            </w:r>
          </w:p>
          <w:p w14:paraId="6560E326" w14:textId="77777777" w:rsidR="003960AF" w:rsidRPr="003960AF" w:rsidRDefault="003960AF" w:rsidP="003960AF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7B0C14B" w14:textId="5DF8E787" w:rsidR="00742921" w:rsidRDefault="00BC2196" w:rsidP="003960AF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Vyhodnotenie pripomienok zo strany predkladateľa</w:t>
            </w:r>
            <w:r w:rsidR="0039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</w:p>
          <w:p w14:paraId="50F71B5F" w14:textId="6B1AA174" w:rsidR="003960AF" w:rsidRDefault="003960AF" w:rsidP="003960AF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Pripomienka zapracovaná, k preskúmaniu účelnosti by malo dôjsť </w:t>
            </w:r>
            <w:r w:rsidR="00101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pri ďalšej najbližšej novelizácii zákona č. 305/2013 Z. z. o e-Governmente, najneskôr však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 roky po nadobudnutí účinnosti </w:t>
            </w:r>
            <w:r w:rsidR="00101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predkladaného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zákona, t.</w:t>
            </w:r>
            <w:r w:rsidR="00101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j. v druhej </w:t>
            </w:r>
            <w:r w:rsidR="00101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polovici roku 2025. </w:t>
            </w:r>
          </w:p>
          <w:p w14:paraId="3DB31CCB" w14:textId="77777777" w:rsidR="00101D5C" w:rsidRPr="003960AF" w:rsidRDefault="00101D5C" w:rsidP="003960AF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2E1DAF0" w14:textId="77777777" w:rsidR="003960AF" w:rsidRPr="003960AF" w:rsidRDefault="003960AF" w:rsidP="003960A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 vplyvom na rozpočet verejnej správy</w:t>
            </w:r>
          </w:p>
          <w:p w14:paraId="1D98F159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V doložke vybraných vplyvov je uvedený negatívny vplyv na rozpočet verejnej správy ako rozpočtovo zabezpečený. V bode 10. Poznámky je k vplyvom na rozpočet verejnej správy uvedené, že implementácia opatrení v informačných systémoch bude financovaná z rozpočtovej kapitoly MIRRI SR, a to aj zo štátneho rozpočtu, ako aj zo zdrojov EÚ. V analýze vplyvov na rozpočet verejnej správy sú v tab. č. 1 kvantifikované negatívne vplyvy na rozpočet na rok 2022 v sume 700 tis. eur iba ako rozpočtové prostriedky. Uvedené je potrebné zosúladiť, resp. v prípade financovania zo zdrojov EÚ, je tieto prostriedky potrebné zohľadniť v relevantných tabuľkách analýzy vplyvov na rozpočet verejnej správy. </w:t>
            </w:r>
          </w:p>
          <w:p w14:paraId="0F6F93BD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6837A2C" w14:textId="77777777" w:rsidR="003960AF" w:rsidRPr="00D96403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6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V analýze vplyvov na rozpočet verejnej správy v tabuľke č. 1 žiada Komisia </w:t>
            </w:r>
            <w:r w:rsidRPr="00D9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doplniť príslušný program v rámci programovej štruktúry MIRRI SR. V textovej časti analýzy </w:t>
            </w:r>
            <w:r w:rsidRPr="00D96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 spomína iba dopad na Ústredný portál verejnej správy (ÚPVS). Na prvku 0EK130A – ÚPVS/CUD je momentálne v návrhu rozpočtu verejnej správy na roky 2022 až 2024 na rok 2022 rozpísaných celkovo 11 363 394 eur, avšak z toho kapitálové výdavky sú rozpísané iba v sume 540 394 eur. Uvedené žiada Komisia zosúladiť.</w:t>
            </w:r>
          </w:p>
          <w:p w14:paraId="3CF2D2E2" w14:textId="77777777" w:rsidR="003960AF" w:rsidRPr="00D96403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A910D54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V tabuľke č. 1 v časti týkajúcej sa financovania zabezpečeného v rozpočte žiada Komisia uviesť kapitolu štátneho rozpočtu, v ktorej sú finančné prostriedky zabezpečené a sumu výdavkov. Zároveň je potrebné aj v bode 2.1.1. Financovanie návrhu uviesť konkrétnu kapitolu štátneho rozpočtu.</w:t>
            </w:r>
            <w:r w:rsidRPr="00396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39B93891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1BBDF7B" w14:textId="77777777" w:rsidR="003960AF" w:rsidRPr="00EB1B37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EB1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V tabuľke č. 4 je potrebné rozpísať kvantifikované kapitálové výdavky aj na príslušnú kategóriu výdavkov podľa ekonomickej klasifikácie rozpočtovej klasifikácie.</w:t>
            </w:r>
          </w:p>
          <w:p w14:paraId="6F792C20" w14:textId="77777777" w:rsidR="003960AF" w:rsidRPr="00EB1B37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69EBB8B" w14:textId="77777777" w:rsidR="003960AF" w:rsidRPr="00054F88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1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 doložke vybraných vplyvov v bode 10. Poznámky je k vplyvom na informatizáciu uvedené, že vplyvy vyvolané úpravami v informačných systémoch iných rezortov bezprostredne súvisiacich s legislatívnymi zmenami vyplývajúcich z tohto návrhu zákona „majú možnosť jednotlivé orgány verejnej moci (správcovia kapitol) vyčísliť a uplatniť k tomuto materiálu v rámci medzirezortného pripomienkového konania, inak si ich dotknuté kapitoly zabezpečia v rámci schváleného limitu výdavkov na príslušný rozpočtový rok, bez dodatočných požiadaviek na rozpočet verejnej správy“. </w:t>
            </w:r>
            <w:r w:rsidRPr="00054F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Vplyvy materiálu na rozpočet verejnej správy majú byť kvantifikované už pri predkladaní materiálu na predbežné pripomienkové konanie v zmysle Jednotnej metodiky na posudzovanie vybraných vplyvov, aby bolo možné ich posúdenie zo strany MF SR. V nadväznosti na uvedené žiada Komisia dopracovať analýzu vplyvov na rozpočet o všetky predpokladané vplyvy na rozpočet verejnej správy v členení podľa jednotlivých rokov, subjektov vrátane obcí a VÚC atď., pričom je potrebné vyhodnotiť a validovať oprávnenosť a výšku vyvolaných nákladov na úpravu informačných systémov, avizovaných zo strany jednotlivých orgánov verejnej moci v rámci prebiehajúceho PPK.</w:t>
            </w:r>
          </w:p>
          <w:p w14:paraId="628D76F8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0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Zároveň Komisia žiada všetky vplyvy súvisiace s realizáciou návrhu zákona zabezpečiť v rámci schválených limitov dotknutých kapitol štátneho rozpočtu, resp. subjektov verejnej správy na príslušný rozpočtový rok.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C237AE2" w14:textId="77777777" w:rsidR="00101D5C" w:rsidRDefault="00101D5C" w:rsidP="003960A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6E6DBFD" w14:textId="30D70D5F" w:rsidR="00742921" w:rsidRDefault="00BC2196" w:rsidP="003960A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Vyhodnotenie pripomienok zo strany predkladateľa</w:t>
            </w:r>
            <w:r w:rsidR="00101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="00B07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B723941" w14:textId="00D407F9" w:rsidR="001644F6" w:rsidRDefault="00D9176B" w:rsidP="009973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Vzhľadom na to, že materiál bol po PPK na základe doručených pripomienok </w:t>
            </w:r>
            <w:r w:rsidR="008B4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 MPK </w:t>
            </w:r>
            <w:r w:rsidRP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upravený a niektoré pôvodne navrhované úpravy boli z návrhu vypustené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resp. </w:t>
            </w:r>
            <w:r w:rsidR="0034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rozšírené alebo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doplnené nové, bola upravená aj pôvodná analýz</w:t>
            </w:r>
            <w:r w:rsidR="00C02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vplyvov na rozpočet verejnej správy.</w:t>
            </w:r>
          </w:p>
          <w:p w14:paraId="31BACF4E" w14:textId="7307EBEE" w:rsidR="001644F6" w:rsidRDefault="00501A0E" w:rsidP="009973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Navrhované zmeny si budú vyžadovať úpravy informačných systémov v rámci 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ÚPVS</w:t>
            </w:r>
            <w:r w:rsid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v správe MIRRI SR</w:t>
            </w: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Náklady súvisiace so zabezpečením povinnosti MIRRI SR v oblasti autentifikácie budú mať vplyv na personálne kapacity MIRRI SR – predkladateľ vyplnil tabuľku č. 5 (zamestnanosť) analýzy a uvedené zohľadnil aj v tabuľke č. 1 a tabuľke č. 4 analýzy. </w:t>
            </w:r>
          </w:p>
          <w:p w14:paraId="278AA570" w14:textId="48D43314" w:rsidR="001644F6" w:rsidRDefault="00B07BAF" w:rsidP="009973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Náklady vyplývajúce z</w:t>
            </w:r>
            <w:r w:rsid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navrhovaných legislatívnych zmien</w:t>
            </w: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budú financované </w:t>
            </w:r>
            <w:r w:rsidR="00B525A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</w:t>
            </w: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01A0E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kapitoly MIRRI SR</w:t>
            </w:r>
            <w:r w:rsidR="009973F7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="00B525A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medzirezortný </w:t>
            </w:r>
            <w:r w:rsidR="009973F7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podprogram 0EK13 Informačné technológie financované zo štátneho rozpočtu – </w:t>
            </w:r>
            <w:r w:rsidR="009973F7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Ministerstvo investícií, regionálneho rozvoja a informatizácie SR, </w:t>
            </w:r>
            <w:r w:rsidR="00B525A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prvok podprogramu 0EK130A – ÚPVS/CUD (kapitálové výdavky)</w:t>
            </w:r>
            <w:r w:rsid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a</w:t>
            </w:r>
            <w:r w:rsidR="008B4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 identifikované na rok</w:t>
            </w:r>
            <w:r w:rsid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 2023 – ako je špecifikované v analýze vplyvov na rozpočet verejnej správy,  podľa jednotlivých okruhov</w:t>
            </w:r>
            <w:r w:rsidR="00B525A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9B32B9D" w14:textId="4DDD5F57" w:rsidR="00F35D99" w:rsidRDefault="00EB1B37" w:rsidP="009973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Predkladateľ zapracoval aj pripomie</w:t>
            </w:r>
            <w:r w:rsidR="00F7238B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nku k tabuľke č. 4 analýzy</w:t>
            </w: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="00054F88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K pripomienke k bodu </w:t>
            </w:r>
            <w:r w:rsidR="00A050B9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10 </w:t>
            </w: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doložky vplyvov </w:t>
            </w:r>
            <w:r w:rsidR="00A050B9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predkladateľ </w:t>
            </w:r>
            <w:r w:rsidR="00D0042D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spresňuje</w:t>
            </w:r>
            <w:r w:rsidR="00A050B9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že 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návrh </w:t>
            </w:r>
            <w:r w:rsidR="001D18CC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novely zákona o e-Governmente 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(upravený </w:t>
            </w:r>
            <w:r w:rsidR="00D9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 základe doručených vecných pripomienok 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 ukončení PPK</w:t>
            </w:r>
            <w:r w:rsidR="008B4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a MPK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) bude mať dopad len na centrálne riešenia</w:t>
            </w:r>
            <w:r w:rsidR="00A050B9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(t.j. zmeny 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ÚPVS a spoločných modulov), ktorých</w:t>
            </w:r>
            <w:r w:rsidR="00A050B9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financovanie spadá do p</w:t>
            </w:r>
            <w:r w:rsidR="000B7F7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ôsobnosti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kapitoly MIRRI SR</w:t>
            </w:r>
            <w:r w:rsidR="001D18CC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a</w:t>
            </w:r>
            <w:r w:rsidR="008B4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 implementácia nastane v roku</w:t>
            </w:r>
            <w:r w:rsidR="001D18CC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2023</w:t>
            </w:r>
            <w:r w:rsidR="008B4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a v oblasti autentifikácie aj v nasledujúcich rokoch (mzdové náklady v súvislosti s 2 zamestnancami na vedenie evidencie autentifikačných prostriedkov)</w:t>
            </w:r>
            <w:r w:rsidR="00D96403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14:paraId="53A65B6D" w14:textId="44B86606" w:rsidR="00F35D99" w:rsidRDefault="001644F6" w:rsidP="009973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Zároveň predkladateľ uvádza, že vplyvy súvisiace </w:t>
            </w:r>
            <w:r w:rsidR="00F35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návrhom zmien v oblasti zaručenej konverzie </w:t>
            </w:r>
            <w:r w:rsidR="00F35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(najmä s úpravou IS EZZK)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dnes nie je možné vyčísliť, tieto budú preto posudzované pri predkladaní novely </w:t>
            </w:r>
            <w:r w:rsidR="00F35D99" w:rsidRPr="00F35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vyhlášky MIRRI SR č. 70/2021 Z. z. o zaručenej konverzii </w:t>
            </w:r>
            <w:r w:rsidR="00F35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 PPK osobitným legislatívnym procesom. </w:t>
            </w:r>
          </w:p>
          <w:p w14:paraId="209A35C1" w14:textId="77777777" w:rsidR="004E6673" w:rsidRDefault="00D96403" w:rsidP="009973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Návrh nebude mať dopad na iné orgány verejnej moci</w:t>
            </w:r>
            <w:r w:rsidR="00EB1B37" w:rsidRPr="009F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14:paraId="78343F20" w14:textId="0FF8E86D" w:rsidR="003960AF" w:rsidRPr="009973F7" w:rsidRDefault="004E6673" w:rsidP="009973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Rovnako predkladateľ uvádza, že dopady úpravy v oblasti uznaných spôsobov autorizácie budú vyčíslené až v rámci legislatívneho procesu pripravovanej vyhlášky o uznaných spôsoboch autorizácie (predpoklad PPK v treťom kvartáli roka 2022, predpokladaná účinnosť najneskôr 1. január 2023). </w:t>
            </w:r>
            <w:r w:rsidR="00F7238B" w:rsidRPr="0077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Uvedené je spresnené aj v bode 10 - Poznámky.</w:t>
            </w:r>
            <w:r w:rsidR="00F7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29E5E4" w14:textId="77777777" w:rsidR="00101D5C" w:rsidRPr="003960AF" w:rsidRDefault="00101D5C" w:rsidP="003960A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14:paraId="0766AB89" w14:textId="77777777" w:rsidR="003960AF" w:rsidRPr="003960AF" w:rsidRDefault="003960AF" w:rsidP="003960A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96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 vplyvom na podnikateľské prostredie</w:t>
            </w:r>
          </w:p>
          <w:p w14:paraId="08CF5275" w14:textId="77777777" w:rsidR="003960AF" w:rsidRPr="003960AF" w:rsidRDefault="003960AF" w:rsidP="003960A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 </w:t>
            </w:r>
            <w:r w:rsidRPr="003960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Analýze vplyvov na podnikateľské prostredie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žiada Komisia vyčísliť náklady regulácie na základe expertného odhadu.</w:t>
            </w:r>
          </w:p>
          <w:p w14:paraId="1B1C4C29" w14:textId="63CD9992" w:rsidR="001B23B7" w:rsidRDefault="003960AF" w:rsidP="003960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60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Odôvodnenie:</w:t>
            </w:r>
            <w:r w:rsidRPr="003960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Predkladateľ vyznačil, že na návrh sa vzťahuje Mechanizmus znižovania byrokracie a nákladov, ale v kalkulačke nevyčíslil náklady regulácie, a preto je potrebné náklady vyčísliť aj expertným odhadom.</w:t>
            </w:r>
          </w:p>
          <w:p w14:paraId="61896275" w14:textId="1F4D7C5B" w:rsidR="000C6263" w:rsidRDefault="000C6263" w:rsidP="003960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7A8CFB3" w14:textId="4528BB7F" w:rsidR="00742921" w:rsidRDefault="00BC2196" w:rsidP="000C62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Vyhodnotenie pripomienok zo strany predkladateľa</w:t>
            </w:r>
            <w:r w:rsidR="000C6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</w:p>
          <w:p w14:paraId="7AA8703E" w14:textId="6D6ACDA4" w:rsidR="000C6263" w:rsidRPr="003960AF" w:rsidRDefault="00C02910" w:rsidP="000C62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Vzhľadom na úpravu materiálu v procese MPK sa na záverečné posúdenie predkladá upravená analýza vplyvov na podnikateľské prostredie, ako aj kalkulačka.</w:t>
            </w:r>
          </w:p>
          <w:p w14:paraId="27A28E72" w14:textId="50E0E9BE" w:rsidR="001B23B7" w:rsidRDefault="001B23B7" w:rsidP="000C62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0825FFD" w14:textId="08F84CF4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III. Záver: </w:t>
            </w:r>
            <w:r w:rsidRPr="00CD56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Stála pracovná komisia na posudzovanie vybraných vplyvov vyjadruje</w:t>
            </w:r>
            <w:r w:rsidRPr="00CD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14:paraId="44A93451" w14:textId="77777777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2A48E53D" w14:textId="77777777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nesúhlasné stanovisko</w:t>
            </w:r>
          </w:p>
          <w:p w14:paraId="236F5CAD" w14:textId="6555EBCB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5A64AFF" w14:textId="6A19E81E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 materiálom predloženým na predbežné pripomienkové konanie s odporúčaním na jeho dopracovanie podľa pripomienok v bode II.</w:t>
            </w:r>
          </w:p>
          <w:p w14:paraId="5FAD87E9" w14:textId="712879D5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F43DBC6" w14:textId="77777777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IV. Poznámka:</w:t>
            </w:r>
            <w:r w:rsidRPr="00CD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CD56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14:paraId="50E0D74D" w14:textId="649D2B6A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  <w:p w14:paraId="7F4CF774" w14:textId="7B7F42A0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46BE24D6" w14:textId="77777777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0797FDC9" w14:textId="77777777" w:rsidR="00CD5636" w:rsidRPr="00CD5636" w:rsidRDefault="00CD5636" w:rsidP="00CD56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PhDr. Ján Oravec, CSc.</w:t>
            </w:r>
          </w:p>
          <w:p w14:paraId="08AFEADD" w14:textId="77777777" w:rsidR="001B23B7" w:rsidRDefault="00CD5636" w:rsidP="001644F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D5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predseda Komisie</w:t>
            </w:r>
          </w:p>
          <w:p w14:paraId="223F852E" w14:textId="008BA7C5" w:rsidR="001644F6" w:rsidRPr="001644F6" w:rsidRDefault="001644F6" w:rsidP="001644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ECC4DA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14DC00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0810700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ECC686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F87A5C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2CDCB6E" w14:textId="77777777" w:rsidR="001B23B7" w:rsidRPr="00B043B4" w:rsidRDefault="006E74B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C01DB42" w14:textId="77777777" w:rsidR="001B23B7" w:rsidRPr="00B043B4" w:rsidRDefault="006E74B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E453178" w14:textId="6FB9913A" w:rsidR="001B23B7" w:rsidRPr="00B043B4" w:rsidRDefault="006E74B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0AF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1F0A82D" w14:textId="5F0FE146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F4232FC" w14:textId="659CA4E7" w:rsidR="009244C3" w:rsidRDefault="009244C3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B86C92E" w14:textId="55DF3C3B" w:rsidR="009244C3" w:rsidRPr="009244C3" w:rsidRDefault="009244C3" w:rsidP="009244C3">
            <w:pPr>
              <w:pStyle w:val="Nadpis4"/>
              <w:outlineLvl w:val="3"/>
              <w:rPr>
                <w:sz w:val="20"/>
              </w:rPr>
            </w:pPr>
            <w:r w:rsidRPr="009244C3">
              <w:rPr>
                <w:spacing w:val="20"/>
                <w:sz w:val="20"/>
              </w:rPr>
              <w:t>stanovisko komisie</w:t>
            </w:r>
            <w:r w:rsidRPr="009244C3">
              <w:rPr>
                <w:sz w:val="20"/>
              </w:rPr>
              <w:t xml:space="preserve"> </w:t>
            </w:r>
          </w:p>
          <w:p w14:paraId="17B4B323" w14:textId="38053151" w:rsidR="009244C3" w:rsidRPr="009244C3" w:rsidRDefault="009244C3" w:rsidP="009244C3">
            <w:pPr>
              <w:ind w:right="-2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(záverečné posúdenie)</w:t>
            </w:r>
          </w:p>
          <w:p w14:paraId="0A48FC57" w14:textId="77777777" w:rsidR="009244C3" w:rsidRPr="009244C3" w:rsidRDefault="009244C3" w:rsidP="009244C3">
            <w:pPr>
              <w:ind w:right="-2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 materiálu</w:t>
            </w:r>
          </w:p>
          <w:p w14:paraId="2D05590B" w14:textId="77777777" w:rsidR="009244C3" w:rsidRPr="009244C3" w:rsidRDefault="009244C3" w:rsidP="009244C3">
            <w:pPr>
              <w:ind w:right="-2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4135C0C1" w14:textId="1E078C19" w:rsidR="009244C3" w:rsidRDefault="009244C3" w:rsidP="009244C3">
            <w:pPr>
              <w:pBdr>
                <w:bottom w:val="single" w:sz="4" w:space="1" w:color="auto"/>
              </w:pBdr>
              <w:jc w:val="center"/>
              <w:rPr>
                <w:rStyle w:val="Jemnodkaz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44C3">
              <w:rPr>
                <w:rStyle w:val="Jemnodkaz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Zákon, ktorým sa mení a dopĺňa zákon č. 305/2013 Z. z. o elektronickej podobe výkonu pôsobnosti orgánov verejnej moci a o zmene a doplnení niektorých zákonov (zákon o e-Governmente) v znení neskorších predpisov a ktorým sa menia a dopĺňajú niektoré zákony</w:t>
            </w:r>
          </w:p>
          <w:p w14:paraId="46308A13" w14:textId="37A9FCF5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Úvod: </w:t>
            </w:r>
            <w:r w:rsidRPr="009244C3">
              <w:rPr>
                <w:rFonts w:ascii="Times New Roman" w:hAnsi="Times New Roman" w:cs="Times New Roman"/>
                <w:bCs/>
                <w:sz w:val="20"/>
                <w:szCs w:val="20"/>
              </w:rPr>
              <w:t>Ministerstvo investícií, regionálneho rozvoja a informatizácie Slovenskej republiky predložilo dňa 03. mája 2022 Stálej pracovnej komisii na posudzovanie vybraných vplyvov (ďalej len „Komisia“) na záverečné posúdenie materiál: „</w:t>
            </w:r>
            <w:r w:rsidRPr="009244C3">
              <w:rPr>
                <w:rFonts w:ascii="Times New Roman" w:hAnsi="Times New Roman" w:cs="Times New Roman"/>
                <w:i/>
                <w:sz w:val="20"/>
                <w:szCs w:val="20"/>
              </w:rPr>
              <w:t>Zákon, ktorým sa mení a dopĺňa zákon č. 305/2013 Z. z. o elektronickej podobe výkonu pôsobnosti orgánov verejnej moci a o zmene a doplnení niektorých zákonov (zákon o e-Governmente) v znení neskorších predpisov a ktorým sa menia a dopĺňajú niektoré zákony</w:t>
            </w:r>
            <w:r w:rsidRPr="009244C3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“</w:t>
            </w:r>
            <w:r w:rsidRPr="009244C3">
              <w:rPr>
                <w:rFonts w:ascii="Times New Roman" w:hAnsi="Times New Roman" w:cs="Times New Roman"/>
                <w:iCs/>
                <w:sz w:val="20"/>
                <w:szCs w:val="20"/>
              </w:rPr>
              <w:t>. Materiál predpokladá negatívne vplyvy na rozpočet verejnej správy, ktoré sú  rozpočtovo zabezpečené, pozitívne vplyvy na podnikateľské prostredie, pozitívno-negatívne vplyvy na informatizáciu spoločnosti a negatívne vplyvy na služby verejnej správy na občana.</w:t>
            </w:r>
          </w:p>
          <w:p w14:paraId="4F2DCC33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FF9D71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Pripomienky a návrhy zmien: </w:t>
            </w:r>
            <w:r w:rsidRPr="009244C3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 materiálu nasledovné pripomienky a odporúčania:</w:t>
            </w:r>
          </w:p>
          <w:p w14:paraId="2B47B485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E51C31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14:paraId="087787C1" w14:textId="38436FE9" w:rsid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sz w:val="20"/>
                <w:szCs w:val="20"/>
              </w:rPr>
              <w:t xml:space="preserve">Komisia odporúča predkladateľovi v Doložke vybraných vplyvov v časti 8. Preskúmanie účelnosti doplniť kritériá, na základe ktorých bude v materiáli preskúmaná účelnosť. </w:t>
            </w:r>
          </w:p>
          <w:p w14:paraId="55E92E55" w14:textId="77777777" w:rsid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32C810" w14:textId="77777777" w:rsidR="00BC2196" w:rsidRDefault="00BC2196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Vyhodnotenie odporúčania zo strany predkladateľa</w:t>
            </w:r>
            <w:r w:rsidR="00924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0E2905CE" w14:textId="561DB320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Odporúčanie </w:t>
            </w:r>
            <w:r w:rsidR="00BC2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 vzťahu ku kritériám preskúmania účelnosti boli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zapracované v časti 8</w:t>
            </w:r>
            <w:r w:rsidR="00BC2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doložky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C9FA5A4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27D10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vplyvom na rozpočet verejnej správy</w:t>
            </w:r>
          </w:p>
          <w:p w14:paraId="4BA4ABA6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sz w:val="20"/>
                <w:szCs w:val="20"/>
              </w:rPr>
              <w:t xml:space="preserve">V doložke vybraných vplyvov sú uvedené negatívne vplyvy na rozpočet verejnej správy ako rozpočtovo zabezpečené. V analýze vplyvov na rozpočet verejnej správy, ktorá je oproti analýze predkladanej v rámci materiálu na MPK zmenená, sú v tab. č. 1 kvantifikované dopady na rok 2022 v sume 610 000 eur, na rok 2023 v sume 969 552 eur (z toho jednorazové kapitálové výdavky v sume 840 000 eur na aplikačnú a technickú zmenu Ústredného portálu verejnej správy, osobné výdavky v sume 129 552 eur na dvoch zamestnancov) a na rok 2024 v sume 129 552 eur (osobné výdavky) ako v rozpočte zabezpečené. </w:t>
            </w:r>
          </w:p>
          <w:p w14:paraId="0759DB2C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9CEA0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sz w:val="20"/>
                <w:szCs w:val="20"/>
              </w:rPr>
              <w:t xml:space="preserve">S konštatovaním predkladateľa o zabezpečenosti vplyvov nie je možné súhlasiť. V súvislosti s prípravou rozpočtu verejnej správy na roky 2023 až 2025 boli kapitole MIRRI SR oznámené limity príjmov a výdavkov v rámci „Oznámenia návrhu limitov príjmov a výdavkov kapitoly MIRRI SR na roky 2023 až 2025“ z 28. 4. 2022. V zmysle tohto oznámenia má kapitola MIRRI SR určený celkový limit kapitálových výdavkov (zdroj 111) na rok 2023 v sume 271 142 eur, čo dopad vyčíslený v predkladanej novele zákona nepokryje. Vzhľadom na uvedené Komisia nesúhlasí s predloženým materiálom, pretože vplyvy na rozpočet verejnej správy na rok 2023 v kapitole MIRRI SR nie sú kryté. </w:t>
            </w:r>
          </w:p>
          <w:p w14:paraId="4DB886F9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D6CC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sz w:val="20"/>
                <w:szCs w:val="20"/>
              </w:rPr>
              <w:t>V tab. č. 1 sú vo výdavkoch na rok 2022 uvedené výdavky v sume 610 000 eur ako zabezpečené v rozpočte. Pritom v podrobnej tab. č. 4 nie sú v roku 2022 uvedené žiadne výdavky. Uvedené je potrebné upraviť a zosúladiť.</w:t>
            </w:r>
          </w:p>
          <w:p w14:paraId="29232FDF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036BB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244C3">
              <w:rPr>
                <w:rFonts w:ascii="Times New Roman" w:hAnsi="Times New Roman" w:cs="Times New Roman"/>
                <w:sz w:val="20"/>
                <w:szCs w:val="20"/>
              </w:rPr>
              <w:t>K vplyvom za oblasť zamestnanosti Komisia uvádza, že berie na vedomie, že osobné výdavky budú zabezpečené v rámci schválených limitov výdavkov na príslušné rozpočtové roky. Komisia však naďalej trvá na zásadnej pripomienke, aby 2 zamestnanci, ktorých náplňou práce bude posudzovanie splnenia podmienok podľa § 22 zákona v oblasti bezpečnosti a štandardov ITVS, boli personálne zabezpečení v rámci limitu počtu zamestnancov a osobných výdavkov kapitoly MIRRI SR. Podľa údajov zamestnanosti za 1. štvrťrok  2022 upravený limit počtov zamestnancov aparátu ústredného orgánu MIRRI SR bol 986 osôb (703 osôb po odpočítaní analytickej jednotky - AJ, administratívnych kapacít osobitne sledovaných - AKos, POO), skutočný počet zamestnancov za 1. štvrťrok  2022 bol 802,9 osôb (619 osôb po odpočítaní AJ, AKos, POO), čo predstavuje neplnenie 18,6 % (11,9 % po odpočítaní AJ, AKos, POO). Požadované miesta preto žiada Komisia zabezpečiť z nenaplnených stavov a platy z rozpočtovaných osobných výdavkov.</w:t>
            </w:r>
          </w:p>
          <w:p w14:paraId="2B709108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8A55E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sz w:val="20"/>
                <w:szCs w:val="20"/>
              </w:rPr>
              <w:t>Do analýzy žiada Komisia doplniť vecné vysvetlenie rozdielu navrhovanej úpravy Ústredného portálu verejnej správy na podpis klikom s rovnakou funkcionalitou v rámci projektu Slovensko v mobile.</w:t>
            </w:r>
          </w:p>
          <w:p w14:paraId="5370E494" w14:textId="6F2E0805" w:rsid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Odôvodnenie:</w:t>
            </w:r>
            <w:r w:rsidRPr="009244C3">
              <w:rPr>
                <w:rFonts w:ascii="Times New Roman" w:hAnsi="Times New Roman" w:cs="Times New Roman"/>
                <w:sz w:val="20"/>
                <w:szCs w:val="20"/>
              </w:rPr>
              <w:t xml:space="preserve"> Súčasťou projektu Slovensko v mobile je funkcionalita Podpis klikom, projekt plánuje naplniť rovnaké ciele ako navrhované zmeny v oblasti autorizácie predmetného materiálu. Z podkladov nie je zrejmé, že navrhovaná úprava v predmetnej novele zákona a v projekte Slovensko v mobile nie je duplicitou. Komisia preto žiada doplniť vecné vysvetlenie, že nejde o duplicitné riešenie a aký je konkrétny rozdiel medzi týmito dvomi projektami.</w:t>
            </w:r>
          </w:p>
          <w:p w14:paraId="53F6A09A" w14:textId="09A0EB14" w:rsidR="009244C3" w:rsidRDefault="009244C3" w:rsidP="0092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E6D7D" w14:textId="77777777" w:rsidR="00BC2196" w:rsidRDefault="00BC2196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Vyhodnotenie pripomienky zo strany predkladateľa</w:t>
            </w:r>
            <w:r w:rsidR="009244C3" w:rsidRPr="009244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4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CBEA817" w14:textId="709DBC7E" w:rsidR="00844FE9" w:rsidRDefault="00844FE9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 pripomienke v odseku 2 vyššie: V tabuľke v bode 9 boli vyznačené nekryté vplyvy materiálu v zmysle pripomienky.</w:t>
            </w:r>
          </w:p>
          <w:p w14:paraId="77EE0143" w14:textId="71A908AC" w:rsidR="00BC2196" w:rsidRDefault="00BC2196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 pripomienke v odseku 3 vyššie: </w:t>
            </w:r>
            <w:r w:rsidR="00924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Tabuľky č. 1 a č. 4 v analýze vplyvov na rozpočet verejnej správy boli zosúladené v zmysle pripomienky. </w:t>
            </w:r>
          </w:p>
          <w:p w14:paraId="5D6C301C" w14:textId="407F8A6B" w:rsidR="009265C6" w:rsidRDefault="009265C6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 pripomienke v odseku 5 vyššie uvádzame, že vecné vysvetlenie rozdielu úpravy ÚPVS na podpis klikom s rovnakou funkcionalitou v rámci projektu Slovensko v mobile bolo doplnené v rámci okruhu č. 3 bodu 2.2.1 Popis návrhu analýzy vplyvov na rozpočet verejnej správy, ako aj k bodu 51 dôvodovej správy. </w:t>
            </w:r>
          </w:p>
          <w:p w14:paraId="33AF914C" w14:textId="3A3D316E" w:rsidR="009244C3" w:rsidRPr="009244C3" w:rsidRDefault="00BC2196" w:rsidP="00924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 pripomienke v odseku 4 k</w:t>
            </w:r>
            <w:r w:rsidR="0092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vplyvom za oblasť zamestnanosti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uvádzame, že MIRRI SR </w:t>
            </w:r>
            <w:r w:rsidR="009265C6">
              <w:rPr>
                <w:rFonts w:ascii="Times New Roman" w:hAnsi="Times New Roman" w:cs="Times New Roman"/>
                <w:b/>
                <w:sz w:val="20"/>
                <w:szCs w:val="20"/>
              </w:rPr>
              <w:t>naďalej</w:t>
            </w:r>
            <w:r w:rsidR="00924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trvá na </w:t>
            </w:r>
            <w:r w:rsidR="0092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požiadavke navýšenia počtu zamestnancov MIRRI SR o 2 zamestnancov, ktorí budú zabezpečovať evidenciu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autentifikačných prostriedkov </w:t>
            </w:r>
            <w:r w:rsidR="0092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 posudzovanie splnenia podmienok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 zápisom</w:t>
            </w:r>
            <w:r w:rsidR="0092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autentifikačných prostriedkov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evidencie</w:t>
            </w:r>
            <w:r w:rsidR="009265C6">
              <w:rPr>
                <w:rFonts w:ascii="Times New Roman" w:hAnsi="Times New Roman" w:cs="Times New Roman"/>
                <w:b/>
                <w:sz w:val="20"/>
                <w:szCs w:val="20"/>
              </w:rPr>
              <w:t>, vzhľadom na to, že i</w:t>
            </w:r>
            <w:r w:rsidR="009265C6" w:rsidRPr="009265C6">
              <w:rPr>
                <w:rFonts w:ascii="Times New Roman" w:hAnsi="Times New Roman" w:cs="Times New Roman"/>
                <w:b/>
                <w:sz w:val="20"/>
                <w:szCs w:val="20"/>
              </w:rPr>
              <w:t>de o novú povinnosť a sadu činností, ktorých plnenie nie je možné pokryť súčasnými personálnymi kapacitami MIRRI SR.</w:t>
            </w:r>
            <w:bookmarkStart w:id="0" w:name="_GoBack"/>
            <w:bookmarkEnd w:id="0"/>
          </w:p>
          <w:p w14:paraId="2CFDDD2E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1AF844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Záver: </w:t>
            </w:r>
            <w:r w:rsidRPr="009244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14:paraId="7FB31846" w14:textId="77777777" w:rsidR="009244C3" w:rsidRPr="009244C3" w:rsidRDefault="009244C3" w:rsidP="009244C3">
            <w:pPr>
              <w:tabs>
                <w:tab w:val="center" w:pos="637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B731E3" w14:textId="77777777" w:rsidR="009244C3" w:rsidRPr="009244C3" w:rsidRDefault="009244C3" w:rsidP="009244C3">
            <w:pPr>
              <w:tabs>
                <w:tab w:val="center" w:pos="637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nesúhlasné stanovisko</w:t>
            </w:r>
          </w:p>
          <w:p w14:paraId="5301A010" w14:textId="77777777" w:rsidR="009244C3" w:rsidRPr="009244C3" w:rsidRDefault="009244C3" w:rsidP="009244C3">
            <w:pPr>
              <w:tabs>
                <w:tab w:val="center" w:pos="63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667469" w14:textId="77777777" w:rsidR="009244C3" w:rsidRPr="009244C3" w:rsidRDefault="009244C3" w:rsidP="009244C3">
            <w:pPr>
              <w:tabs>
                <w:tab w:val="center" w:pos="6379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Cs/>
                <w:sz w:val="20"/>
                <w:szCs w:val="20"/>
              </w:rPr>
              <w:t>s materiálom predloženým na záverečné posúdenie.</w:t>
            </w:r>
          </w:p>
          <w:p w14:paraId="758C9783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9D85B6" w14:textId="77777777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Poznámka:</w:t>
            </w:r>
            <w:r w:rsidRPr="009244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0F1F686B" w14:textId="77777777" w:rsidR="009244C3" w:rsidRPr="009244C3" w:rsidRDefault="009244C3" w:rsidP="009244C3">
            <w:pPr>
              <w:pStyle w:val="Zkladntext"/>
              <w:spacing w:after="0" w:line="240" w:lineRule="auto"/>
              <w:jc w:val="both"/>
            </w:pPr>
          </w:p>
          <w:p w14:paraId="42F5876B" w14:textId="77777777" w:rsidR="009244C3" w:rsidRPr="009244C3" w:rsidRDefault="009244C3" w:rsidP="009244C3">
            <w:pPr>
              <w:pStyle w:val="Zkladntext"/>
              <w:spacing w:after="0" w:line="240" w:lineRule="auto"/>
              <w:jc w:val="both"/>
              <w:rPr>
                <w:b/>
                <w:bCs/>
              </w:rPr>
            </w:pPr>
            <w:r w:rsidRPr="009244C3"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3267A87D" w14:textId="054328CD" w:rsidR="009244C3" w:rsidRPr="009244C3" w:rsidRDefault="009244C3" w:rsidP="00924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DB78E90" w14:textId="77777777" w:rsidR="009244C3" w:rsidRPr="009244C3" w:rsidRDefault="009244C3" w:rsidP="009244C3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PhDr. Ján Oravec, CSc.</w:t>
            </w:r>
          </w:p>
          <w:p w14:paraId="2A930177" w14:textId="046D95CE" w:rsidR="00BC2196" w:rsidRPr="00BC2196" w:rsidRDefault="009244C3" w:rsidP="00BC2196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C3">
              <w:rPr>
                <w:rFonts w:ascii="Times New Roman" w:hAnsi="Times New Roman" w:cs="Times New Roman"/>
                <w:bCs/>
                <w:sz w:val="20"/>
                <w:szCs w:val="20"/>
              </w:rPr>
              <w:t>predseda Komisie</w:t>
            </w:r>
          </w:p>
          <w:p w14:paraId="14A138E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9A57C6C" w14:textId="77777777" w:rsidR="00274130" w:rsidRDefault="006E74BE"/>
    <w:sectPr w:rsidR="00274130" w:rsidSect="001E356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8961" w14:textId="77777777" w:rsidR="00D17A89" w:rsidRDefault="00D17A89" w:rsidP="001B23B7">
      <w:pPr>
        <w:spacing w:after="0" w:line="240" w:lineRule="auto"/>
      </w:pPr>
      <w:r>
        <w:separator/>
      </w:r>
    </w:p>
  </w:endnote>
  <w:endnote w:type="continuationSeparator" w:id="0">
    <w:p w14:paraId="2923E6F7" w14:textId="77777777" w:rsidR="00D17A89" w:rsidRDefault="00D17A8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CD047B" w14:textId="6B93A6E0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4B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31BE52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41CD" w14:textId="77777777" w:rsidR="00D17A89" w:rsidRDefault="00D17A89" w:rsidP="001B23B7">
      <w:pPr>
        <w:spacing w:after="0" w:line="240" w:lineRule="auto"/>
      </w:pPr>
      <w:r>
        <w:separator/>
      </w:r>
    </w:p>
  </w:footnote>
  <w:footnote w:type="continuationSeparator" w:id="0">
    <w:p w14:paraId="7AF4C9D2" w14:textId="77777777" w:rsidR="00D17A89" w:rsidRDefault="00D17A8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439C3"/>
    <w:multiLevelType w:val="hybridMultilevel"/>
    <w:tmpl w:val="4A72440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91DE1"/>
    <w:multiLevelType w:val="hybridMultilevel"/>
    <w:tmpl w:val="DDAE0008"/>
    <w:lvl w:ilvl="0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FE931EA"/>
    <w:multiLevelType w:val="hybridMultilevel"/>
    <w:tmpl w:val="1180DEC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74EC1"/>
    <w:multiLevelType w:val="hybridMultilevel"/>
    <w:tmpl w:val="FE9AE5E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CA3A0D"/>
    <w:multiLevelType w:val="hybridMultilevel"/>
    <w:tmpl w:val="935CC85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EF72921"/>
    <w:multiLevelType w:val="hybridMultilevel"/>
    <w:tmpl w:val="98A0C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0F5F"/>
    <w:rsid w:val="00043706"/>
    <w:rsid w:val="00050CBB"/>
    <w:rsid w:val="00052DCC"/>
    <w:rsid w:val="00054F88"/>
    <w:rsid w:val="000573FC"/>
    <w:rsid w:val="0008448F"/>
    <w:rsid w:val="00085D1C"/>
    <w:rsid w:val="00097069"/>
    <w:rsid w:val="000A695B"/>
    <w:rsid w:val="000A72E0"/>
    <w:rsid w:val="000B744D"/>
    <w:rsid w:val="000B7F73"/>
    <w:rsid w:val="000C6263"/>
    <w:rsid w:val="000F2BE9"/>
    <w:rsid w:val="00100C7B"/>
    <w:rsid w:val="00101D5C"/>
    <w:rsid w:val="00110534"/>
    <w:rsid w:val="001203BD"/>
    <w:rsid w:val="001226BD"/>
    <w:rsid w:val="00123793"/>
    <w:rsid w:val="0013000B"/>
    <w:rsid w:val="0013178B"/>
    <w:rsid w:val="00147054"/>
    <w:rsid w:val="00153A30"/>
    <w:rsid w:val="001644F6"/>
    <w:rsid w:val="00165F39"/>
    <w:rsid w:val="001670C0"/>
    <w:rsid w:val="00175C69"/>
    <w:rsid w:val="0017762E"/>
    <w:rsid w:val="001B23B7"/>
    <w:rsid w:val="001D18CC"/>
    <w:rsid w:val="001D74FE"/>
    <w:rsid w:val="001E3562"/>
    <w:rsid w:val="00203EE3"/>
    <w:rsid w:val="00227C33"/>
    <w:rsid w:val="00230BAE"/>
    <w:rsid w:val="0023360B"/>
    <w:rsid w:val="00236D80"/>
    <w:rsid w:val="00237FEE"/>
    <w:rsid w:val="00243652"/>
    <w:rsid w:val="00254C2B"/>
    <w:rsid w:val="00257847"/>
    <w:rsid w:val="0027209F"/>
    <w:rsid w:val="00295C3B"/>
    <w:rsid w:val="002A15C3"/>
    <w:rsid w:val="002A7D0D"/>
    <w:rsid w:val="002C2D65"/>
    <w:rsid w:val="002E77C9"/>
    <w:rsid w:val="00346746"/>
    <w:rsid w:val="00346A25"/>
    <w:rsid w:val="0036668C"/>
    <w:rsid w:val="00366A2B"/>
    <w:rsid w:val="00376F87"/>
    <w:rsid w:val="003777F9"/>
    <w:rsid w:val="003812F5"/>
    <w:rsid w:val="00385CED"/>
    <w:rsid w:val="003960AF"/>
    <w:rsid w:val="003A057B"/>
    <w:rsid w:val="003A33A4"/>
    <w:rsid w:val="003A6554"/>
    <w:rsid w:val="003C2BD2"/>
    <w:rsid w:val="003C6CF4"/>
    <w:rsid w:val="003D0E41"/>
    <w:rsid w:val="003E14D8"/>
    <w:rsid w:val="003E2C5F"/>
    <w:rsid w:val="00400F45"/>
    <w:rsid w:val="00406395"/>
    <w:rsid w:val="00423069"/>
    <w:rsid w:val="00423B3A"/>
    <w:rsid w:val="00433086"/>
    <w:rsid w:val="0045293D"/>
    <w:rsid w:val="00462DC2"/>
    <w:rsid w:val="00463C1B"/>
    <w:rsid w:val="00491F91"/>
    <w:rsid w:val="0049476D"/>
    <w:rsid w:val="004A4383"/>
    <w:rsid w:val="004C23C5"/>
    <w:rsid w:val="004D3654"/>
    <w:rsid w:val="004D3E81"/>
    <w:rsid w:val="004E6673"/>
    <w:rsid w:val="004E7F58"/>
    <w:rsid w:val="004E7F84"/>
    <w:rsid w:val="00501A0E"/>
    <w:rsid w:val="00502A93"/>
    <w:rsid w:val="00517FBA"/>
    <w:rsid w:val="00553185"/>
    <w:rsid w:val="005721B6"/>
    <w:rsid w:val="00577B48"/>
    <w:rsid w:val="00591EC6"/>
    <w:rsid w:val="005A42D4"/>
    <w:rsid w:val="005C2216"/>
    <w:rsid w:val="005D0B47"/>
    <w:rsid w:val="005D159F"/>
    <w:rsid w:val="005E3D41"/>
    <w:rsid w:val="00606BDE"/>
    <w:rsid w:val="00617813"/>
    <w:rsid w:val="00620FFE"/>
    <w:rsid w:val="006321C1"/>
    <w:rsid w:val="00655C58"/>
    <w:rsid w:val="0065709A"/>
    <w:rsid w:val="006832D4"/>
    <w:rsid w:val="00693F2A"/>
    <w:rsid w:val="006A2451"/>
    <w:rsid w:val="006A2B38"/>
    <w:rsid w:val="006C5145"/>
    <w:rsid w:val="006D626D"/>
    <w:rsid w:val="006D6326"/>
    <w:rsid w:val="006E38E7"/>
    <w:rsid w:val="006E74BE"/>
    <w:rsid w:val="006F678E"/>
    <w:rsid w:val="007147C7"/>
    <w:rsid w:val="00720322"/>
    <w:rsid w:val="00734E5A"/>
    <w:rsid w:val="00742921"/>
    <w:rsid w:val="00742AB6"/>
    <w:rsid w:val="00750869"/>
    <w:rsid w:val="0075197E"/>
    <w:rsid w:val="00761208"/>
    <w:rsid w:val="0076304B"/>
    <w:rsid w:val="00771B7B"/>
    <w:rsid w:val="007737ED"/>
    <w:rsid w:val="00775BE5"/>
    <w:rsid w:val="00787F16"/>
    <w:rsid w:val="00791D05"/>
    <w:rsid w:val="00796095"/>
    <w:rsid w:val="007A1BFC"/>
    <w:rsid w:val="007B40C1"/>
    <w:rsid w:val="007B5E2F"/>
    <w:rsid w:val="007D3F83"/>
    <w:rsid w:val="007E653E"/>
    <w:rsid w:val="008211EC"/>
    <w:rsid w:val="00844FE9"/>
    <w:rsid w:val="00865E81"/>
    <w:rsid w:val="00866355"/>
    <w:rsid w:val="008801B5"/>
    <w:rsid w:val="00887ABE"/>
    <w:rsid w:val="00893842"/>
    <w:rsid w:val="008B222D"/>
    <w:rsid w:val="008B381F"/>
    <w:rsid w:val="008B3D10"/>
    <w:rsid w:val="008B4C20"/>
    <w:rsid w:val="008C161A"/>
    <w:rsid w:val="008C79B7"/>
    <w:rsid w:val="008D48DA"/>
    <w:rsid w:val="008F3D29"/>
    <w:rsid w:val="00915ED9"/>
    <w:rsid w:val="009244C3"/>
    <w:rsid w:val="009265C6"/>
    <w:rsid w:val="009431E3"/>
    <w:rsid w:val="00944473"/>
    <w:rsid w:val="00945C94"/>
    <w:rsid w:val="009475F5"/>
    <w:rsid w:val="00960035"/>
    <w:rsid w:val="00963492"/>
    <w:rsid w:val="00964E7D"/>
    <w:rsid w:val="0096602A"/>
    <w:rsid w:val="00967D68"/>
    <w:rsid w:val="009717F5"/>
    <w:rsid w:val="00991831"/>
    <w:rsid w:val="009973F7"/>
    <w:rsid w:val="009B285C"/>
    <w:rsid w:val="009B3842"/>
    <w:rsid w:val="009B641B"/>
    <w:rsid w:val="009C424C"/>
    <w:rsid w:val="009D28C4"/>
    <w:rsid w:val="009E09F7"/>
    <w:rsid w:val="009E0DB1"/>
    <w:rsid w:val="009F0D68"/>
    <w:rsid w:val="009F4832"/>
    <w:rsid w:val="00A050B9"/>
    <w:rsid w:val="00A0760B"/>
    <w:rsid w:val="00A2411E"/>
    <w:rsid w:val="00A2507D"/>
    <w:rsid w:val="00A340BB"/>
    <w:rsid w:val="00A422D6"/>
    <w:rsid w:val="00A63526"/>
    <w:rsid w:val="00A64D67"/>
    <w:rsid w:val="00A84D0B"/>
    <w:rsid w:val="00A94E12"/>
    <w:rsid w:val="00A94FAF"/>
    <w:rsid w:val="00AB20C6"/>
    <w:rsid w:val="00AB6104"/>
    <w:rsid w:val="00AC30D6"/>
    <w:rsid w:val="00AC3F54"/>
    <w:rsid w:val="00AE5E83"/>
    <w:rsid w:val="00AF19B0"/>
    <w:rsid w:val="00B0046A"/>
    <w:rsid w:val="00B07BAF"/>
    <w:rsid w:val="00B525A3"/>
    <w:rsid w:val="00B5317C"/>
    <w:rsid w:val="00B547F5"/>
    <w:rsid w:val="00B662D1"/>
    <w:rsid w:val="00B84F87"/>
    <w:rsid w:val="00B973A7"/>
    <w:rsid w:val="00BA2BF4"/>
    <w:rsid w:val="00BA4541"/>
    <w:rsid w:val="00BB6B68"/>
    <w:rsid w:val="00BC2196"/>
    <w:rsid w:val="00BF2880"/>
    <w:rsid w:val="00BF7E1F"/>
    <w:rsid w:val="00C02910"/>
    <w:rsid w:val="00C03E0A"/>
    <w:rsid w:val="00C07756"/>
    <w:rsid w:val="00C139CD"/>
    <w:rsid w:val="00C16A7E"/>
    <w:rsid w:val="00C25BA8"/>
    <w:rsid w:val="00C27945"/>
    <w:rsid w:val="00C35C8E"/>
    <w:rsid w:val="00C4021A"/>
    <w:rsid w:val="00C6610E"/>
    <w:rsid w:val="00C7109A"/>
    <w:rsid w:val="00C72ED4"/>
    <w:rsid w:val="00CA101C"/>
    <w:rsid w:val="00CB2D57"/>
    <w:rsid w:val="00CD5636"/>
    <w:rsid w:val="00CE6AAE"/>
    <w:rsid w:val="00CF1A25"/>
    <w:rsid w:val="00D0042D"/>
    <w:rsid w:val="00D16620"/>
    <w:rsid w:val="00D17A89"/>
    <w:rsid w:val="00D20021"/>
    <w:rsid w:val="00D2313B"/>
    <w:rsid w:val="00D65439"/>
    <w:rsid w:val="00D71DDE"/>
    <w:rsid w:val="00D85980"/>
    <w:rsid w:val="00D90685"/>
    <w:rsid w:val="00D9176B"/>
    <w:rsid w:val="00D96403"/>
    <w:rsid w:val="00DA041C"/>
    <w:rsid w:val="00DB0B45"/>
    <w:rsid w:val="00DC3AA8"/>
    <w:rsid w:val="00DD616E"/>
    <w:rsid w:val="00DE652C"/>
    <w:rsid w:val="00DF357C"/>
    <w:rsid w:val="00E234CC"/>
    <w:rsid w:val="00E37E95"/>
    <w:rsid w:val="00E41740"/>
    <w:rsid w:val="00E61E7A"/>
    <w:rsid w:val="00E7276A"/>
    <w:rsid w:val="00E97125"/>
    <w:rsid w:val="00EA1A46"/>
    <w:rsid w:val="00EA509A"/>
    <w:rsid w:val="00EB1B37"/>
    <w:rsid w:val="00EB2A70"/>
    <w:rsid w:val="00ED5708"/>
    <w:rsid w:val="00EE1A16"/>
    <w:rsid w:val="00EF58FD"/>
    <w:rsid w:val="00F004B4"/>
    <w:rsid w:val="00F10219"/>
    <w:rsid w:val="00F13A6D"/>
    <w:rsid w:val="00F208E0"/>
    <w:rsid w:val="00F232D4"/>
    <w:rsid w:val="00F3450A"/>
    <w:rsid w:val="00F35D99"/>
    <w:rsid w:val="00F435B9"/>
    <w:rsid w:val="00F55C9B"/>
    <w:rsid w:val="00F7238B"/>
    <w:rsid w:val="00F7699C"/>
    <w:rsid w:val="00F87681"/>
    <w:rsid w:val="00FA3274"/>
    <w:rsid w:val="00FC74A0"/>
    <w:rsid w:val="00FE35DF"/>
    <w:rsid w:val="00FE5C7D"/>
    <w:rsid w:val="06F06261"/>
    <w:rsid w:val="0A53D7AD"/>
    <w:rsid w:val="0FB83A1B"/>
    <w:rsid w:val="17F95A60"/>
    <w:rsid w:val="1D648CD8"/>
    <w:rsid w:val="1DDF09A6"/>
    <w:rsid w:val="1FA24477"/>
    <w:rsid w:val="20DA65F3"/>
    <w:rsid w:val="22CBAF2B"/>
    <w:rsid w:val="270AA02D"/>
    <w:rsid w:val="279C7F3E"/>
    <w:rsid w:val="2AD42000"/>
    <w:rsid w:val="2D10DB8D"/>
    <w:rsid w:val="2F49226F"/>
    <w:rsid w:val="395660EF"/>
    <w:rsid w:val="3A20C44B"/>
    <w:rsid w:val="3E29D212"/>
    <w:rsid w:val="42FD4335"/>
    <w:rsid w:val="46826307"/>
    <w:rsid w:val="47619B1D"/>
    <w:rsid w:val="4AA1E49C"/>
    <w:rsid w:val="4B2AC059"/>
    <w:rsid w:val="4B7491AC"/>
    <w:rsid w:val="4CC97F4E"/>
    <w:rsid w:val="4D0EC58C"/>
    <w:rsid w:val="50121297"/>
    <w:rsid w:val="506F30D3"/>
    <w:rsid w:val="519156BD"/>
    <w:rsid w:val="52ACF681"/>
    <w:rsid w:val="53EE0195"/>
    <w:rsid w:val="5ECA43BE"/>
    <w:rsid w:val="5F8F531A"/>
    <w:rsid w:val="61F05A11"/>
    <w:rsid w:val="6201E480"/>
    <w:rsid w:val="6557F5B6"/>
    <w:rsid w:val="6586CD63"/>
    <w:rsid w:val="68712604"/>
    <w:rsid w:val="698D8124"/>
    <w:rsid w:val="6A0CF665"/>
    <w:rsid w:val="6B831F1A"/>
    <w:rsid w:val="749FEB1B"/>
    <w:rsid w:val="779A75F4"/>
    <w:rsid w:val="7801E3AE"/>
    <w:rsid w:val="7D317C3E"/>
    <w:rsid w:val="7E3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2F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qFormat/>
    <w:rsid w:val="009244C3"/>
    <w:pPr>
      <w:keepNext/>
      <w:numPr>
        <w:ilvl w:val="3"/>
        <w:numId w:val="8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9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C3F54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50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0C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0C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0C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0CBB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4D67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9244C3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44C3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44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mnodkaz">
    <w:name w:val="Subtle Reference"/>
    <w:basedOn w:val="Predvolenpsmoodseku"/>
    <w:uiPriority w:val="31"/>
    <w:qFormat/>
    <w:rsid w:val="009244C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ica.kasikova@mirri.go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ri.gov.sk/aktuality/informatizacia/mirri-spusti-v-spolupraci-s-odbornou-komunitou-prieskum-zamerany-na-dodrziavanie-zakona-o-e-governmente-vysledkom-bude-prehodnotenie-niektorych-opatreni-a-priprava-novely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2" ma:contentTypeDescription="Umožňuje vytvoriť nový dokument." ma:contentTypeScope="" ma:versionID="cc89b249e98e5487532d48b06a68f329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3a6c984622b20c60ee6a909417a392a6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E10C3-C98E-4860-9E63-9E208B6274AA}">
  <ds:schemaRefs>
    <ds:schemaRef ds:uri="http://schemas.microsoft.com/office/2006/metadata/properties"/>
    <ds:schemaRef ds:uri="http://purl.org/dc/terms/"/>
    <ds:schemaRef ds:uri="http://www.w3.org/XML/1998/namespace"/>
    <ds:schemaRef ds:uri="06bfda07-6849-4116-b84b-df74772f1672"/>
    <ds:schemaRef ds:uri="http://schemas.microsoft.com/office/2006/documentManagement/types"/>
    <ds:schemaRef ds:uri="http://purl.org/dc/elements/1.1/"/>
    <ds:schemaRef ds:uri="45a0424a-b6ff-4064-ab3b-f5cc1d862c5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81CE94E-4F41-4127-96AF-9EF0933D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5CCAE-72A3-410A-AB06-F0AB7B5E2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dolozka vplyvov</vt:lpstr>
    </vt:vector>
  </TitlesOfParts>
  <Company>Ministerstvo hospodárstva Slovenskej republiky</Company>
  <LinksUpToDate>false</LinksUpToDate>
  <CharactersWithSpaces>30601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dolozka vplyvov</dc:title>
  <dc:subject/>
  <dc:creator>Kasikova Lubica</dc:creator>
  <cp:keywords/>
  <dc:description/>
  <cp:lastModifiedBy>Synková, Nikola</cp:lastModifiedBy>
  <cp:revision>4</cp:revision>
  <dcterms:created xsi:type="dcterms:W3CDTF">2022-05-11T12:25:00Z</dcterms:created>
  <dcterms:modified xsi:type="dcterms:W3CDTF">2022-05-12T07:35:00Z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0x0101002D1A6EB6880B7E40B60BC2B9D08D06BA</vt:lpwstr>
  </property>
</Properties>
</file>