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3" w:rsidRPr="00DB13A3" w:rsidRDefault="000736C2">
      <w:pPr>
        <w:pStyle w:val="PrefixBold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</w:pPr>
      <w:bookmarkStart w:id="0" w:name="_GoBack"/>
      <w:bookmarkEnd w:id="0"/>
      <w:r w:rsidRPr="00DB13A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  <w:t>(Návrh)</w:t>
      </w:r>
    </w:p>
    <w:p w:rsidR="008D6B43" w:rsidRPr="00DB13A3" w:rsidRDefault="008D6B43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" w:name="3247441"/>
      <w:bookmarkEnd w:id="1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VYHLÁŠKA</w:t>
      </w:r>
    </w:p>
    <w:p w:rsidR="007221F6" w:rsidRPr="00DB13A3" w:rsidRDefault="00200F2E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" w:name="3247442"/>
      <w:bookmarkEnd w:id="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Ministerstva hospodárstva Slovenskej republiky</w:t>
      </w:r>
    </w:p>
    <w:p w:rsidR="00DB13A3" w:rsidRPr="00DB13A3" w:rsidRDefault="00DB13A3" w:rsidP="00DB13A3">
      <w:pPr>
        <w:pStyle w:val="PrefixBold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 w:rsidP="00DB13A3">
      <w:pPr>
        <w:pStyle w:val="PrefixPredpisDatum"/>
        <w:spacing w:before="0"/>
        <w:rPr>
          <w:rFonts w:ascii="Times New Roman" w:hAnsi="Times New Roman" w:cs="Times New Roman"/>
          <w:color w:val="000000" w:themeColor="text1"/>
          <w:lang w:val="sk-SK"/>
        </w:rPr>
      </w:pPr>
      <w:bookmarkStart w:id="3" w:name="3247443"/>
      <w:bookmarkEnd w:id="3"/>
      <w:r w:rsidRPr="00DB13A3">
        <w:rPr>
          <w:rFonts w:ascii="Times New Roman" w:hAnsi="Times New Roman" w:cs="Times New Roman"/>
          <w:color w:val="000000" w:themeColor="text1"/>
          <w:lang w:val="sk-SK"/>
        </w:rPr>
        <w:t xml:space="preserve">z </w:t>
      </w:r>
      <w:r w:rsidR="00875BF0" w:rsidRPr="00DB13A3">
        <w:rPr>
          <w:rFonts w:ascii="Times New Roman" w:hAnsi="Times New Roman" w:cs="Times New Roman"/>
          <w:color w:val="000000" w:themeColor="text1"/>
          <w:lang w:val="sk-SK"/>
        </w:rPr>
        <w:t>… 2022,</w:t>
      </w:r>
    </w:p>
    <w:p w:rsidR="00DB13A3" w:rsidRPr="00DB13A3" w:rsidRDefault="00DB13A3" w:rsidP="00DB13A3">
      <w:pPr>
        <w:pStyle w:val="PrefixPredpisDatum"/>
        <w:spacing w:before="0" w:after="0"/>
        <w:rPr>
          <w:rFonts w:ascii="Times New Roman" w:hAnsi="Times New Roman" w:cs="Times New Roman"/>
          <w:color w:val="000000" w:themeColor="text1"/>
          <w:lang w:val="sk-SK"/>
        </w:rPr>
      </w:pPr>
    </w:p>
    <w:p w:rsidR="007221F6" w:rsidRPr="00DB13A3" w:rsidRDefault="00200F2E">
      <w:pPr>
        <w:pStyle w:val="PrefixTitle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" w:name="3247444"/>
      <w:bookmarkEnd w:id="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ktorou sa vykonávajú niektoré ustanovenia zákona č. 309/2009 Z. z. o podpore obnoviteľných zdrojov energie a vysoko účinnej kombinovanej výroby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" w:name="3247445"/>
      <w:bookmarkEnd w:id="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Ministerstvo hospodárstva Slovenskej republiky podľa </w:t>
      </w:r>
      <w:hyperlink r:id="rId7" w:anchor="f3648506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 xml:space="preserve">§ 19 ods. 1 písm. i) až k) zákona </w:t>
        </w:r>
        <w:r w:rsid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 xml:space="preserve">                          </w:t>
        </w:r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č. 309/2009 Z. z.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 podpore obnoviteľných zdrojov energie a vysoko účinnej kombinovanej výroby a o zmene a doplnení niektorých zákonov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 znení neskorších predpisov 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(ďalej len „zákon“) ustanovuje: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" w:name="3247447"/>
      <w:bookmarkEnd w:id="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Predmet úpravy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" w:name="3247449"/>
      <w:bookmarkEnd w:id="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Táto vyhláška upravuje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" w:name="3247450"/>
      <w:bookmarkEnd w:id="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spôsob výpočtu podielu energie z obnoviteľných zdrojov,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" w:name="3247451"/>
      <w:bookmarkEnd w:id="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spôsob výpočtu národného cieľa uvedeného v Národnom akčnom pláne pre energiu z obnoviteľných zdrojov (ďalej len „národný cieľ“),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" w:name="3247452"/>
      <w:bookmarkEnd w:id="1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obsah oznámenia o spoločnom projekte a podmienky pre započítanie elektriny vyrobenej z obnoviteľných zdrojov energie v štáte, ktorý nie je členským štátom (ďalej len „tretí štát“); členským štátom sa rozumie členský štát Európskej únie alebo štát, ktorý je zmluvnou stranou Dohody o Európskom hospodárskom priestore,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" w:name="3247453"/>
      <w:bookmarkEnd w:id="1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obsah správy o pokroku pri presadzovaní a využívaní energie z obnoviteľných zdrojov energie (ďalej len „správa o pokroku“).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" w:name="3247454"/>
      <w:bookmarkEnd w:id="1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podielu energie z obnoviteľných zdrojov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" w:name="3247456"/>
      <w:bookmarkEnd w:id="1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sa vypočíta ako podiel hrubej konečnej spotreby energie z obnoviteľných zdrojov energie a hrubej konečnej energetickej spotreby všetkých zdrojov energie.</w:t>
      </w:r>
    </w:p>
    <w:p w:rsid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" w:name="3247457"/>
      <w:bookmarkEnd w:id="1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sa vyjadruje v percentách.</w:t>
      </w:r>
      <w:bookmarkStart w:id="15" w:name="3247458"/>
      <w:bookmarkEnd w:id="15"/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spotreba energie z obnoviteľných zdrojov energie je súčet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6" w:name="3247459"/>
      <w:bookmarkEnd w:id="1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hrubej konečnej spotreby elektriny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7" w:name="3247460"/>
      <w:bookmarkEnd w:id="1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hrubej konečnej spotreby energie z obnoviteľných zdrojov energie na výrobu tepla a chladu,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8" w:name="3247461"/>
      <w:bookmarkEnd w:id="1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konečnej spotreby energie z obnoviteľných zdrojov energie v doprave.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9" w:name="3247462"/>
      <w:bookmarkEnd w:id="1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(4)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Plyn, elektrina a vodík z obnoviteľných zdrojov energie sa na účely výpočtu podľa odseku 3 zohľadňujú len jedenkrát.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0" w:name="3247463"/>
      <w:bookmarkEnd w:id="2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(5)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výpočtu podľa odseku 3 sa zohľadňujú len biopalivá a biokvapaliny, ktoré spĺňajú kritériá trvalej udržateľnosti.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1" w:name="3247464"/>
      <w:bookmarkEnd w:id="2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(6)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energetická spotreba všetkých zdrojov energie zahŕňa energetické komodity dodávané na energetické účely pre priemysel, dopravu, domácnosti, služby vrátane verejných služieb, poľnohospodárstvo, ako aj lesné a rybné hospodárstvo, vrátane spotreby elektriny a tepla zo strany energetických odvetví, ktoré sa zaoberajú výrobou elektriny a tepla, a vrátane strát elektriny a tepla počas distribúcie a prenosu.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2" w:name="3247465"/>
      <w:bookmarkEnd w:id="2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(7)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hrubej konečnej energetickej spotreby pre posudzovanie súladu podielu energie z obnoviteľných zdrojov energie s národným cieľom sa množstvo energie spotrebovanej v leteckej doprave, ako podiel na hrubej konečnej energetickej spotrebe daného členského štátu, považuje za neprevyšujúci 6,18 %.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3" w:name="3247466"/>
      <w:bookmarkEnd w:id="2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(8)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podielu energie z obnoviteľných zdrojov energie sa použije metodika a vymedzenie pojmov podľa osobitného predpisu.</w:t>
      </w:r>
      <w:hyperlink w:anchor="3247591" w:history="1">
        <w:r w:rsidRPr="00DB13A3">
          <w:rPr>
            <w:rStyle w:val="Odkaznavysvetlivku"/>
            <w:rFonts w:ascii="Times New Roman" w:hAnsi="Times New Roman" w:cs="Times New Roman"/>
            <w:color w:val="000000" w:themeColor="text1"/>
            <w:sz w:val="24"/>
            <w:szCs w:val="24"/>
            <w:lang w:val="sk-SK"/>
          </w:rPr>
          <w:t>1)</w:t>
        </w:r>
      </w:hyperlink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4" w:name="3247467"/>
      <w:bookmarkEnd w:id="2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3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hrubej konečnej spotreby elektriny z obnoviteľných zdrojov energie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5" w:name="3247469"/>
      <w:bookmarkEnd w:id="2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spotreba elektriny z obnoviteľných zdrojov energie sa vypočíta ako množstvo elektriny vyrobené z obnoviteľných zdrojov energie s výnimkou výroby elektriny z vody v prečerpávacích vodných elektrárňach, ktorú predtým prečerpali do hornej nádrže.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6" w:name="3247470"/>
      <w:bookmarkEnd w:id="2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elektriny v zariadení na výrobu elektriny, ktoré využíva obnoviteľné zdroje energie a neobnoviteľné zdroje energie, sa zohľadňuje len tá časť elektriny, ktorá bola vyrobená z obnoviteľných zdrojov energie. Na účely tohto výpočtu sa podiel každého zdroja energie vypočíta na základe jeho energetického obsahu.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7" w:name="3247471"/>
      <w:bookmarkEnd w:id="2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elektriny vyrobenej z vodnej energie a veternej energie sa na účely výpočtu podľa odseku 1 postupuje podľa normalizačných pravidiel uvedených v </w:t>
      </w:r>
      <w:hyperlink w:anchor="3247558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1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</w:rPr>
      </w:pPr>
      <w:r w:rsidRPr="00DB13A3">
        <w:rPr>
          <w:i/>
          <w:color w:val="000000" w:themeColor="text1"/>
          <w:sz w:val="24"/>
          <w:szCs w:val="24"/>
        </w:rPr>
        <w:t>(4) Elektrina z palív z biomasy sa zohľadňuje na účel uvedený v odseku 1 iba vtedy, ak spĺňa jednu alebo viaceré z týchto požiadaviek: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</w:rPr>
      </w:pPr>
      <w:r w:rsidRPr="00DB13A3">
        <w:rPr>
          <w:i/>
          <w:color w:val="000000" w:themeColor="text1"/>
          <w:sz w:val="24"/>
          <w:szCs w:val="24"/>
        </w:rPr>
        <w:t>a) vyrába sa v zariadeniach s celkovým menovitým tepelným príkonom nižším ako 50 MW alebo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  <w:shd w:val="clear" w:color="auto" w:fill="FFFFFF"/>
        </w:rPr>
      </w:pPr>
      <w:r w:rsidRPr="00DB13A3">
        <w:rPr>
          <w:i/>
          <w:color w:val="000000" w:themeColor="text1"/>
          <w:sz w:val="24"/>
          <w:szCs w:val="24"/>
        </w:rPr>
        <w:t>b) v prípade zariadení s celkovým menovitým tepelným príkonom od 50 do 100 MW sa vyrába technológiou vysokoúčinnej kombinovanej výroby, alebo v prípade zariadení vyrábajúcich iba elektrinu spĺňa úroveň energetickej efektívnosti súvisiacu s najlepšími dostupnými technológiami (BAT-AEEL) v zmysle vykonávacieho rozhodnutia Komisie (EÚ) 2017/1442;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  <w:shd w:val="clear" w:color="auto" w:fill="FFFFFF"/>
        </w:rPr>
      </w:pPr>
      <w:r w:rsidRPr="00DB13A3">
        <w:rPr>
          <w:i/>
          <w:color w:val="000000" w:themeColor="text1"/>
          <w:sz w:val="24"/>
          <w:szCs w:val="24"/>
          <w:shd w:val="clear" w:color="auto" w:fill="FFFFFF"/>
        </w:rPr>
        <w:t xml:space="preserve">c) </w:t>
      </w:r>
      <w:r w:rsidRPr="00DB13A3">
        <w:rPr>
          <w:i/>
          <w:color w:val="000000" w:themeColor="text1"/>
          <w:sz w:val="24"/>
          <w:szCs w:val="24"/>
        </w:rPr>
        <w:t>v prípade zariadení s celkovým menovitým tepelným príkonom nad 100 MW, sa vyrába technológiou vysokoúčinnej kombinovanej výroby, alebo v prípade zariadení vyrábajúcich iba elektrinu dosahuje čistú elektrickú účinnosť aspoň 36 %;</w:t>
      </w:r>
    </w:p>
    <w:p w:rsidR="0010783F" w:rsidRPr="00DB13A3" w:rsidRDefault="0010783F" w:rsidP="0010783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d) vyrába sa s uplatnením zachytávania a ukladania CO</w:t>
      </w:r>
      <w:r w:rsidRPr="00DB13A3">
        <w:rPr>
          <w:rStyle w:val="sub"/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2</w:t>
      </w: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z biomasy.</w:t>
      </w:r>
    </w:p>
    <w:p w:rsidR="0010783F" w:rsidRPr="00DB13A3" w:rsidRDefault="0010783F" w:rsidP="0010783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(5) Na účel uvedený v odseku 1 sa zariadenia vyrábajúce iba elektrinu zohľadňujú len v prípade, ak nepoužívajú fosílne palivá ako hlavné palivo a len ak nie je k dispozícii nákladovo efektívny potenciál na uplatnenie technológie vysokoúčinnej kombinovanej výroby.</w:t>
      </w:r>
    </w:p>
    <w:p w:rsidR="0010783F" w:rsidRPr="00DB13A3" w:rsidRDefault="0010783F" w:rsidP="0010783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(6) Na účel uvedený v odseku 1 sa odseky 4 a 5 uplatňujú iba na zariadenia, ktoré začínajú prevádzku alebo prechádzajú na využívanie palív z biomasy po 25. decembri 2021.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8" w:name="3247472"/>
      <w:bookmarkEnd w:id="2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4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hrubej konečnej spotreby energie z obnoviteľných zdrojov energie na výrobu tepla a chladu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9" w:name="3247474"/>
      <w:bookmarkEnd w:id="2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spotreba energie z obnoviteľných zdrojov energie na výrobu tepla a chladu sa vypočíta ako súčet množstva energie na diaľkové zásobovanie teplom a chladom z obnoviteľných zdrojov energie a spotreby iných druhov energie z obnoviteľných zdrojov 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energie v priemysle, domácnostiach, službách, poľnohospodárstve, lesnom a rybnom hospodárstve, na účely vykurovania, chladenia a prevádzky.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0" w:name="3247475"/>
      <w:bookmarkEnd w:id="3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Aerotermálna energia, geotermálna energia a hydrotermálna energia zachytená tepelnými čerpadlami sa zohľadňuje na účely odseku 1, ak konečný energetický výstup trojnásobne prevyšuje vstup primárnej energie na pohon tepelných čerpadiel. Množstvo tepla považovaného za energiu z obnoviteľných zdrojov energie na účely tejto vyhlášky sa vypočíta podľa metodiky v </w:t>
      </w:r>
      <w:hyperlink w:anchor="3247575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2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1" w:name="3247476"/>
      <w:bookmarkEnd w:id="3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Tepelná energia vyrobená pasívnymi energetickými systémami, v ktorých sa nižšia energetická spotreba dosahuje pasívne prostredníctvom projektovania budov alebo z tepla vyrobeného z energie z neobnoviteľných zdrojov energie, sa na účely odseku 1 nezohľadňuje.</w:t>
      </w:r>
    </w:p>
    <w:p w:rsidR="008F19AE" w:rsidRPr="00DB13A3" w:rsidRDefault="008F19AE" w:rsidP="008F19AE">
      <w:pPr>
        <w:pStyle w:val="odsek"/>
        <w:spacing w:before="0" w:after="0"/>
        <w:ind w:firstLine="0"/>
        <w:rPr>
          <w:i/>
          <w:color w:val="000000" w:themeColor="text1"/>
        </w:rPr>
      </w:pPr>
      <w:r w:rsidRPr="00DB13A3">
        <w:rPr>
          <w:i/>
          <w:color w:val="000000" w:themeColor="text1"/>
        </w:rPr>
        <w:t xml:space="preserve">(4) Pri výpočte podielu energie z obnoviteľných zdrojov v odvetví vykurovania a chladenia sa môže započítať odpadové teplo a chlad do výšky 40 % priemerného ročného zvýšenia. </w:t>
      </w:r>
    </w:p>
    <w:p w:rsidR="008F19AE" w:rsidRPr="00DB13A3" w:rsidRDefault="008F19AE" w:rsidP="008F19AE">
      <w:pPr>
        <w:pStyle w:val="odsek"/>
        <w:spacing w:before="0" w:after="0"/>
        <w:ind w:firstLine="0"/>
        <w:rPr>
          <w:i/>
          <w:color w:val="000000" w:themeColor="text1"/>
        </w:rPr>
      </w:pPr>
      <w:r w:rsidRPr="00DB13A3">
        <w:rPr>
          <w:i/>
          <w:color w:val="000000" w:themeColor="text1"/>
        </w:rPr>
        <w:t>(5) Ak je podiel energie z obnoviteľných zdrojov v odvetví vykurovania a chladenia vyšší ako 60 %, započíta sa každý takýto podiel ako splnenie priemerného ročného zvýšenia.</w:t>
      </w:r>
    </w:p>
    <w:p w:rsidR="008F19AE" w:rsidRPr="00DB13A3" w:rsidRDefault="008F19AE" w:rsidP="008F19AE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(6) Ak podiel energie z obnoviteľných zdrojov v odvetví vykurovania a chladenia prevyšuje 50 % a dosahuje najviac 60 %, započíta sa každý takýto podiel ako splnenie polovice priemerného ročného zvýšenia.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2" w:name="3247477"/>
      <w:bookmarkEnd w:id="3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5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konečnej spotreby energie z obnoviteľných zdrojov v doprave</w:t>
      </w:r>
    </w:p>
    <w:p w:rsidR="007221F6" w:rsidRPr="00DB13A3" w:rsidRDefault="0070319A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3" w:name="3247479"/>
      <w:bookmarkEnd w:id="3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(1) </w:t>
      </w:r>
      <w:r w:rsidR="00200F2E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Pri výpočte konečnej spotreby energie z obnoviteľných zdrojov energie v doprave sa zohľadňuje energetický obsah motorových palív uvedený v </w:t>
      </w:r>
      <w:hyperlink w:anchor="3247583" w:history="1">
        <w:r w:rsidR="00200F2E"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3</w:t>
        </w:r>
      </w:hyperlink>
      <w:r w:rsidR="00200F2E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0319A" w:rsidRPr="00DB13A3" w:rsidRDefault="0070319A" w:rsidP="0070319A">
      <w:pPr>
        <w:pStyle w:val="tl10ptPodaokraja"/>
        <w:autoSpaceDE/>
        <w:autoSpaceDN/>
        <w:ind w:right="63"/>
        <w:rPr>
          <w:color w:val="000000" w:themeColor="text1"/>
          <w:sz w:val="24"/>
          <w:szCs w:val="24"/>
        </w:rPr>
      </w:pPr>
      <w:r w:rsidRPr="00DB13A3">
        <w:rPr>
          <w:color w:val="000000" w:themeColor="text1"/>
          <w:sz w:val="24"/>
          <w:szCs w:val="24"/>
        </w:rPr>
        <w:t>(2) Pri výpočte hrubej konečnej energetickej spotreby energie z obnoviteľných zdrojov a minimálneho podielu v doprave sa podiel z biopalív, biokvapalín alebo palív z biomasy vyrobených z potravinárskych alebo krmovinárskych plodín, pri ktorých hrozí vysoké riziko nepriamej zmeny využívania pôdy a pri ktorých bolo pozorované významné rozšírenie oblasti výroby na pôdu s vysokými zásobami uhlíka, nepresiahnu úroveň spotreby takýchto palív v roku 2019, pokiaľ tieto palivá nie sú certifikované ako biopalivá, biokvapaliny alebo palivá z biomasy s nízkym rizikom nepriamej zmeny využívania pôdy.</w:t>
      </w:r>
    </w:p>
    <w:p w:rsidR="0070319A" w:rsidRPr="00DB13A3" w:rsidRDefault="0070319A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4" w:name="3247480"/>
      <w:bookmarkEnd w:id="3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6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národného cieľa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5" w:name="3247482"/>
      <w:bookmarkEnd w:id="3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Podiel energie z obnoviteľných zdrojov energie </w:t>
      </w:r>
      <w:r w:rsidR="00ED175C"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je určený v integrovanom národnom energetickom a klimatickom pláne (ďalej len „národný cieľ“)</w:t>
      </w: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6" w:name="3247483"/>
      <w:bookmarkEnd w:id="3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národného cieľa sa zohľadňuje vplyv štatistických prenosov a spoločných projektov.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7" w:name="3247484"/>
      <w:bookmarkEnd w:id="3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v doprave pre výpočet národného cieľa je najmenej 1</w:t>
      </w:r>
      <w:r w:rsidR="00ED175C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4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% v roku 20</w:t>
      </w:r>
      <w:r w:rsidR="00ED175C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30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8" w:name="3247485"/>
      <w:bookmarkEnd w:id="3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7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Vplyv štatistických prenosov a spoločných projektov na výpočet národného cieľa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9" w:name="3247487"/>
      <w:bookmarkEnd w:id="3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štatistickom prenose sa prenesené množstvo energie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0" w:name="3247488"/>
      <w:bookmarkEnd w:id="4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odpočíta od množstva energie z obnoviteľných zdrojov energie, ktoré sa zohľadňuje pri výpočte národného cieľa, ak sa uskutočňuje prenos energie z obnoviteľných zdrojov energie do iného členského štátu,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1" w:name="3247489"/>
      <w:bookmarkEnd w:id="4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pripočíta k množstvu energie z obnoviteľných zdrojov energie, ktoré sa zohľadňuje pri výpočte národného cieľa, ak sa prijíma prenos energie z obnoviteľných zdrojov energie z iného členského štátu.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2" w:name="3247490"/>
      <w:bookmarkEnd w:id="4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spoločnom projekte medzi členskými štátmi sa oznámené množstvo elektriny, tepla alebo chladu z obnoviteľných zdrojov energie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3" w:name="3247491"/>
      <w:bookmarkEnd w:id="4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odpočíta od množstva elektriny, tepla alebo chladu z obnoviteľných zdrojov energie zohľadňovaného pri výpočte národného cieľa, ak sa podalo oznámenie podľa </w:t>
      </w:r>
      <w:hyperlink r:id="rId8" w:anchor="f3648109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9a ods. 4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4" w:name="3247492"/>
      <w:bookmarkEnd w:id="4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pripočíta k množstvu elektriny, tepla alebo chladu z obnoviteľných zdrojov energie zohľadňovaného pri výpočte národného cieľa, ak sa prijalo oznámenie podľa </w:t>
      </w:r>
      <w:hyperlink r:id="rId9" w:anchor="f3648109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9a ods. 4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5" w:name="3247493"/>
      <w:bookmarkEnd w:id="4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spoločnom projekte medzi členskými štátmi a tretím štátom sa množstvo elektriny z obnoviteľných zdrojov energie pripočíta k množstvu elektriny z obnoviteľných zdrojov energie zohľadňovanému pri výpočte národného cieľa, ak sú splnené podmienky podľa </w:t>
      </w:r>
      <w:hyperlink w:anchor="3247518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10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6" w:name="3247494"/>
      <w:bookmarkEnd w:id="4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8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podielu energie z obnoviteľných zdrojov v doprave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7" w:name="3247496"/>
      <w:bookmarkEnd w:id="4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v doprave sa vypočíta ako podiel množstva energie z obnoviteľných zdrojov spotrebovanej v doprave a celkového množstva energie spotrebovanej v doprave.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8" w:name="3247497"/>
      <w:bookmarkEnd w:id="4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množstva energie z obnoviteľných zdrojov spotrebovanej v doprave sa na účely výpočtu podľa odseku 1 zohľadňujú všetky druhy energie z obnoviteľných zdrojov spotrebovanej vo všetkých formách dopravy.</w:t>
      </w:r>
    </w:p>
    <w:p w:rsidR="007221F6" w:rsidRPr="00E54166" w:rsidRDefault="00200F2E" w:rsidP="00DB13A3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49" w:name="3247498"/>
      <w:bookmarkEnd w:id="49"/>
      <w:r w:rsidRPr="00E5416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(3)</w:t>
      </w:r>
      <w:r w:rsidRPr="00E5416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Pri výpočte celkového množstva energie spotrebovanej v doprave podľa odseku 1 sa zohľadňuje</w:t>
      </w:r>
    </w:p>
    <w:p w:rsidR="007221F6" w:rsidRPr="003F38C4" w:rsidRDefault="00200F2E">
      <w:pPr>
        <w:ind w:left="568" w:hanging="284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50" w:name="11188493"/>
      <w:bookmarkEnd w:id="50"/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a) 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energetický obsah 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benzín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u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 motorov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ej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naft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y,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zemného plynu, biopalív, bioplynu, kvapalných a plynných palív z obnoviteľných zdrojov nebiologického pôvodu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a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paliv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a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s obsahom recyklovaného uhlíka 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spotrebované v cestnej doprave a železničnej doprave a</w:t>
      </w:r>
    </w:p>
    <w:p w:rsidR="003F38C4" w:rsidRPr="003F38C4" w:rsidRDefault="00200F2E">
      <w:pPr>
        <w:ind w:left="568" w:hanging="284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51" w:name="11188494"/>
      <w:bookmarkEnd w:id="51"/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b) elektrina 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dodaná v 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cestnej 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doprave 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a železničnej doprave.</w:t>
      </w:r>
    </w:p>
    <w:p w:rsidR="00A2621E" w:rsidRPr="00DB13A3" w:rsidRDefault="00DB13A3" w:rsidP="00DB13A3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52" w:name="3247499"/>
      <w:bookmarkEnd w:id="52"/>
      <w:r w:rsidRPr="00DB13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</w:t>
      </w:r>
      <w:r w:rsidR="00A2621E" w:rsidRPr="00DB13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(4)</w:t>
      </w:r>
      <w:r w:rsidR="00A2621E"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zdrojov energie v Slovenskej republike dosiahnutý dva roky pred rokom výpočtu.</w:t>
      </w:r>
      <w:r w:rsidR="00A2621E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A2621E"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 prípade elektriny získavanej z priameho prepojenia na zariadenie vyrábajúce elektrinu z obnoviteľných zdrojov a dodávanej cestným vozidlám, sa táto elektrina plne započíta ako elektrina z obnoviteľných zdrojov energie.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bookmarkStart w:id="53" w:name="3247502"/>
      <w:bookmarkEnd w:id="53"/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(5) Pri výpočte podľa odseku 2 sa množstvo elektriny z obnoviteľných zdrojov energie počíta ako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bookmarkStart w:id="54" w:name="_Hlk97979001"/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a) 1,5-násobok energetického obsahu elektriny z obnoviteľných zdrojov energie spotrebovanej elektrifikovanou železničnou dopravou,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b) 4-násobok energetického obsahu elektriny z obnoviteľných zdrojov energie spotrebovanej cestnými vozidlami na elektrický pohon.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5" w:name="3247503"/>
      <w:bookmarkEnd w:id="54"/>
      <w:bookmarkEnd w:id="5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(6)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podľa odseku 2 sa príspevok biopalív vyrobených z použitého kuchynského oleja, živočíšnych tukov zaradených do kategórií 1 a 2 podľa osobitného predpisu</w:t>
      </w:r>
      <w:hyperlink w:anchor="11188510" w:history="1">
        <w:r w:rsidRPr="00DB13A3">
          <w:rPr>
            <w:rStyle w:val="Odkaznavysvetlivku"/>
            <w:rFonts w:ascii="Times New Roman" w:hAnsi="Times New Roman" w:cs="Times New Roman"/>
            <w:color w:val="000000" w:themeColor="text1"/>
            <w:sz w:val="24"/>
            <w:szCs w:val="24"/>
            <w:lang w:val="sk-SK"/>
          </w:rPr>
          <w:t>2)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 pokročilých biopalív podľa </w:t>
      </w:r>
      <w:hyperlink r:id="rId10" w:anchor="f4723942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14f ods. 1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započíta dvojnásobne.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6" w:name="3247504"/>
      <w:bookmarkEnd w:id="5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(7)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výpočtu podielu energie z obnoviteľných zdrojov v doprave sa zohľadňuje energetický obsah motorových palív uvedený v </w:t>
      </w:r>
      <w:hyperlink w:anchor="3247583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3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DB13A3" w:rsidRDefault="00200F2E" w:rsidP="00A2621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7" w:name="11188502"/>
      <w:bookmarkEnd w:id="5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(8)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podľa odseku 2 sa nezapočíta príspevok biopalív a biokvapalín vyrobených z plodín bohatých na škrob, olejnín a plodín, ktoré sa pestujú ako hlavné plodiny najmä na energetické účely na poľnohospodárskej pôde, presahujúci 7 % podielu energie z obnoviteľných zdrojov energie v doprave.</w:t>
      </w:r>
    </w:p>
    <w:p w:rsidR="00A2621E" w:rsidRPr="00DB13A3" w:rsidRDefault="00A2621E" w:rsidP="00A2621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(9) Pri výpočte čitateľa sa podiel z biopalív a bioplynu vyrábaných zo surovín uvedených v časti B prílohy IX, obmedzí na 1,7 % energetického obsahu palív v doprave dodávaných na spotrebu alebo použitie na trhu.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(10) Pri výpočte podľa odseku 2 sa príspevok palív dodávaných do odvetvia leteckej a námornej dopravy považuje za 1,2 násobok ich energetického obsahu, ak neboli vyrobené z potravinárskych a krmovinárskych plodín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:rsidR="00A2621E" w:rsidRPr="00DB13A3" w:rsidRDefault="00A2621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8" w:name="3247505"/>
      <w:bookmarkEnd w:id="5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9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Obsah oznámenia o spoločnom projekte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9" w:name="3247507"/>
      <w:bookmarkEnd w:id="5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Oznámenie o spoločnom projekte medzi členskými štátmi obsahuje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0" w:name="3247508"/>
      <w:bookmarkEnd w:id="6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popis navrhovaného zariadenia alebo názov rekonštruovaného zariadenia,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1" w:name="3247509"/>
      <w:bookmarkEnd w:id="6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alebo množstvo elektriny, tepla alebo chladu vyrobeného v tomto zariadení, ktoré sa má započítať do národného cieľa iného členského štátu,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2" w:name="3247510"/>
      <w:bookmarkEnd w:id="6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členský štát, v ktorého prospech sa oznámenie podáva,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3" w:name="3247511"/>
      <w:bookmarkEnd w:id="6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obdobie v celých kalendárnych rokoch, počas ktorého sa má elektrina, teplo alebo chlad vyrobené z obnoviteľných zdrojov energie v tomto zariadení započítať do národného cieľa iného členského štátu.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4" w:name="3247512"/>
      <w:bookmarkEnd w:id="6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Oznámenie o spoločnom projekte medzi členskými štátmi a tretím štátom obsahuje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5" w:name="3247513"/>
      <w:bookmarkEnd w:id="6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popis navrhovaného zariadenia alebo názov rekonštruovaného zariadenia,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6" w:name="3247514"/>
      <w:bookmarkEnd w:id="6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alebo množstvo elektriny vyrobenej v tomto zariadení, ktoré sa má započítať do národného cieľa členského štátu, a pri dodržaní požiadaviek na zachovanie dôvernosti sa uvedú aj súvisiace finančné dojednania,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7" w:name="3247515"/>
      <w:bookmarkEnd w:id="6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obdobie v celých kalendárnych rokoch, počas ktorého sa má elektrina započítavať do národného cieľa členského štátu,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8" w:name="3247516"/>
      <w:bookmarkEnd w:id="6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písomný súhlas tretieho štátu, na ktorého území sa má zariadenie prevádzkovať, so skutočnosťami uvedenými v písmenách b) a c) a a vyhlásenie o podiele alebo množstve elektriny vyrobenej v zariadení, ktorá sa použije v tomto treťom štáte.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9" w:name="3247517"/>
      <w:bookmarkEnd w:id="6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Ak je zvýšený výkon zariadenia, ktoré je obsahom oznámenia podľa odsekov 1 a 2, množstvo energie, ktoré sa vzťahuje na zvýšený výkon, sa považuje za množstvo energie vyrobené iným zariadením.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0" w:name="3247518"/>
      <w:bookmarkEnd w:id="7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10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Podmienky pre započítanie elektriny vyrobenej z obnoviteľných zdrojov energie v tretích štátoch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1" w:name="3247520"/>
      <w:bookmarkEnd w:id="7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Podmienky pre započítanie elektriny vyrobenej z obnoviteľných zdrojov energie v tretích štátoch pri výpočte národného cieľa sú tieto: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2" w:name="3247521"/>
      <w:bookmarkEnd w:id="7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elektrina sa spotrebúva v Európskej únii,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3" w:name="3247522"/>
      <w:bookmarkEnd w:id="7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elektrina sa vyrába v zariadení, ktoré bolo uvedené do prevádzky po 25. júni 2009 alebo sa vyrába zo zvýšenej kapacity zariadenia, ktoré bolo rekonštruované po 25. júni 2009 v rámci spoločného projektu,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4" w:name="3247523"/>
      <w:bookmarkEnd w:id="7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množstvo vyrobenej a vyvezenej elektriny nezískalo podporu zo systému podpory tretieho štátu s výnimkou investičnej pomoci udelenej zariadeniu.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5" w:name="3247524"/>
      <w:bookmarkEnd w:id="7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Požiadavka podľa odseku 1 písm. a) sa považuje za splnenú, ak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6" w:name="3247525"/>
      <w:bookmarkEnd w:id="7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všetci príslušní prevádzkovatelia prenosovej sústavy v krajine pôvodu, krajine určenia a v prípade potreby aj v každom treťom štáte tranzitu pevne určili množstvo elektriny, ktoré zodpovedá započítanej elektrine, do pridelenej kapacity spojenia,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7" w:name="3247526"/>
      <w:bookmarkEnd w:id="7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príslušný prevádzkovateľ prenosovej sústavy na strane členské štátu v rámci spojovacieho vedenia pevne zaregistroval do plánovaného stavu ekvivalent množstva elektriny, ktoré zodpovedá započítanej elektrine,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8" w:name="3247527"/>
      <w:bookmarkEnd w:id="7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určená kapacita a výroba elektriny z obnoviteľných zdrojov energie v zariadení uvedenom v odseku 1 písm. b) sa týkajú rovnakého časového obdobia.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9" w:name="3247528"/>
      <w:bookmarkEnd w:id="79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11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Obsah správy o pokroku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0" w:name="3247530"/>
      <w:bookmarkEnd w:id="8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Správa o pokroku zasielaná Ministerstvom hospodárstva Slovenskej republiky podľa </w:t>
      </w:r>
      <w:hyperlink r:id="rId11" w:anchor="f3648474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18c ods. 4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obsahuje informácie o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1" w:name="3247531"/>
      <w:bookmarkEnd w:id="8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odvetvových podieloch a celkových podieloch energie z obnoviteľných zdrojov energie za predchádzajúce dva kalendárne roky a o opatreniach prijatých alebo plánovaných na vnútroštátnej úrovni a zameraných na podporu rastu využívania energie z obnoviteľných zdrojov energie s ohľadom na orientačnú trajektóriu,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2" w:name="3247532"/>
      <w:bookmarkEnd w:id="8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zavedení a fungovaní systémov podpory a iných opatrení zameraných na podporu využívania energie z obnoviteľných zdrojov energie a o akomkoľvek vývoji týkajúcom sa opatrení, ktoré boli použité so zreteľom na opatrenia stanovené v národných akčných plánoch členských štátov pre energiu z obnoviteľných zdrojov energie, a informácie o prideľovaní podporovanej elektriny koncovým spotrebiteľom,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3" w:name="3247533"/>
      <w:bookmarkEnd w:id="8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tom, ako v uplatniteľných prípadoch v štruktúre svojich systémov podpory sa zohľadňuje spôsob využitia energie z obnoviteľných zdrojov energie, ktoré poskytujú dodatočný prínos vo vzťahu k iným, porovnateľným spôsobom, ale môžu byť aj nákladnejšie, vrátane biopalív vyrobených z odpadov, zvyškov, nepotravinárskych celulózových materiálov a z lignocelulózových materiálov,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4" w:name="3247534"/>
      <w:bookmarkEnd w:id="8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fungovaní systému záruk o pôvode pre elektrinu, teplo a chlad z obnoviteľných zdrojov energie a o opatreniach prijatých na zaistenie spoľahlivosti systému a jeho ochrany proti podvodom,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5" w:name="3247535"/>
      <w:bookmarkEnd w:id="8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e)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pokroku vykonanom v hodnotení a zlepšovaní administratívnych postupov s cieľom odstrániť regulačné a neregulačné prekážky rozvoja energie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6" w:name="3247536"/>
      <w:bookmarkEnd w:id="8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f)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opatreniach prijatých na zaistenie prenosu a distribúcie elektriny vyrobenej z obnoviteľných zdrojov energie a na zlepšenie rámca alebo pravidiel znášania a rozdelenia nákladov medzi výrobcom elektriny a prevádzkovateľa distribučnou spoločnosťou,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7" w:name="3247537"/>
      <w:bookmarkEnd w:id="8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g)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vývoji v oblasti dostupnosti a využitia zdrojov biomasy na energetické účely,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8" w:name="3247538"/>
      <w:bookmarkEnd w:id="8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h)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zmenách cien komodít a využitia pôdy, ktoré sú spojené so zvýšeným využitím biomasy a iných foriem energie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9" w:name="3247539"/>
      <w:bookmarkEnd w:id="8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i)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vývoji a podiele biopalív vyrobených z odpadov, zvyškov, nepotravinárskych celulózových materiálov a lignocelulózových materiálov,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0" w:name="3247540"/>
      <w:bookmarkEnd w:id="9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i)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vývoji a podiele biopalív vyrobených z použitého kuchynského oleja, živočíšnych tukov zaradených do kategórií 1 a 2 podľa osobitného predpisu</w:t>
      </w:r>
      <w:hyperlink w:anchor="11188510" w:history="1">
        <w:r w:rsidRPr="00DB13A3">
          <w:rPr>
            <w:rStyle w:val="Odkaznavysvetlivku"/>
            <w:rFonts w:ascii="Times New Roman" w:hAnsi="Times New Roman" w:cs="Times New Roman"/>
            <w:color w:val="000000" w:themeColor="text1"/>
            <w:sz w:val="24"/>
            <w:szCs w:val="24"/>
            <w:lang w:val="sk-SK"/>
          </w:rPr>
          <w:t>2)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 zo surovín uvedených v </w:t>
      </w:r>
      <w:hyperlink r:id="rId12" w:anchor="f4723992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1a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vrátane posúdenia zdrojov, ktoré je zamerané na aspekty trvalej udržateľnosti účinkov nahradenia potravinových produktov a krmivových produktov výrobou biopalív, a to s náležitým ohľadom na zásady hierarchie odpadového hospodárstva a zásadu kaskádového využívania biomasy, pričom sa prihliada na miestne hospodárske podmienky, miestne technologické podmienky a zachovanie potrebnej zásoby uhlíka v pôde a kvality pôdy a ekosystémov,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1" w:name="3247541"/>
      <w:bookmarkEnd w:id="9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k)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odhadovaných úsporách emisií skleníkových plynov vyplývajúcich z využitia energie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2" w:name="3247542"/>
      <w:bookmarkEnd w:id="9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l)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odhadovanom množstve energie z obnoviteľných zdrojov energie, ktorá sa vyrobí navyše oproti množstvu uvedenému v orientačnej trajektórii, ktoré by sa mohlo preniesť do iných členských štátov, ako aj o odhadovanom potenciáli pre spoločné projekty do roku 2020,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3" w:name="3247543"/>
      <w:bookmarkEnd w:id="9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m)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odhadovanom dopyte po energii z obnoviteľných zdrojov energie, ktorý sa do roku 2020 pokryje inak ako domácou produkciou,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4" w:name="3247544"/>
      <w:bookmarkEnd w:id="9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n)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tom ako sa odhadoval podiel biologicky odbúrateľného odpadu v odpade využívanom na výrobu energie a o tom aké kroky sa podnikli na zlepšenie a overenie týchto odhadov,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5" w:name="11188505"/>
      <w:bookmarkEnd w:id="9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o)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množstve biopalív a biokvapalín zohľadnenom pri výpočte podielu podľa </w:t>
      </w:r>
      <w:hyperlink w:anchor="3247496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8 ods. 1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vyjadrenom v energetických jednotkách, v členení podľa surovín:</w:t>
      </w:r>
    </w:p>
    <w:p w:rsidR="007221F6" w:rsidRPr="00DB13A3" w:rsidRDefault="00200F2E">
      <w:pPr>
        <w:ind w:left="852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6" w:name="11188506"/>
      <w:bookmarkEnd w:id="9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1.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obilniny a iné plodiny bohaté na škrob,</w:t>
      </w:r>
    </w:p>
    <w:p w:rsidR="007221F6" w:rsidRPr="00DB13A3" w:rsidRDefault="00200F2E">
      <w:pPr>
        <w:ind w:left="852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7" w:name="11188507"/>
      <w:bookmarkEnd w:id="9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cukornaté plodiny,</w:t>
      </w:r>
    </w:p>
    <w:p w:rsidR="007221F6" w:rsidRPr="00DB13A3" w:rsidRDefault="00200F2E">
      <w:pPr>
        <w:ind w:left="852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8" w:name="11188508"/>
      <w:bookmarkEnd w:id="9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3.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olejniny.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9" w:name="3247545"/>
      <w:bookmarkEnd w:id="9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 správe o pokroku, ktorá sa predloží do 31. decembra 2011, sa okrem informácií v odseku 1 uvedie, či sa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0" w:name="3247546"/>
      <w:bookmarkEnd w:id="10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vytvorí jeden správny orgán zodpovedný za spracovanie žiadostí o schválenie, udelenia osvedčení a povolení týkajúcich sa zariadení na výrobu energie z obnoviteľných zdrojov energie a poskytujúci pomoc žiadateľom,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1" w:name="3247547"/>
      <w:bookmarkEnd w:id="10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zavedie automatické schvaľovanie žiadostí týkajúcich sa plánovania a povolenia pre zariadenia na výrobu energie z obnoviteľných zdrojov energie, ak schvaľovací orgán nereagoval na žiadosť v stanovenej lehote, alebo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2" w:name="3247548"/>
      <w:bookmarkEnd w:id="10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určia zemepisné oblasti vhodné na využitie energie z obnoviteľných zdrojov energie pri plánovaní využitia pôdy a pri vytváraní systémov diaľkového zásobovania teplom a chladom.</w:t>
      </w:r>
    </w:p>
    <w:p w:rsidR="007221F6" w:rsidRPr="00DB13A3" w:rsidRDefault="00200F2E">
      <w:pPr>
        <w:pStyle w:val="Nadpis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3" w:name="3247550"/>
      <w:bookmarkEnd w:id="10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Záverečné ustanovenia</w:t>
      </w:r>
    </w:p>
    <w:p w:rsidR="007221F6" w:rsidRPr="00DB13A3" w:rsidRDefault="00200F2E">
      <w:pPr>
        <w:pStyle w:val="Paragraf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4" w:name="3247551"/>
      <w:bookmarkEnd w:id="10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12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5" w:name="3247552"/>
      <w:bookmarkEnd w:id="10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Touto vyhláškou sa preberajú právne záväzné akty Európskej únie uvedené v </w:t>
      </w:r>
      <w:hyperlink w:anchor="3247586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4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>
      <w:pPr>
        <w:pStyle w:val="Paragraf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6" w:name="3247553"/>
      <w:bookmarkEnd w:id="10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13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7" w:name="3247554"/>
      <w:bookmarkEnd w:id="10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Táto vyhláška nadobúda účinnosť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 2022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DB13A3" w:rsidRDefault="00DB13A3">
      <w:pPr>
        <w:pStyle w:val="Priloha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8" w:name="3247556"/>
      <w:bookmarkStart w:id="109" w:name="3247558"/>
      <w:bookmarkEnd w:id="108"/>
      <w:bookmarkEnd w:id="109"/>
    </w:p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 xml:space="preserve">Príloha č. 1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../2022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0" w:name="3247559"/>
      <w:bookmarkEnd w:id="11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NORMALIZAČNÉ VZORCE NA ZAPOČÍTANIE ELEKTRINY VYRÁBANEJ Z VODNEJ A VETERNEJ ENERGIE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1" w:name="3247560"/>
      <w:bookmarkEnd w:id="11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započítania elektriny vyrábanej vo vodných elektrárňach sa uplatňuje vzorec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2" w:name="3247561"/>
      <w:bookmarkEnd w:id="112"/>
      <w:r w:rsidRPr="00DB13A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7DDA4D54" wp14:editId="3AD58DFF">
            <wp:extent cx="4486275" cy="1123950"/>
            <wp:effectExtent l="19050" t="0" r="0" b="0"/>
            <wp:docPr id="1000001" name="2011c119z0373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1" name="2011c119z0373v01" descr="Vzorec 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3" w:name="3247562"/>
      <w:bookmarkEnd w:id="11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kde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4" w:name="3247563"/>
      <w:bookmarkEnd w:id="11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 – referenčný rok,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5" w:name="3247564"/>
      <w:bookmarkEnd w:id="11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N(norm)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normalizované množstvo elektriny na účely započítania vyrobenej vo všetkých vodných elektrárňach členského štátu za rok N,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6" w:name="3247565"/>
      <w:bookmarkEnd w:id="11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i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množstvo elektriny skutočne vyrobenej vo všetkých vodných elektrárňach členského štátu za rok i, merané v GWh, okrem výroby prostredníctvom prečerpávacích vodných elektrární z vody, ktorú predtým prečerpali do hornej nádrže,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7" w:name="3247566"/>
      <w:bookmarkEnd w:id="11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i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celková inštalovaná kapacita všetkých vodných elektrární členského štátu na konci roku i bez prečerpania, meraná v MW.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8" w:name="3247567"/>
      <w:bookmarkEnd w:id="11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započítania elektriny vyrábanej z veternej energie sa uplatňuje vzorec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9" w:name="3247568"/>
      <w:bookmarkEnd w:id="119"/>
      <w:r w:rsidRPr="00DB13A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2DB53A7E" wp14:editId="1C91B8DC">
            <wp:extent cx="5810250" cy="2038349"/>
            <wp:effectExtent l="19050" t="0" r="0" b="0"/>
            <wp:docPr id="1000002" name="2011c119z0373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2" name="2011c119z0373v02" descr="Vzorec 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0" w:name="3247569"/>
      <w:bookmarkEnd w:id="12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kde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1" w:name="3247570"/>
      <w:bookmarkEnd w:id="121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 – referenčný rok,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2" w:name="3247571"/>
      <w:bookmarkEnd w:id="12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N(norm)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normalizované množstvo elektriny na účely započítania vyrobenej vo všetkých veterných elektrárňach členského štátu v roku N,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3" w:name="3247572"/>
      <w:bookmarkEnd w:id="12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i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množstvo elektriny skutočne vyrobenej vo všetkých veterných elektrárňach členského štátu v roku i, merané v GWh,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4" w:name="3247573"/>
      <w:bookmarkEnd w:id="12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j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celková inštalovaná kapacita všetkých veterných elektrární členského štátu na konci roku j, meraná v MW,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5" w:name="3247574"/>
      <w:bookmarkEnd w:id="12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 – 4 alebo počet rokov, ktoré predchádzali roku N, za ktorý sú k dispozícii údaje o kapacite a výrobe pre daný členský štát, podľa toho, ktorá hodnota je nižšia.</w:t>
      </w:r>
    </w:p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6" w:name="3247575"/>
      <w:bookmarkEnd w:id="12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Príloha č. 2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/20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7" w:name="3247576"/>
      <w:bookmarkEnd w:id="12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METODIKA PRE ZAPOČÍTANIE ENERGIE Z TEPELNÝCH ČERPADIEL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8" w:name="3247577"/>
      <w:bookmarkEnd w:id="12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Množstvo aerotermálnej energie, geotermálnej energie a hydrotermálnej energie zachytenej tepelnými čerpadlami, ktorá sa považuje za energiu z obnoviteľných zdrojov energie na účely tejto vyhlášky, E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RES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sa vypočíta podľa vzorca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9" w:name="3247578"/>
      <w:bookmarkEnd w:id="129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E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RES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= 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využiteľné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(1 – 1/SPF),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0" w:name="3247579"/>
      <w:bookmarkEnd w:id="13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kde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1" w:name="3247580"/>
      <w:bookmarkEnd w:id="131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využiteľné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odhadované celkové využiteľné teplo dodané tepelným čerpadlom pri splnení kritérií uvedených v </w:t>
      </w:r>
      <w:hyperlink w:anchor="3247475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4 ods. 2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uplatňované takto: zohľadnia sa len tepelné čerpadlá, pri ktorých SPF &gt; 1,15 1/η,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2" w:name="3247581"/>
      <w:bookmarkEnd w:id="13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SPF – odhadovaný priemerný sezónny výkonnostný faktor pre tieto tepelné čerpadlá,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3" w:name="3247582"/>
      <w:bookmarkEnd w:id="13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η – pomer medzi celkovou hrubou výrobou elektriny a primárnou energiou spotrebovanou na výrobu elektriny a vypočíta sa ako priemer Európskej únie založený na zverejnených údajoch štatistických výkazov Eurostat.</w:t>
      </w:r>
    </w:p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4" w:name="3247583"/>
      <w:bookmarkEnd w:id="13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Príloha č. 3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/20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5" w:name="3247584"/>
      <w:bookmarkEnd w:id="13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ENERGETICKÝ OBSAH MOTOROVÝCH PALÍV V</w:t>
      </w:r>
      <w:r w:rsidR="00190B64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 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DOPRAVE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941"/>
        <w:gridCol w:w="1566"/>
        <w:gridCol w:w="1555"/>
      </w:tblGrid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Palivo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Energetický obsah na základe hmotnosti (dolná výhrevnosť, MJ/kg)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Energetický obsah na základe objemu (dolná výhrevnosť, MJ/l)</w:t>
            </w:r>
          </w:p>
        </w:tc>
      </w:tr>
      <w:tr w:rsidR="000736C2" w:rsidRPr="00DB13A3" w:rsidTr="00190B64">
        <w:trPr>
          <w:gridAfter w:val="2"/>
          <w:wAfter w:w="3594" w:type="dxa"/>
        </w:trPr>
        <w:tc>
          <w:tcPr>
            <w:tcW w:w="0" w:type="auto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PALIVÁ Z BIOMASY A/ALEBO OPERÁCIÍ SPRACOVANIA BIOMASY</w:t>
            </w:r>
          </w:p>
        </w:tc>
      </w:tr>
      <w:tr w:rsidR="000736C2" w:rsidRPr="00DB13A3" w:rsidTr="00190B64"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biopropán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čistý rastlinný olej (olej vyrobený z olejnatých rastlín lisovaním, extrahovaním alebo podobnými postupmi, surový alebo rafinovaný, ale chemicky nemodifikovaný)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37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bionafta – metylester mastnej kyseliny (metyl-ester vyrábaný z oleja z biomasy)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37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bionafta – etylester mastnej kyseliny (etyl-ester vyrábaný z oleja z biomasy)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bioplyn, ktorý môže čistením dosiahnuť kvalitu zemného plynu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—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hydrogenačne rafinovaný (termochemicky spracovaný vodíkom) olej z biomasy určený ako náhrada za naftu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hydrogenačne rafinovaný (termochemicky spracovaný vodíkom) olej z biomasy určený ako náhrada za benzín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45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30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lastRenderedPageBreak/>
              <w:t>hydrogenačne rafinovaný (termochemicky spracovaný vodíkom) olej z biomasy určený ako náhrada za letecké palivo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hydrogenačne rafinovaný (termochemicky spracovaný vodíkom) olej z biomasy určený ako náhrada za skvapalnený ropný plyn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naftu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benzín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32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letecké palivo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skvapalnený ropný plyn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23</w:t>
            </w:r>
          </w:p>
        </w:tc>
      </w:tr>
      <w:tr w:rsidR="000736C2" w:rsidRPr="00DB13A3" w:rsidTr="00190B64">
        <w:trPr>
          <w:gridAfter w:val="2"/>
          <w:wAfter w:w="3594" w:type="dxa"/>
        </w:trPr>
        <w:tc>
          <w:tcPr>
            <w:tcW w:w="0" w:type="auto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OBNOVITEĽNÉ PALIVÁ, KTORÉ MOŽNO VYRÁBAŤ Z RÔZNYCH OBNOVITEĽNÝCH ZDROJOV, VRÁTANE BIOMASY</w:t>
            </w:r>
          </w:p>
        </w:tc>
      </w:tr>
      <w:tr w:rsidR="000736C2" w:rsidRPr="00DB13A3" w:rsidTr="00190B64"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metanol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20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16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etanol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27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21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propanol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31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25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butanol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27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nafta vyrobená technológiou Fischer-Tropsch (syntetický uhľovodík alebo zmes syntetických uhľovodíkov určený(-á) ako náhrada za naftu)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benzín vyrobený technológiou Fischer-Tropsch (syntetický uhľovodík alebo zmes syntetických uhľovodíkov určený(-á) ako náhrada za benzín)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letecké palivo vyrobené technológiou Fischer-Tropsch (syntetický uhľovodík alebo zmes syntetických uhľovodíkov určený(-á) ako náhrada za letecké palivo)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skvapalnený ropný plyn vyrobený technológiou Fischer-Tropsch (syntetický uhľovodík alebo zmes syntetických uhľovodíkov určený(-á) ako náhrada za skvapalnený ropný plyn)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dimetyléter (DME)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28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19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vodík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120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—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lastRenderedPageBreak/>
              <w:t>ETBE (etyl-terc-butyl-éter vyrobený na báze 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 (z čoho 37 %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27 (z čoho 37 %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MTBE (metyl-terc-butyl-éter vyrobený na báze metanolu)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35 (z čoho 22 %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26 (z čoho 22 %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TAEE (terciárny amyl-etyl-éter vyrobený na báze 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 (z čoho 29 %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29 (z čoho 29 %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TAME (terciárny amyl-metyl-éter vyrobený na báze metanolu)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 (z čoho 18 %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28 (z čoho 18 %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THxEE (terciárny hexyl-etyl-éter vyrobený na báze 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 (z čoho 25 %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30 (z čoho 25 %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THxME (terciárny hexyl-metyl-éter vyrobený na báze metanolu)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 (z čoho 14 %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30 (z čoho 14 % z obnoviteľných zdrojov)</w:t>
            </w:r>
          </w:p>
        </w:tc>
      </w:tr>
      <w:tr w:rsidR="000736C2" w:rsidRPr="00DB13A3" w:rsidTr="00190B64">
        <w:trPr>
          <w:gridAfter w:val="2"/>
          <w:wAfter w:w="3594" w:type="dxa"/>
        </w:trPr>
        <w:tc>
          <w:tcPr>
            <w:tcW w:w="0" w:type="auto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FOSÍLNE PALIVÁ</w:t>
            </w:r>
          </w:p>
        </w:tc>
      </w:tr>
      <w:tr w:rsidR="000736C2" w:rsidRPr="00DB13A3" w:rsidTr="00190B64"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benzín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32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nafta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</w:t>
            </w:r>
          </w:p>
        </w:tc>
      </w:tr>
    </w:tbl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6" w:name="3247585"/>
      <w:bookmarkStart w:id="137" w:name="3247586"/>
      <w:bookmarkEnd w:id="136"/>
      <w:bookmarkEnd w:id="13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Príloha č. 4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/20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8" w:name="3247587"/>
      <w:bookmarkEnd w:id="13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ZOZNAM PREBERANÝCH PRÁVNE ZÁVÄZNÝCH AKTOV EURÓPSKEJ ÚNIE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9" w:name="3247588"/>
      <w:bookmarkEnd w:id="13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1.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Smernica Európskeho parlamentu a Rady </w:t>
      </w:r>
      <w:hyperlink r:id="rId15" w:tooltip="Smernica Európskeho parlamentu a Rady 2009/28/ES z 23. apríla 2009 o podpore využívania energie z obnoviteľných zdrojov energie a o zmene a doplnení a následnom zrušení smerníc 2001/77/ES a 2003/30/ES (Text s významom pre EHP)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2009/28/ES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23. apríla 2009 o podpore využívania energie z obnoviteľných zdrojov energie a o zmene a doplnení a následnom zrušení smerníc 2001/77/ES a 2003/30/ES (Ú. v. EÚ L 140, 5. 6. 2009).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0" w:name="3247589"/>
      <w:bookmarkEnd w:id="14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Smernica Európskeho parlamentu a Rady </w:t>
      </w:r>
      <w:hyperlink r:id="rId16" w:tooltip="Smernica Európskeho parlamentu a Rady 2009/30/ES z 23. apríla 2009 , ktorou sa mení a dopĺňa smernica 98/70/ES, pokiaľ ide o kvalitu automobilového benzínu, motorovej nafty a plynového oleja a zavedenie mechanizmu na monitorovanie a zníženie emisií skleník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2009/30/ES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23. apríla 2009, ktorou sa mení a dopĺňa smernica 98/70/ES, pokiaľ ide o kvalitu automobilového benzínu, motorovej nafty a plynového oleja a zavedenie mechanizmu na monitorovanie a zníženie emisií skleníkových plynov, a ktorou sa mení a dopĺňa smernica Rady 1999/32/ES, pokiaľ ide o kvalitu paliva využívaného v plavidlách vnútrozemskej vodnej dopravy, a zrušuje smernica 93/12/EHS (Ú. v. EÚ L 140, 5. 6. 2009).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1" w:name="11188509"/>
      <w:bookmarkEnd w:id="14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3.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Smernica Európskeho parlamentu a Rady </w:t>
      </w:r>
      <w:hyperlink r:id="rId17" w:tooltip="Smernica Rady 98/70/ES Európskeho parlamentu a Rady z 13. októbra 1998 týkajúca sa kvality benzínu a naftových palív, a ktorou sa mení a dopĺňa smernica Rady 93/12/ES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98/70/ES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13. októbra 1998 týkajúca sa kvality benzínu a naftových palív, a ktorou sa mení a dopĺňa smernica Rady 93/12/ES (Ú. v. ES L 350, 28. 12. 1998) v znení smernice Európskeho parlamentu a Rady (EÚ) 2015/1513 z 9. septembra 2015, ktorou sa mení smernica 98/70/ES týkajúca sa kvality benzínu a naftových palív a ktorou 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sa mení smernica 2009/28/ES o podpore využívania energie z obnoviteľných zdrojov energie (Ú. v. EÚ L 239, 15. 9. 2015).</w:t>
      </w:r>
    </w:p>
    <w:p w:rsidR="007221F6" w:rsidRPr="00DB13A3" w:rsidRDefault="001E273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pict>
          <v:rect id="_x0000_i1025" style="width:0;height:1.5pt" o:hralign="center" o:hrstd="t" o:hr="t" fillcolor="#a0a0a0" stroked="f"/>
        </w:pict>
      </w:r>
    </w:p>
    <w:p w:rsidR="007221F6" w:rsidRPr="00DB13A3" w:rsidRDefault="00200F2E">
      <w:pPr>
        <w:pStyle w:val="Textvysvetlivky"/>
        <w:shd w:val="clear" w:color="auto" w:fill="EFF8FD"/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2" w:name="3247591"/>
      <w:bookmarkEnd w:id="14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Nariadenie Európskeho parlamentu a Rady (ES) č. </w:t>
      </w:r>
      <w:hyperlink r:id="rId18" w:tooltip="Nariadenie Európskeho parlamentu a Rady (ES) č. 1099/2008 z 22. októbra 2008 o energetickej štatistike (Text s významom pre EHP)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1099/2008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22. októbra 2008 o energetickej štatistike (Ú. v. EÚ L 304, 14. 1. 2008) v platnom znení.</w:t>
      </w:r>
    </w:p>
    <w:p w:rsidR="007221F6" w:rsidRPr="00DB13A3" w:rsidRDefault="00200F2E">
      <w:pPr>
        <w:pStyle w:val="Textvysvetlivky"/>
        <w:shd w:val="clear" w:color="auto" w:fill="EFF8FD"/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3" w:name="11188510"/>
      <w:bookmarkEnd w:id="14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Čl. 8 a 9 nariadenia Európskeho parlamentu a Rady (ES) č. </w:t>
      </w:r>
      <w:hyperlink r:id="rId19" w:tooltip="Nariadenie Európskeho parlamentu a Rady (ES) č. 1069/2009 z  21. októbra 2009 , ktorým sa ustanovujú zdravotné predpisy týkajúce sa vedľajších živočíšnych produktov a odvodených produktov neurčených na ľudskú spotrebu a ktorým sa zrušuje nariadenie (ES) č.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1069/2009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21. októbra 2009, ktorým sa ustanovujú zdravotné predpisy týkajúce sa vedľajších živočíšnych produktov a odvodených produktov neurčených na ľudskú spotrebu a ktorým sa zrušuje nariadenie (ES) č. 1774/2002 (nariadenie o vedľajších živočíšnych produktoch) (Ú. v. EÚ L 300, 14. 11. 2009) v platnom znení.</w:t>
      </w:r>
    </w:p>
    <w:sectPr w:rsidR="007221F6" w:rsidRPr="00DB13A3" w:rsidSect="00726CD4">
      <w:headerReference w:type="even" r:id="rId20"/>
      <w:headerReference w:type="default" r:id="rId21"/>
      <w:footerReference w:type="even" r:id="rId22"/>
      <w:footerReference w:type="first" r:id="rId23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C3" w:rsidRDefault="007C2CC3" w:rsidP="00E50640">
      <w:pPr>
        <w:spacing w:after="0"/>
      </w:pPr>
      <w:r>
        <w:separator/>
      </w:r>
    </w:p>
  </w:endnote>
  <w:endnote w:type="continuationSeparator" w:id="0">
    <w:p w:rsidR="007C2CC3" w:rsidRDefault="007C2CC3" w:rsidP="00E50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260629"/>
      <w:docPartObj>
        <w:docPartGallery w:val="Page Numbers (Bottom of Page)"/>
        <w:docPartUnique/>
      </w:docPartObj>
    </w:sdtPr>
    <w:sdtEndPr/>
    <w:sdtContent>
      <w:p w:rsidR="0073500D" w:rsidRDefault="007350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3E" w:rsidRPr="001E273E">
          <w:rPr>
            <w:noProof/>
            <w:lang w:val="sk-SK"/>
          </w:rPr>
          <w:t>1</w:t>
        </w:r>
        <w:r>
          <w:fldChar w:fldCharType="end"/>
        </w:r>
      </w:p>
    </w:sdtContent>
  </w:sdt>
  <w:p w:rsidR="0073500D" w:rsidRDefault="00735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C3" w:rsidRDefault="007C2CC3" w:rsidP="00E50640">
      <w:pPr>
        <w:spacing w:after="0"/>
      </w:pPr>
      <w:r>
        <w:separator/>
      </w:r>
    </w:p>
  </w:footnote>
  <w:footnote w:type="continuationSeparator" w:id="0">
    <w:p w:rsidR="007C2CC3" w:rsidRDefault="007C2CC3" w:rsidP="00E50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CC" w:rsidRPr="00726CD4" w:rsidRDefault="00CC62CC" w:rsidP="00237093">
    <w:pPr>
      <w:pStyle w:val="Hlavika"/>
      <w:spacing w:after="360"/>
      <w:contextualSpacing/>
      <w:rPr>
        <w:rStyle w:val="Zahlaviobecne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4"/>
    <w:rsid w:val="00011A18"/>
    <w:rsid w:val="00027397"/>
    <w:rsid w:val="0007042B"/>
    <w:rsid w:val="000736C2"/>
    <w:rsid w:val="00082165"/>
    <w:rsid w:val="00093F86"/>
    <w:rsid w:val="00096973"/>
    <w:rsid w:val="000A5180"/>
    <w:rsid w:val="000D3522"/>
    <w:rsid w:val="00100FC8"/>
    <w:rsid w:val="00103704"/>
    <w:rsid w:val="0010783F"/>
    <w:rsid w:val="00117251"/>
    <w:rsid w:val="0012726E"/>
    <w:rsid w:val="00130F96"/>
    <w:rsid w:val="001339EA"/>
    <w:rsid w:val="00190B64"/>
    <w:rsid w:val="001A5C61"/>
    <w:rsid w:val="001B7CB7"/>
    <w:rsid w:val="001E273E"/>
    <w:rsid w:val="001F1699"/>
    <w:rsid w:val="00200F2E"/>
    <w:rsid w:val="00201B8E"/>
    <w:rsid w:val="002023B2"/>
    <w:rsid w:val="002071EC"/>
    <w:rsid w:val="002246F1"/>
    <w:rsid w:val="00237093"/>
    <w:rsid w:val="002465A4"/>
    <w:rsid w:val="002867FF"/>
    <w:rsid w:val="00286B7E"/>
    <w:rsid w:val="002B2C39"/>
    <w:rsid w:val="002E1482"/>
    <w:rsid w:val="002E1F7C"/>
    <w:rsid w:val="00316208"/>
    <w:rsid w:val="00342399"/>
    <w:rsid w:val="003475C8"/>
    <w:rsid w:val="00351FA2"/>
    <w:rsid w:val="003609A2"/>
    <w:rsid w:val="00373AB2"/>
    <w:rsid w:val="00396D18"/>
    <w:rsid w:val="00397594"/>
    <w:rsid w:val="003F07EA"/>
    <w:rsid w:val="003F38C4"/>
    <w:rsid w:val="00405E47"/>
    <w:rsid w:val="004226DC"/>
    <w:rsid w:val="0045610D"/>
    <w:rsid w:val="004B4301"/>
    <w:rsid w:val="004C77EB"/>
    <w:rsid w:val="00505903"/>
    <w:rsid w:val="005336F3"/>
    <w:rsid w:val="00551685"/>
    <w:rsid w:val="00571483"/>
    <w:rsid w:val="00585A59"/>
    <w:rsid w:val="005916D3"/>
    <w:rsid w:val="005A214C"/>
    <w:rsid w:val="005A7424"/>
    <w:rsid w:val="005B066C"/>
    <w:rsid w:val="005B16A6"/>
    <w:rsid w:val="005B185F"/>
    <w:rsid w:val="005B5F5A"/>
    <w:rsid w:val="005C4548"/>
    <w:rsid w:val="006217AD"/>
    <w:rsid w:val="00651031"/>
    <w:rsid w:val="0066256E"/>
    <w:rsid w:val="00665CE8"/>
    <w:rsid w:val="00691B99"/>
    <w:rsid w:val="00694E3A"/>
    <w:rsid w:val="006B72EE"/>
    <w:rsid w:val="006D0E25"/>
    <w:rsid w:val="006D5832"/>
    <w:rsid w:val="0070319A"/>
    <w:rsid w:val="00710FC3"/>
    <w:rsid w:val="007221F6"/>
    <w:rsid w:val="00726CD4"/>
    <w:rsid w:val="00726F3A"/>
    <w:rsid w:val="0073500D"/>
    <w:rsid w:val="007561E0"/>
    <w:rsid w:val="00777F71"/>
    <w:rsid w:val="00790A20"/>
    <w:rsid w:val="00794B09"/>
    <w:rsid w:val="007B75EF"/>
    <w:rsid w:val="007C2CC3"/>
    <w:rsid w:val="00804765"/>
    <w:rsid w:val="00811512"/>
    <w:rsid w:val="0082457B"/>
    <w:rsid w:val="00863C1D"/>
    <w:rsid w:val="00872A36"/>
    <w:rsid w:val="00875BF0"/>
    <w:rsid w:val="00884305"/>
    <w:rsid w:val="00885E0D"/>
    <w:rsid w:val="008B0F12"/>
    <w:rsid w:val="008C1800"/>
    <w:rsid w:val="008D056B"/>
    <w:rsid w:val="008D6B43"/>
    <w:rsid w:val="008F19AE"/>
    <w:rsid w:val="00915500"/>
    <w:rsid w:val="00934E7D"/>
    <w:rsid w:val="009358FF"/>
    <w:rsid w:val="00943B49"/>
    <w:rsid w:val="00967090"/>
    <w:rsid w:val="00967E32"/>
    <w:rsid w:val="00994541"/>
    <w:rsid w:val="009978E9"/>
    <w:rsid w:val="009A0881"/>
    <w:rsid w:val="009A2D09"/>
    <w:rsid w:val="00A236FF"/>
    <w:rsid w:val="00A2621E"/>
    <w:rsid w:val="00A51325"/>
    <w:rsid w:val="00A635E2"/>
    <w:rsid w:val="00A6784C"/>
    <w:rsid w:val="00A95822"/>
    <w:rsid w:val="00AB226A"/>
    <w:rsid w:val="00AB54F9"/>
    <w:rsid w:val="00AC6C65"/>
    <w:rsid w:val="00AE69E3"/>
    <w:rsid w:val="00AF3890"/>
    <w:rsid w:val="00AF693F"/>
    <w:rsid w:val="00B04D52"/>
    <w:rsid w:val="00B41EA7"/>
    <w:rsid w:val="00B55370"/>
    <w:rsid w:val="00B71186"/>
    <w:rsid w:val="00B8060D"/>
    <w:rsid w:val="00B934E3"/>
    <w:rsid w:val="00B93629"/>
    <w:rsid w:val="00B9426A"/>
    <w:rsid w:val="00BB3A7F"/>
    <w:rsid w:val="00BC394B"/>
    <w:rsid w:val="00BD3A91"/>
    <w:rsid w:val="00BE7E26"/>
    <w:rsid w:val="00BF4794"/>
    <w:rsid w:val="00C462CE"/>
    <w:rsid w:val="00C74377"/>
    <w:rsid w:val="00C759D7"/>
    <w:rsid w:val="00C8158C"/>
    <w:rsid w:val="00C91CDA"/>
    <w:rsid w:val="00C93795"/>
    <w:rsid w:val="00C96D63"/>
    <w:rsid w:val="00CA2B41"/>
    <w:rsid w:val="00CC62CC"/>
    <w:rsid w:val="00D07346"/>
    <w:rsid w:val="00D11E99"/>
    <w:rsid w:val="00D271F8"/>
    <w:rsid w:val="00D621B3"/>
    <w:rsid w:val="00D77E68"/>
    <w:rsid w:val="00D92D92"/>
    <w:rsid w:val="00DB1113"/>
    <w:rsid w:val="00DB13A3"/>
    <w:rsid w:val="00DB4AB3"/>
    <w:rsid w:val="00DB4F28"/>
    <w:rsid w:val="00DC0BE6"/>
    <w:rsid w:val="00E1718A"/>
    <w:rsid w:val="00E207E6"/>
    <w:rsid w:val="00E50640"/>
    <w:rsid w:val="00E54166"/>
    <w:rsid w:val="00E552CF"/>
    <w:rsid w:val="00E60E2A"/>
    <w:rsid w:val="00E75CE8"/>
    <w:rsid w:val="00EB7C44"/>
    <w:rsid w:val="00EC05E8"/>
    <w:rsid w:val="00EC60A0"/>
    <w:rsid w:val="00EC6D0E"/>
    <w:rsid w:val="00ED175C"/>
    <w:rsid w:val="00EF26D7"/>
    <w:rsid w:val="00F14C44"/>
    <w:rsid w:val="00F2048F"/>
    <w:rsid w:val="00F40E6F"/>
    <w:rsid w:val="00F52406"/>
    <w:rsid w:val="00F850B6"/>
    <w:rsid w:val="00F9475B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3626F2-7D1C-41AE-A21A-5173C2A5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1B7CB7"/>
    <w:pPr>
      <w:spacing w:before="60" w:after="6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2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24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286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2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locked/>
    <w:rsid w:val="00E506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E50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50640"/>
  </w:style>
  <w:style w:type="paragraph" w:styleId="Pta">
    <w:name w:val="footer"/>
    <w:basedOn w:val="Normlny"/>
    <w:link w:val="Pt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50640"/>
  </w:style>
  <w:style w:type="character" w:customStyle="1" w:styleId="Zahlaviobecne">
    <w:name w:val="Zahlavi obecne"/>
    <w:basedOn w:val="Predvolenpsmoodseku"/>
    <w:qFormat/>
    <w:rsid w:val="00BC394B"/>
    <w:rPr>
      <w:rFonts w:ascii="Arial" w:hAnsi="Arial"/>
      <w:color w:val="000000" w:themeColor="text1"/>
      <w:sz w:val="20"/>
    </w:rPr>
  </w:style>
  <w:style w:type="character" w:customStyle="1" w:styleId="ZahlaviNazevpredpisu">
    <w:name w:val="Zahlavi Nazev predpisu"/>
    <w:basedOn w:val="Zahlaviobecne"/>
    <w:qFormat/>
    <w:rsid w:val="00BC394B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adpis3Char">
    <w:name w:val="Nadpis 3 Char"/>
    <w:basedOn w:val="Predvolenpsmoodseku"/>
    <w:link w:val="Nadpis3"/>
    <w:uiPriority w:val="9"/>
    <w:rsid w:val="00286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">
    <w:name w:val="cast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locked/>
    <w:rsid w:val="00286B7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286B7E"/>
    <w:rPr>
      <w:color w:val="0000FF"/>
      <w:u w:val="single"/>
    </w:rPr>
  </w:style>
  <w:style w:type="paragraph" w:customStyle="1" w:styleId="Cast0">
    <w:name w:val="Cast"/>
    <w:next w:val="Normlny"/>
    <w:qFormat/>
    <w:rsid w:val="000D3522"/>
    <w:pPr>
      <w:spacing w:before="480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1F497D" w:themeColor="text2"/>
      <w:sz w:val="28"/>
      <w:szCs w:val="32"/>
      <w:lang w:eastAsia="cs-CZ"/>
    </w:rPr>
  </w:style>
  <w:style w:type="paragraph" w:customStyle="1" w:styleId="Nadpis">
    <w:name w:val="Nadpis"/>
    <w:next w:val="Normlny"/>
    <w:qFormat/>
    <w:rsid w:val="000D352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customStyle="1" w:styleId="Paragraf">
    <w:name w:val="Paragraf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eastAsia="cs-CZ"/>
    </w:rPr>
  </w:style>
  <w:style w:type="paragraph" w:customStyle="1" w:styleId="Podnadpis">
    <w:name w:val="Podnadpis"/>
    <w:next w:val="Normlny"/>
    <w:qFormat/>
    <w:rsid w:val="00665CE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C96D6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D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C96D6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locked/>
    <w:rsid w:val="001B7CB7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CB7"/>
    <w:rPr>
      <w:rFonts w:ascii="Arial" w:hAnsi="Arial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AB226A"/>
    <w:rPr>
      <w:vertAlign w:val="superscript"/>
    </w:rPr>
  </w:style>
  <w:style w:type="table" w:styleId="Mriekatabuky">
    <w:name w:val="Table Grid"/>
    <w:basedOn w:val="Normlnatabuka"/>
    <w:uiPriority w:val="59"/>
    <w:locked/>
    <w:rsid w:val="005A7424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paragraph" w:customStyle="1" w:styleId="Dil">
    <w:name w:val="Dil"/>
    <w:next w:val="Normlny"/>
    <w:qFormat/>
    <w:rsid w:val="000D352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eastAsia="cs-CZ"/>
    </w:rPr>
  </w:style>
  <w:style w:type="paragraph" w:customStyle="1" w:styleId="Clanek">
    <w:name w:val="Clanek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</w:rPr>
  </w:style>
  <w:style w:type="paragraph" w:customStyle="1" w:styleId="Kapitola">
    <w:name w:val="Kapitola"/>
    <w:next w:val="Normlny"/>
    <w:qFormat/>
    <w:rsid w:val="000D3522"/>
    <w:pPr>
      <w:spacing w:before="240" w:after="100" w:afterAutospacing="1" w:line="240" w:lineRule="auto"/>
      <w:jc w:val="center"/>
      <w:outlineLvl w:val="3"/>
    </w:pPr>
    <w:rPr>
      <w:rFonts w:ascii="Arial" w:hAnsi="Arial"/>
      <w:b/>
      <w:color w:val="E06000"/>
      <w:sz w:val="26"/>
      <w:szCs w:val="26"/>
    </w:rPr>
  </w:style>
  <w:style w:type="paragraph" w:customStyle="1" w:styleId="Hlava">
    <w:name w:val="Hlava"/>
    <w:next w:val="Normlny"/>
    <w:qFormat/>
    <w:rsid w:val="000D3522"/>
    <w:pPr>
      <w:spacing w:before="240" w:line="240" w:lineRule="auto"/>
      <w:jc w:val="center"/>
      <w:outlineLvl w:val="1"/>
    </w:pPr>
    <w:rPr>
      <w:rFonts w:ascii="Arial" w:eastAsia="Times New Roman" w:hAnsi="Arial" w:cs="Arial"/>
      <w:b/>
      <w:color w:val="548DD4" w:themeColor="text2" w:themeTint="99"/>
      <w:sz w:val="28"/>
      <w:szCs w:val="28"/>
      <w:lang w:eastAsia="cs-CZ"/>
    </w:rPr>
  </w:style>
  <w:style w:type="paragraph" w:customStyle="1" w:styleId="Oddil">
    <w:name w:val="Oddil"/>
    <w:next w:val="Normlny"/>
    <w:qFormat/>
    <w:rsid w:val="000D3522"/>
    <w:pPr>
      <w:spacing w:before="240" w:line="240" w:lineRule="auto"/>
      <w:jc w:val="center"/>
      <w:outlineLvl w:val="3"/>
    </w:pPr>
    <w:rPr>
      <w:rFonts w:ascii="Arial" w:eastAsiaTheme="majorEastAsia" w:hAnsi="Arial" w:cstheme="majorBidi"/>
      <w:b/>
      <w:i/>
      <w:iCs/>
      <w:color w:val="548DD4" w:themeColor="text2" w:themeTint="99"/>
      <w:sz w:val="28"/>
      <w:szCs w:val="28"/>
    </w:rPr>
  </w:style>
  <w:style w:type="paragraph" w:customStyle="1" w:styleId="Citace">
    <w:name w:val="Citace"/>
    <w:basedOn w:val="Normlny"/>
    <w:next w:val="Normlny"/>
    <w:qFormat/>
    <w:rsid w:val="00AE69E3"/>
    <w:pPr>
      <w:spacing w:after="240"/>
      <w:ind w:left="397"/>
    </w:pPr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224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4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46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doddil">
    <w:name w:val="Pododdil"/>
    <w:qFormat/>
    <w:rsid w:val="000D3522"/>
    <w:pPr>
      <w:spacing w:before="240" w:after="100" w:afterAutospacing="1" w:line="240" w:lineRule="auto"/>
      <w:jc w:val="center"/>
      <w:outlineLvl w:val="4"/>
    </w:pPr>
    <w:rPr>
      <w:rFonts w:ascii="Arial" w:hAnsi="Arial"/>
      <w:b/>
      <w:i/>
      <w:color w:val="548DD4" w:themeColor="text2" w:themeTint="99"/>
      <w:sz w:val="28"/>
    </w:rPr>
  </w:style>
  <w:style w:type="paragraph" w:customStyle="1" w:styleId="Priloha">
    <w:name w:val="Priloha"/>
    <w:next w:val="Normlny"/>
    <w:qFormat/>
    <w:rsid w:val="000D3522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</w:rPr>
  </w:style>
  <w:style w:type="table" w:customStyle="1" w:styleId="TableGrid1">
    <w:name w:val="Table Grid1"/>
    <w:basedOn w:val="Normlnatabuka"/>
    <w:next w:val="Mriekatabuky"/>
    <w:uiPriority w:val="59"/>
    <w:rsid w:val="00127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ixBold">
    <w:name w:val="PrefixBold"/>
    <w:basedOn w:val="Normlny"/>
    <w:qFormat/>
    <w:rsid w:val="00117251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EC60A0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117251"/>
    <w:pPr>
      <w:spacing w:after="600"/>
      <w:jc w:val="center"/>
    </w:pPr>
    <w:rPr>
      <w:b/>
      <w:color w:val="17365D" w:themeColor="text2" w:themeShade="BF"/>
      <w:sz w:val="32"/>
    </w:rPr>
  </w:style>
  <w:style w:type="paragraph" w:customStyle="1" w:styleId="odsek">
    <w:name w:val="odsek"/>
    <w:basedOn w:val="Normlny"/>
    <w:rsid w:val="008F19AE"/>
    <w:pPr>
      <w:keepNext/>
      <w:ind w:firstLine="709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l10ptPodaokraja">
    <w:name w:val="Štýl 10 pt Podľa okraja"/>
    <w:basedOn w:val="Normlny"/>
    <w:rsid w:val="0070319A"/>
    <w:pPr>
      <w:keepNext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sub">
    <w:name w:val="sub"/>
    <w:basedOn w:val="Predvolenpsmoodseku"/>
    <w:rsid w:val="0010783F"/>
  </w:style>
  <w:style w:type="paragraph" w:customStyle="1" w:styleId="tbl-hdr">
    <w:name w:val="tbl-hdr"/>
    <w:basedOn w:val="Normlny"/>
    <w:rsid w:val="00190B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bl-txt">
    <w:name w:val="tbl-txt"/>
    <w:basedOn w:val="Normlny"/>
    <w:rsid w:val="00190B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zz/2009-309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epi.sk/eurlex-rule/32008R1099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epi.sk/zz/2009-309" TargetMode="External"/><Relationship Id="rId12" Type="http://schemas.openxmlformats.org/officeDocument/2006/relationships/hyperlink" Target="http://www.epi.sk/zz/2009-309" TargetMode="External"/><Relationship Id="rId17" Type="http://schemas.openxmlformats.org/officeDocument/2006/relationships/hyperlink" Target="http://www.epi.sk/eurlex-rule/31998L007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pi.sk/eurlex-rule/32009L0030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pi.sk/zz/2009-3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pi.sk/eurlex-rule/32009L0028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pi.sk/zz/2009-309" TargetMode="External"/><Relationship Id="rId19" Type="http://schemas.openxmlformats.org/officeDocument/2006/relationships/hyperlink" Target="http://www.epi.sk/eurlex-rule/32009R10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.sk/zz/2009-309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1764-BA1D-45C3-A74E-FDBBE0B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4385</Words>
  <Characters>24998</Characters>
  <DocSecurity>0</DocSecurity>
  <Lines>208</Lines>
  <Paragraphs>58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Vyhláška Ministerstva hospodárstva Slovenskej republiky, ktorou sa vykonávajú niektoré ustanovenia zákona č. 309/2009 Z. z. o podpore obnoviteľných zdrojov energie a vysoko účinnej kombinovanej výroby</vt:lpstr>
      <vt:lpstr/>
      <vt:lpstr/>
    </vt:vector>
  </TitlesOfParts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2022-04-14T12:45:00Z</dcterms:created>
  <dcterms:modified xsi:type="dcterms:W3CDTF">2022-05-05T07:19:00Z</dcterms:modified>
</cp:coreProperties>
</file>