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pPr w:leftFromText="141" w:rightFromText="141" w:vertAnchor="text" w:tblpY="1"/>
        <w:tblW w:w="4992" w:type="pct"/>
        <w:tblLayout w:type="fixed"/>
        <w:tblLook w:val="0400" w:firstRow="0" w:lastRow="0" w:firstColumn="0" w:lastColumn="0" w:noHBand="0" w:noVBand="1"/>
      </w:tblPr>
      <w:tblGrid>
        <w:gridCol w:w="1577"/>
        <w:gridCol w:w="2152"/>
        <w:gridCol w:w="4497"/>
        <w:gridCol w:w="478"/>
        <w:gridCol w:w="569"/>
      </w:tblGrid>
      <w:tr w:rsidR="00BA28CD" w:rsidRPr="00BA28CD" w:rsidTr="00BA28CD">
        <w:trPr>
          <w:trHeight w:val="546"/>
        </w:trPr>
        <w:tc>
          <w:tcPr>
            <w:tcW w:w="5000" w:type="pct"/>
            <w:gridSpan w:val="5"/>
            <w:shd w:val="clear" w:color="auto" w:fill="F2F2F2"/>
            <w:vAlign w:val="center"/>
          </w:tcPr>
          <w:p w:rsidR="00BA28CD" w:rsidRPr="00BA28CD" w:rsidRDefault="00BA28CD" w:rsidP="00BA28CD">
            <w:pPr>
              <w:keepNext/>
              <w:keepLines/>
              <w:spacing w:before="40" w:after="0"/>
              <w:ind w:firstLine="0"/>
              <w:contextualSpacing w:val="0"/>
              <w:jc w:val="center"/>
              <w:outlineLvl w:val="1"/>
              <w:rPr>
                <w:b/>
                <w:sz w:val="26"/>
                <w:szCs w:val="26"/>
              </w:rPr>
            </w:pPr>
            <w:r w:rsidRPr="00BA28CD">
              <w:rPr>
                <w:b/>
                <w:sz w:val="26"/>
                <w:szCs w:val="26"/>
              </w:rPr>
              <w:t>Správa o účasti verejnosti na tvorbe právneho predpisu</w:t>
            </w:r>
          </w:p>
          <w:p w:rsidR="00BA28CD" w:rsidRPr="00BA28CD" w:rsidRDefault="00BA28CD" w:rsidP="00BA28CD">
            <w:pPr>
              <w:keepNext/>
              <w:keepLines/>
              <w:spacing w:before="40" w:after="0"/>
              <w:ind w:firstLine="0"/>
              <w:contextualSpacing w:val="0"/>
              <w:jc w:val="left"/>
              <w:outlineLvl w:val="1"/>
              <w:rPr>
                <w:rFonts w:ascii="Cambria" w:hAnsi="Cambria"/>
                <w:b/>
                <w:color w:val="000000"/>
                <w:szCs w:val="24"/>
              </w:rPr>
            </w:pPr>
            <w:r w:rsidRPr="00BA28CD">
              <w:rPr>
                <w:b/>
                <w:szCs w:val="24"/>
              </w:rPr>
              <w:t>Scenár 1: Verejnosť je informovaná o tvorbe právneho predpisu</w:t>
            </w:r>
          </w:p>
        </w:tc>
      </w:tr>
      <w:tr w:rsidR="00BA28CD" w:rsidRPr="00BA28CD" w:rsidTr="00E8373E">
        <w:trPr>
          <w:trHeight w:val="399"/>
        </w:trPr>
        <w:tc>
          <w:tcPr>
            <w:tcW w:w="850" w:type="pct"/>
            <w:vAlign w:val="center"/>
            <w:hideMark/>
          </w:tcPr>
          <w:p w:rsidR="00BA28CD" w:rsidRPr="00BA28CD" w:rsidRDefault="00BA28CD" w:rsidP="00BA28CD">
            <w:pPr>
              <w:spacing w:after="0"/>
              <w:ind w:firstLine="0"/>
              <w:contextualSpacing w:val="0"/>
              <w:jc w:val="left"/>
              <w:rPr>
                <w:rFonts w:ascii="Cambria" w:eastAsia="Calibri" w:hAnsi="Cambria"/>
                <w:b/>
                <w:color w:val="000000"/>
                <w:sz w:val="18"/>
                <w:szCs w:val="18"/>
              </w:rPr>
            </w:pPr>
            <w:r w:rsidRPr="00BA28CD">
              <w:rPr>
                <w:rFonts w:ascii="Cambria" w:eastAsia="Calibri" w:hAnsi="Cambria"/>
                <w:b/>
                <w:color w:val="000000"/>
                <w:sz w:val="18"/>
                <w:szCs w:val="18"/>
              </w:rPr>
              <w:t>Fáza procesu</w:t>
            </w:r>
          </w:p>
        </w:tc>
        <w:tc>
          <w:tcPr>
            <w:tcW w:w="1160" w:type="pct"/>
            <w:vAlign w:val="center"/>
            <w:hideMark/>
          </w:tcPr>
          <w:p w:rsidR="00BA28CD" w:rsidRPr="00BA28CD" w:rsidRDefault="00BA28CD" w:rsidP="00BA28CD">
            <w:pPr>
              <w:spacing w:after="0"/>
              <w:ind w:firstLine="0"/>
              <w:contextualSpacing w:val="0"/>
              <w:jc w:val="left"/>
              <w:rPr>
                <w:rFonts w:ascii="Cambria" w:eastAsia="Calibri" w:hAnsi="Cambria"/>
                <w:b/>
                <w:color w:val="000000"/>
                <w:sz w:val="18"/>
                <w:szCs w:val="18"/>
              </w:rPr>
            </w:pPr>
            <w:r w:rsidRPr="00BA28CD">
              <w:rPr>
                <w:rFonts w:ascii="Cambria" w:eastAsia="Calibri" w:hAnsi="Cambria"/>
                <w:b/>
                <w:color w:val="000000"/>
                <w:sz w:val="18"/>
                <w:szCs w:val="18"/>
              </w:rPr>
              <w:t>Subfáza</w:t>
            </w:r>
          </w:p>
        </w:tc>
        <w:tc>
          <w:tcPr>
            <w:tcW w:w="2425" w:type="pct"/>
            <w:vAlign w:val="center"/>
            <w:hideMark/>
          </w:tcPr>
          <w:p w:rsidR="00BA28CD" w:rsidRPr="00BA28CD" w:rsidRDefault="00BA28CD" w:rsidP="00BA28CD">
            <w:pPr>
              <w:spacing w:after="0"/>
              <w:ind w:firstLine="0"/>
              <w:contextualSpacing w:val="0"/>
              <w:jc w:val="left"/>
              <w:rPr>
                <w:rFonts w:ascii="Cambria" w:eastAsia="Calibri" w:hAnsi="Cambria"/>
                <w:b/>
                <w:color w:val="000000"/>
                <w:sz w:val="18"/>
                <w:szCs w:val="18"/>
              </w:rPr>
            </w:pPr>
            <w:r w:rsidRPr="00BA28CD">
              <w:rPr>
                <w:rFonts w:ascii="Cambria" w:eastAsia="Calibri" w:hAnsi="Cambria"/>
                <w:b/>
                <w:color w:val="000000"/>
                <w:sz w:val="18"/>
                <w:szCs w:val="18"/>
              </w:rPr>
              <w:t>Kontrolná otázka</w:t>
            </w:r>
          </w:p>
        </w:tc>
        <w:tc>
          <w:tcPr>
            <w:tcW w:w="258" w:type="pct"/>
            <w:vAlign w:val="center"/>
          </w:tcPr>
          <w:p w:rsidR="00BA28CD" w:rsidRPr="00BA28CD" w:rsidRDefault="00BA28CD" w:rsidP="00BA28CD">
            <w:pPr>
              <w:spacing w:after="0"/>
              <w:ind w:firstLine="0"/>
              <w:contextualSpacing w:val="0"/>
              <w:jc w:val="left"/>
              <w:rPr>
                <w:rFonts w:ascii="Cambria" w:eastAsia="Calibri" w:hAnsi="Cambria"/>
                <w:b/>
                <w:color w:val="000000"/>
                <w:sz w:val="18"/>
                <w:szCs w:val="18"/>
              </w:rPr>
            </w:pPr>
            <w:r w:rsidRPr="00BA28CD">
              <w:rPr>
                <w:rFonts w:ascii="Cambria" w:eastAsia="Calibri" w:hAnsi="Cambria"/>
                <w:b/>
                <w:color w:val="000000"/>
                <w:sz w:val="18"/>
                <w:szCs w:val="18"/>
              </w:rPr>
              <w:t>Á</w:t>
            </w:r>
          </w:p>
        </w:tc>
        <w:tc>
          <w:tcPr>
            <w:tcW w:w="307" w:type="pct"/>
            <w:vAlign w:val="center"/>
          </w:tcPr>
          <w:p w:rsidR="00BA28CD" w:rsidRPr="00BA28CD" w:rsidRDefault="00BA28CD" w:rsidP="00BA28CD">
            <w:pPr>
              <w:spacing w:after="0"/>
              <w:ind w:firstLine="0"/>
              <w:contextualSpacing w:val="0"/>
              <w:jc w:val="left"/>
              <w:rPr>
                <w:rFonts w:ascii="Cambria" w:eastAsia="Calibri" w:hAnsi="Cambria"/>
                <w:b/>
                <w:color w:val="000000"/>
                <w:sz w:val="18"/>
                <w:szCs w:val="18"/>
              </w:rPr>
            </w:pPr>
            <w:r w:rsidRPr="00BA28CD">
              <w:rPr>
                <w:rFonts w:ascii="Cambria" w:eastAsia="Calibri" w:hAnsi="Cambria"/>
                <w:b/>
                <w:color w:val="000000"/>
                <w:sz w:val="18"/>
                <w:szCs w:val="18"/>
              </w:rPr>
              <w:t>N</w:t>
            </w:r>
          </w:p>
        </w:tc>
      </w:tr>
      <w:tr w:rsidR="00BA28CD" w:rsidRPr="00BA28CD" w:rsidTr="00E8373E">
        <w:trPr>
          <w:trHeight w:val="560"/>
        </w:trPr>
        <w:tc>
          <w:tcPr>
            <w:tcW w:w="850" w:type="pct"/>
            <w:vMerge w:val="restart"/>
            <w:vAlign w:val="center"/>
            <w:hideMark/>
          </w:tcPr>
          <w:p w:rsidR="00BA28CD" w:rsidRPr="00BA28CD" w:rsidRDefault="00BA28CD" w:rsidP="00BA28CD">
            <w:pPr>
              <w:spacing w:after="0"/>
              <w:ind w:firstLine="0"/>
              <w:contextualSpacing w:val="0"/>
              <w:jc w:val="left"/>
              <w:rPr>
                <w:rFonts w:ascii="Cambria" w:eastAsia="Calibri" w:hAnsi="Cambria"/>
                <w:color w:val="000000"/>
                <w:sz w:val="20"/>
                <w:szCs w:val="20"/>
              </w:rPr>
            </w:pPr>
            <w:r w:rsidRPr="00BA28CD">
              <w:rPr>
                <w:rFonts w:ascii="Cambria" w:eastAsia="Calibri" w:hAnsi="Cambria"/>
                <w:b/>
                <w:sz w:val="20"/>
                <w:szCs w:val="20"/>
              </w:rPr>
              <w:t>1. Príprava tvorby právneho predpisu</w:t>
            </w:r>
          </w:p>
        </w:tc>
        <w:tc>
          <w:tcPr>
            <w:tcW w:w="1160" w:type="pct"/>
            <w:vAlign w:val="center"/>
            <w:hideMark/>
          </w:tcPr>
          <w:p w:rsidR="00BA28CD" w:rsidRPr="00BA28CD" w:rsidRDefault="00BA28CD" w:rsidP="00BA28CD">
            <w:pPr>
              <w:spacing w:after="0"/>
              <w:ind w:firstLine="0"/>
              <w:contextualSpacing w:val="0"/>
              <w:jc w:val="left"/>
              <w:rPr>
                <w:rFonts w:ascii="Cambria" w:eastAsia="Calibri" w:hAnsi="Cambria"/>
                <w:color w:val="000000"/>
                <w:sz w:val="20"/>
                <w:szCs w:val="20"/>
              </w:rPr>
            </w:pPr>
            <w:r w:rsidRPr="00BA28CD">
              <w:rPr>
                <w:rFonts w:ascii="Cambria" w:eastAsia="Calibri" w:hAnsi="Cambria"/>
                <w:sz w:val="20"/>
                <w:szCs w:val="20"/>
              </w:rPr>
              <w:t>1.1 Identifikácia cieľa</w:t>
            </w:r>
          </w:p>
        </w:tc>
        <w:tc>
          <w:tcPr>
            <w:tcW w:w="2425" w:type="pct"/>
            <w:vAlign w:val="center"/>
            <w:hideMark/>
          </w:tcPr>
          <w:p w:rsidR="00BA28CD" w:rsidRPr="00BA28CD" w:rsidRDefault="00BA28CD" w:rsidP="00BA28CD">
            <w:pPr>
              <w:spacing w:after="0"/>
              <w:ind w:firstLine="0"/>
              <w:contextualSpacing w:val="0"/>
              <w:rPr>
                <w:rFonts w:ascii="Cambria" w:eastAsia="Calibri" w:hAnsi="Cambria"/>
                <w:color w:val="000000"/>
                <w:sz w:val="20"/>
                <w:szCs w:val="20"/>
                <w:highlight w:val="cyan"/>
              </w:rPr>
            </w:pPr>
            <w:r w:rsidRPr="00BA28CD">
              <w:rPr>
                <w:rFonts w:ascii="Cambria" w:eastAsia="Calibri" w:hAnsi="Cambria"/>
                <w:sz w:val="20"/>
                <w:szCs w:val="20"/>
              </w:rPr>
              <w:t>Bol zadefinovaný cieľ účasti verejnosti na tvorbe právneho predpisu?</w:t>
            </w:r>
          </w:p>
        </w:tc>
        <w:sdt>
          <w:sdtPr>
            <w:rPr>
              <w:rFonts w:ascii="Cambria" w:eastAsia="Calibri" w:hAnsi="Cambria"/>
              <w:sz w:val="20"/>
              <w:szCs w:val="20"/>
            </w:rPr>
            <w:id w:val="2012403539"/>
          </w:sdtPr>
          <w:sdtEndPr/>
          <w:sdtContent>
            <w:tc>
              <w:tcPr>
                <w:tcW w:w="258" w:type="pct"/>
                <w:vAlign w:val="center"/>
              </w:tcPr>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tc>
          </w:sdtContent>
        </w:sdt>
        <w:sdt>
          <w:sdtPr>
            <w:rPr>
              <w:rFonts w:ascii="Cambria" w:eastAsia="Calibri" w:hAnsi="Cambria"/>
              <w:sz w:val="20"/>
              <w:szCs w:val="20"/>
            </w:rPr>
            <w:id w:val="1524132007"/>
          </w:sdtPr>
          <w:sdtEndPr/>
          <w:sdtContent>
            <w:tc>
              <w:tcPr>
                <w:tcW w:w="307" w:type="pct"/>
                <w:vAlign w:val="center"/>
              </w:tcPr>
              <w:sdt>
                <w:sdtPr>
                  <w:rPr>
                    <w:rFonts w:ascii="Cambria" w:eastAsia="Calibri" w:hAnsi="Cambria"/>
                    <w:sz w:val="20"/>
                    <w:szCs w:val="20"/>
                  </w:rPr>
                  <w:id w:val="1262725056"/>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tr>
      <w:tr w:rsidR="00BA28CD" w:rsidRPr="00BA28CD" w:rsidTr="00E8373E">
        <w:trPr>
          <w:trHeight w:val="560"/>
        </w:trPr>
        <w:tc>
          <w:tcPr>
            <w:tcW w:w="850" w:type="pct"/>
            <w:vMerge/>
            <w:vAlign w:val="center"/>
            <w:hideMark/>
          </w:tcPr>
          <w:p w:rsidR="00BA28CD" w:rsidRPr="00BA28CD" w:rsidRDefault="00BA28CD" w:rsidP="00BA28CD">
            <w:pPr>
              <w:spacing w:after="0"/>
              <w:ind w:firstLine="0"/>
              <w:contextualSpacing w:val="0"/>
              <w:jc w:val="left"/>
              <w:rPr>
                <w:rFonts w:ascii="Cambria" w:eastAsia="Calibri" w:hAnsi="Cambria"/>
                <w:i/>
                <w:color w:val="000000"/>
                <w:sz w:val="20"/>
                <w:szCs w:val="20"/>
              </w:rPr>
            </w:pPr>
          </w:p>
        </w:tc>
        <w:tc>
          <w:tcPr>
            <w:tcW w:w="1160" w:type="pct"/>
            <w:vAlign w:val="center"/>
            <w:hideMark/>
          </w:tcPr>
          <w:p w:rsidR="00BA28CD" w:rsidRPr="00BA28CD" w:rsidRDefault="00BA28CD" w:rsidP="00BA28CD">
            <w:pPr>
              <w:spacing w:after="0"/>
              <w:ind w:firstLine="0"/>
              <w:contextualSpacing w:val="0"/>
              <w:jc w:val="left"/>
              <w:rPr>
                <w:rFonts w:ascii="Cambria" w:eastAsia="Calibri" w:hAnsi="Cambria"/>
                <w:color w:val="000000"/>
                <w:sz w:val="20"/>
                <w:szCs w:val="20"/>
              </w:rPr>
            </w:pPr>
            <w:r w:rsidRPr="00BA28CD">
              <w:rPr>
                <w:rFonts w:ascii="Cambria" w:eastAsia="Calibri" w:hAnsi="Cambria"/>
                <w:sz w:val="20"/>
                <w:szCs w:val="20"/>
              </w:rPr>
              <w:t>1.2 Identifikácia problému a alternatív</w:t>
            </w:r>
          </w:p>
        </w:tc>
        <w:tc>
          <w:tcPr>
            <w:tcW w:w="2425" w:type="pct"/>
            <w:vAlign w:val="center"/>
          </w:tcPr>
          <w:p w:rsidR="00BA28CD" w:rsidRPr="00BA28CD" w:rsidRDefault="00BA28CD" w:rsidP="00BA28CD">
            <w:pPr>
              <w:spacing w:after="0"/>
              <w:ind w:firstLine="0"/>
              <w:contextualSpacing w:val="0"/>
              <w:rPr>
                <w:rFonts w:ascii="Cambria" w:eastAsia="Calibri" w:hAnsi="Cambria"/>
                <w:color w:val="000000"/>
                <w:sz w:val="20"/>
                <w:szCs w:val="20"/>
              </w:rPr>
            </w:pPr>
            <w:r w:rsidRPr="00BA28CD">
              <w:rPr>
                <w:rFonts w:ascii="Cambria" w:eastAsia="Calibri" w:hAnsi="Cambria"/>
                <w:sz w:val="20"/>
                <w:szCs w:val="20"/>
              </w:rPr>
              <w:t>Bola vykonaná identifikácia problému a alternatív riešení?</w:t>
            </w:r>
          </w:p>
        </w:tc>
        <w:sdt>
          <w:sdtPr>
            <w:rPr>
              <w:rFonts w:ascii="Cambria" w:eastAsia="Calibri" w:hAnsi="Cambria"/>
              <w:sz w:val="20"/>
              <w:szCs w:val="20"/>
            </w:rPr>
            <w:id w:val="765262949"/>
          </w:sdtPr>
          <w:sdtEndPr/>
          <w:sdtContent>
            <w:tc>
              <w:tcPr>
                <w:tcW w:w="258" w:type="pct"/>
                <w:vAlign w:val="center"/>
              </w:tcPr>
              <w:sdt>
                <w:sdtPr>
                  <w:rPr>
                    <w:rFonts w:ascii="Cambria" w:eastAsia="Calibri" w:hAnsi="Cambria"/>
                    <w:sz w:val="20"/>
                    <w:szCs w:val="20"/>
                  </w:rPr>
                  <w:id w:val="-2067787660"/>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sdt>
          <w:sdtPr>
            <w:rPr>
              <w:rFonts w:ascii="Cambria" w:eastAsia="Calibri" w:hAnsi="Cambria"/>
              <w:sz w:val="20"/>
              <w:szCs w:val="20"/>
            </w:rPr>
            <w:id w:val="751325921"/>
          </w:sdtPr>
          <w:sdtEndPr/>
          <w:sdtContent>
            <w:tc>
              <w:tcPr>
                <w:tcW w:w="307" w:type="pct"/>
                <w:vAlign w:val="center"/>
              </w:tcPr>
              <w:sdt>
                <w:sdtPr>
                  <w:rPr>
                    <w:rFonts w:ascii="Cambria" w:eastAsia="Calibri" w:hAnsi="Cambria"/>
                    <w:sz w:val="20"/>
                    <w:szCs w:val="20"/>
                  </w:rPr>
                  <w:id w:val="-135878735"/>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tr>
      <w:tr w:rsidR="00BA28CD" w:rsidRPr="00BA28CD" w:rsidTr="00E8373E">
        <w:trPr>
          <w:trHeight w:val="560"/>
        </w:trPr>
        <w:tc>
          <w:tcPr>
            <w:tcW w:w="850" w:type="pct"/>
            <w:vMerge w:val="restart"/>
            <w:vAlign w:val="center"/>
            <w:hideMark/>
          </w:tcPr>
          <w:p w:rsidR="00BA28CD" w:rsidRPr="00BA28CD" w:rsidRDefault="00BA28CD" w:rsidP="00BA28CD">
            <w:pPr>
              <w:spacing w:after="0"/>
              <w:ind w:firstLine="0"/>
              <w:contextualSpacing w:val="0"/>
              <w:jc w:val="left"/>
              <w:rPr>
                <w:rFonts w:ascii="Cambria" w:eastAsia="Calibri" w:hAnsi="Cambria"/>
                <w:color w:val="000000"/>
                <w:sz w:val="20"/>
                <w:szCs w:val="20"/>
              </w:rPr>
            </w:pPr>
            <w:r w:rsidRPr="00BA28CD">
              <w:rPr>
                <w:rFonts w:ascii="Cambria" w:eastAsia="Calibri" w:hAnsi="Cambria"/>
                <w:b/>
                <w:sz w:val="20"/>
                <w:szCs w:val="20"/>
              </w:rPr>
              <w:t>2. Informovanie verejnosti o tvorbe právneho predpisu</w:t>
            </w:r>
          </w:p>
        </w:tc>
        <w:tc>
          <w:tcPr>
            <w:tcW w:w="1160" w:type="pct"/>
            <w:vMerge w:val="restart"/>
            <w:vAlign w:val="center"/>
            <w:hideMark/>
          </w:tcPr>
          <w:p w:rsidR="00BA28CD" w:rsidRPr="00BA28CD" w:rsidRDefault="00BA28CD" w:rsidP="00BA28CD">
            <w:pPr>
              <w:spacing w:after="0"/>
              <w:ind w:firstLine="0"/>
              <w:contextualSpacing w:val="0"/>
              <w:jc w:val="left"/>
              <w:rPr>
                <w:rFonts w:ascii="Cambria" w:eastAsia="Calibri" w:hAnsi="Cambria"/>
                <w:color w:val="000000"/>
                <w:sz w:val="20"/>
                <w:szCs w:val="20"/>
              </w:rPr>
            </w:pPr>
            <w:r w:rsidRPr="00BA28CD">
              <w:rPr>
                <w:rFonts w:ascii="Cambria" w:eastAsia="Calibri" w:hAnsi="Cambria"/>
                <w:sz w:val="20"/>
                <w:szCs w:val="20"/>
              </w:rPr>
              <w:t>2.1 Rozsah informácií</w:t>
            </w:r>
          </w:p>
        </w:tc>
        <w:tc>
          <w:tcPr>
            <w:tcW w:w="2425" w:type="pct"/>
            <w:vAlign w:val="center"/>
            <w:hideMark/>
          </w:tcPr>
          <w:p w:rsidR="00BA28CD" w:rsidRPr="00BA28CD" w:rsidRDefault="00BA28CD" w:rsidP="00BA28CD">
            <w:pPr>
              <w:spacing w:after="0"/>
              <w:ind w:firstLine="0"/>
              <w:contextualSpacing w:val="0"/>
              <w:rPr>
                <w:rFonts w:ascii="Cambria" w:eastAsia="Calibri" w:hAnsi="Cambria"/>
                <w:color w:val="000000"/>
                <w:sz w:val="20"/>
                <w:szCs w:val="20"/>
              </w:rPr>
            </w:pPr>
            <w:r w:rsidRPr="00BA28CD">
              <w:rPr>
                <w:rFonts w:ascii="Cambria" w:eastAsia="Calibri" w:hAnsi="Cambria"/>
                <w:sz w:val="20"/>
                <w:szCs w:val="20"/>
              </w:rPr>
              <w:t>Boli verejnosti poskytnuté informácie o probléme, ktorý má predmetný právny predpis riešiť?</w:t>
            </w:r>
          </w:p>
        </w:tc>
        <w:sdt>
          <w:sdtPr>
            <w:rPr>
              <w:rFonts w:ascii="Cambria" w:eastAsia="Calibri" w:hAnsi="Cambria"/>
              <w:sz w:val="20"/>
              <w:szCs w:val="20"/>
            </w:rPr>
            <w:id w:val="-1383629300"/>
          </w:sdtPr>
          <w:sdtEndPr/>
          <w:sdtContent>
            <w:tc>
              <w:tcPr>
                <w:tcW w:w="258" w:type="pct"/>
                <w:vAlign w:val="center"/>
              </w:tcPr>
              <w:sdt>
                <w:sdtPr>
                  <w:rPr>
                    <w:rFonts w:ascii="Cambria" w:eastAsia="Calibri" w:hAnsi="Cambria"/>
                    <w:sz w:val="20"/>
                    <w:szCs w:val="20"/>
                  </w:rPr>
                  <w:id w:val="-1704705120"/>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sdt>
          <w:sdtPr>
            <w:rPr>
              <w:rFonts w:ascii="Cambria" w:eastAsia="Calibri" w:hAnsi="Cambria"/>
              <w:sz w:val="20"/>
              <w:szCs w:val="20"/>
            </w:rPr>
            <w:id w:val="-79910028"/>
          </w:sdtPr>
          <w:sdtEndPr/>
          <w:sdtContent>
            <w:tc>
              <w:tcPr>
                <w:tcW w:w="307" w:type="pct"/>
                <w:vAlign w:val="center"/>
              </w:tcPr>
              <w:sdt>
                <w:sdtPr>
                  <w:rPr>
                    <w:rFonts w:ascii="Cambria" w:eastAsia="Calibri" w:hAnsi="Cambria"/>
                    <w:sz w:val="20"/>
                    <w:szCs w:val="20"/>
                  </w:rPr>
                  <w:id w:val="2020966881"/>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tr>
      <w:tr w:rsidR="00BA28CD" w:rsidRPr="00BA28CD" w:rsidTr="00E8373E">
        <w:trPr>
          <w:trHeight w:val="560"/>
        </w:trPr>
        <w:tc>
          <w:tcPr>
            <w:tcW w:w="850" w:type="pct"/>
            <w:vMerge/>
            <w:vAlign w:val="center"/>
            <w:hideMark/>
          </w:tcPr>
          <w:p w:rsidR="00BA28CD" w:rsidRPr="00BA28CD" w:rsidRDefault="00BA28CD" w:rsidP="00BA28CD">
            <w:pPr>
              <w:spacing w:after="0"/>
              <w:ind w:firstLine="0"/>
              <w:contextualSpacing w:val="0"/>
              <w:jc w:val="left"/>
              <w:rPr>
                <w:rFonts w:ascii="Cambria" w:eastAsia="Calibri" w:hAnsi="Cambria"/>
                <w:i/>
                <w:color w:val="000000"/>
                <w:sz w:val="20"/>
                <w:szCs w:val="20"/>
              </w:rPr>
            </w:pPr>
          </w:p>
        </w:tc>
        <w:tc>
          <w:tcPr>
            <w:tcW w:w="1160" w:type="pct"/>
            <w:vMerge/>
            <w:vAlign w:val="center"/>
            <w:hideMark/>
          </w:tcPr>
          <w:p w:rsidR="00BA28CD" w:rsidRPr="00BA28CD" w:rsidRDefault="00BA28CD" w:rsidP="00BA28CD">
            <w:pPr>
              <w:spacing w:after="0"/>
              <w:ind w:firstLine="0"/>
              <w:contextualSpacing w:val="0"/>
              <w:jc w:val="left"/>
              <w:rPr>
                <w:rFonts w:ascii="Cambria" w:eastAsia="Calibri" w:hAnsi="Cambria"/>
                <w:color w:val="000000"/>
                <w:sz w:val="20"/>
                <w:szCs w:val="20"/>
              </w:rPr>
            </w:pPr>
          </w:p>
        </w:tc>
        <w:tc>
          <w:tcPr>
            <w:tcW w:w="2425" w:type="pct"/>
            <w:vAlign w:val="center"/>
          </w:tcPr>
          <w:p w:rsidR="00BA28CD" w:rsidRPr="00BA28CD" w:rsidRDefault="00BA28CD" w:rsidP="00BA28CD">
            <w:pPr>
              <w:spacing w:after="0"/>
              <w:ind w:firstLine="0"/>
              <w:contextualSpacing w:val="0"/>
              <w:rPr>
                <w:rFonts w:ascii="Cambria" w:eastAsia="Calibri" w:hAnsi="Cambria"/>
                <w:i/>
                <w:sz w:val="20"/>
                <w:szCs w:val="20"/>
              </w:rPr>
            </w:pPr>
            <w:r w:rsidRPr="00BA28CD">
              <w:rPr>
                <w:rFonts w:ascii="Cambria" w:eastAsia="Calibri" w:hAnsi="Cambria"/>
                <w:sz w:val="20"/>
                <w:szCs w:val="20"/>
              </w:rPr>
              <w:t>Boli verejnosti poskytnuté informácie o cieli účasti verejnosti na tvorbe právneho predpisu spolu s časovým rámcom jeho tvorby?</w:t>
            </w:r>
          </w:p>
        </w:tc>
        <w:sdt>
          <w:sdtPr>
            <w:rPr>
              <w:rFonts w:ascii="Cambria" w:eastAsia="Calibri" w:hAnsi="Cambria"/>
              <w:sz w:val="20"/>
              <w:szCs w:val="20"/>
            </w:rPr>
            <w:id w:val="-593706407"/>
          </w:sdtPr>
          <w:sdtEndPr/>
          <w:sdtContent>
            <w:tc>
              <w:tcPr>
                <w:tcW w:w="258" w:type="pct"/>
                <w:vAlign w:val="center"/>
              </w:tcPr>
              <w:sdt>
                <w:sdtPr>
                  <w:rPr>
                    <w:rFonts w:ascii="Cambria" w:eastAsia="Calibri" w:hAnsi="Cambria"/>
                    <w:sz w:val="20"/>
                    <w:szCs w:val="20"/>
                  </w:rPr>
                  <w:id w:val="-2012750083"/>
                </w:sdtPr>
                <w:sdtEndPr>
                  <w:rPr>
                    <w:rFonts w:hint="eastAsia"/>
                  </w:rPr>
                </w:sdtEndPr>
                <w:sdtContent>
                  <w:p w:rsidR="00BA28CD" w:rsidRPr="00BA28CD" w:rsidRDefault="002C58F1" w:rsidP="00BA28CD">
                    <w:pPr>
                      <w:spacing w:after="0"/>
                      <w:ind w:firstLine="0"/>
                      <w:contextualSpacing w:val="0"/>
                      <w:jc w:val="left"/>
                      <w:rPr>
                        <w:rFonts w:ascii="Cambria" w:eastAsia="Calibri" w:hAnsi="Cambria"/>
                        <w:sz w:val="20"/>
                        <w:szCs w:val="20"/>
                      </w:rPr>
                    </w:pPr>
                    <w:r>
                      <w:rPr>
                        <w:rFonts w:ascii="MS Gothic" w:eastAsia="MS Gothic" w:hAnsi="MS Gothic" w:hint="eastAsia"/>
                        <w:sz w:val="20"/>
                        <w:szCs w:val="20"/>
                      </w:rPr>
                      <w:t>☒</w:t>
                    </w:r>
                  </w:p>
                </w:sdtContent>
              </w:sdt>
            </w:tc>
          </w:sdtContent>
        </w:sdt>
        <w:sdt>
          <w:sdtPr>
            <w:rPr>
              <w:rFonts w:ascii="Cambria" w:eastAsia="Calibri" w:hAnsi="Cambria"/>
              <w:sz w:val="20"/>
              <w:szCs w:val="20"/>
            </w:rPr>
            <w:id w:val="1069607743"/>
          </w:sdtPr>
          <w:sdtEndPr/>
          <w:sdtContent>
            <w:tc>
              <w:tcPr>
                <w:tcW w:w="307" w:type="pct"/>
                <w:vAlign w:val="center"/>
              </w:tcPr>
              <w:sdt>
                <w:sdtPr>
                  <w:rPr>
                    <w:rFonts w:ascii="Cambria" w:eastAsia="Calibri" w:hAnsi="Cambria"/>
                    <w:sz w:val="20"/>
                    <w:szCs w:val="20"/>
                  </w:rPr>
                  <w:id w:val="927546995"/>
                </w:sdtPr>
                <w:sdtEndPr>
                  <w:rPr>
                    <w:rFonts w:hint="eastAsia"/>
                  </w:rPr>
                </w:sdtEndPr>
                <w:sdtContent>
                  <w:p w:rsidR="00BA28CD" w:rsidRPr="00BA28CD" w:rsidRDefault="002C58F1" w:rsidP="00BA28CD">
                    <w:pPr>
                      <w:spacing w:after="0"/>
                      <w:ind w:firstLine="0"/>
                      <w:contextualSpacing w:val="0"/>
                      <w:jc w:val="left"/>
                      <w:rPr>
                        <w:rFonts w:ascii="Cambria" w:eastAsia="Calibri" w:hAnsi="Cambria"/>
                        <w:sz w:val="20"/>
                        <w:szCs w:val="20"/>
                      </w:rPr>
                    </w:pPr>
                    <w:r>
                      <w:rPr>
                        <w:rFonts w:ascii="MS Gothic" w:eastAsia="MS Gothic" w:hAnsi="MS Gothic" w:hint="eastAsia"/>
                        <w:sz w:val="20"/>
                        <w:szCs w:val="20"/>
                      </w:rPr>
                      <w:t>☐</w:t>
                    </w:r>
                  </w:p>
                </w:sdtContent>
              </w:sdt>
            </w:tc>
          </w:sdtContent>
        </w:sdt>
      </w:tr>
      <w:tr w:rsidR="00BA28CD" w:rsidRPr="00BA28CD" w:rsidTr="00E8373E">
        <w:trPr>
          <w:trHeight w:val="560"/>
        </w:trPr>
        <w:tc>
          <w:tcPr>
            <w:tcW w:w="850" w:type="pct"/>
            <w:vMerge/>
            <w:vAlign w:val="center"/>
            <w:hideMark/>
          </w:tcPr>
          <w:p w:rsidR="00BA28CD" w:rsidRPr="00BA28CD" w:rsidRDefault="00BA28CD" w:rsidP="00BA28CD">
            <w:pPr>
              <w:spacing w:after="0"/>
              <w:ind w:firstLine="0"/>
              <w:contextualSpacing w:val="0"/>
              <w:jc w:val="left"/>
              <w:rPr>
                <w:rFonts w:ascii="Cambria" w:eastAsia="Calibri" w:hAnsi="Cambria"/>
                <w:i/>
                <w:color w:val="000000"/>
                <w:sz w:val="20"/>
                <w:szCs w:val="20"/>
              </w:rPr>
            </w:pPr>
          </w:p>
        </w:tc>
        <w:tc>
          <w:tcPr>
            <w:tcW w:w="1160" w:type="pct"/>
            <w:vMerge/>
            <w:vAlign w:val="center"/>
            <w:hideMark/>
          </w:tcPr>
          <w:p w:rsidR="00BA28CD" w:rsidRPr="00BA28CD" w:rsidRDefault="00BA28CD" w:rsidP="00BA28CD">
            <w:pPr>
              <w:spacing w:after="0"/>
              <w:ind w:firstLine="0"/>
              <w:contextualSpacing w:val="0"/>
              <w:jc w:val="left"/>
              <w:rPr>
                <w:rFonts w:ascii="Cambria" w:eastAsia="Calibri" w:hAnsi="Cambria"/>
                <w:color w:val="000000"/>
                <w:sz w:val="20"/>
                <w:szCs w:val="20"/>
              </w:rPr>
            </w:pPr>
          </w:p>
        </w:tc>
        <w:tc>
          <w:tcPr>
            <w:tcW w:w="2425" w:type="pct"/>
            <w:vAlign w:val="center"/>
          </w:tcPr>
          <w:p w:rsidR="00BA28CD" w:rsidRPr="00BA28CD" w:rsidRDefault="00BA28CD" w:rsidP="00BA28CD">
            <w:pPr>
              <w:spacing w:after="0"/>
              <w:ind w:firstLine="0"/>
              <w:contextualSpacing w:val="0"/>
              <w:rPr>
                <w:rFonts w:ascii="Cambria" w:eastAsia="Calibri" w:hAnsi="Cambria"/>
                <w:sz w:val="20"/>
                <w:szCs w:val="20"/>
              </w:rPr>
            </w:pPr>
            <w:r w:rsidRPr="00BA28CD">
              <w:rPr>
                <w:rFonts w:ascii="Cambria" w:eastAsia="Calibri" w:hAnsi="Cambria"/>
                <w:sz w:val="20"/>
                <w:szCs w:val="20"/>
              </w:rPr>
              <w:t>Boli verejnosti poskytnuté informácie o plánovanom procese tvorby právneho predpisu?</w:t>
            </w:r>
          </w:p>
        </w:tc>
        <w:sdt>
          <w:sdtPr>
            <w:rPr>
              <w:rFonts w:ascii="Cambria" w:eastAsia="Calibri" w:hAnsi="Cambria"/>
              <w:sz w:val="20"/>
              <w:szCs w:val="20"/>
            </w:rPr>
            <w:id w:val="-980679718"/>
          </w:sdtPr>
          <w:sdtEndPr/>
          <w:sdtContent>
            <w:tc>
              <w:tcPr>
                <w:tcW w:w="258" w:type="pct"/>
                <w:vAlign w:val="center"/>
              </w:tcPr>
              <w:sdt>
                <w:sdtPr>
                  <w:rPr>
                    <w:rFonts w:ascii="Cambria" w:eastAsia="Calibri" w:hAnsi="Cambria"/>
                    <w:sz w:val="20"/>
                    <w:szCs w:val="20"/>
                  </w:rPr>
                  <w:id w:val="-910390059"/>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sdt>
          <w:sdtPr>
            <w:rPr>
              <w:rFonts w:ascii="Cambria" w:eastAsia="Calibri" w:hAnsi="Cambria"/>
              <w:sz w:val="20"/>
              <w:szCs w:val="20"/>
            </w:rPr>
            <w:id w:val="18976325"/>
          </w:sdtPr>
          <w:sdtEndPr/>
          <w:sdtContent>
            <w:tc>
              <w:tcPr>
                <w:tcW w:w="307" w:type="pct"/>
                <w:vAlign w:val="center"/>
              </w:tcPr>
              <w:sdt>
                <w:sdtPr>
                  <w:rPr>
                    <w:rFonts w:ascii="Cambria" w:eastAsia="Calibri" w:hAnsi="Cambria"/>
                    <w:sz w:val="20"/>
                    <w:szCs w:val="20"/>
                  </w:rPr>
                  <w:id w:val="-1722351212"/>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tr>
      <w:tr w:rsidR="00BA28CD" w:rsidRPr="00BA28CD" w:rsidTr="00E8373E">
        <w:trPr>
          <w:trHeight w:val="560"/>
        </w:trPr>
        <w:tc>
          <w:tcPr>
            <w:tcW w:w="850" w:type="pct"/>
            <w:vMerge/>
            <w:vAlign w:val="center"/>
            <w:hideMark/>
          </w:tcPr>
          <w:p w:rsidR="00BA28CD" w:rsidRPr="00BA28CD" w:rsidRDefault="00BA28CD" w:rsidP="00BA28CD">
            <w:pPr>
              <w:spacing w:after="0"/>
              <w:ind w:firstLine="0"/>
              <w:contextualSpacing w:val="0"/>
              <w:jc w:val="left"/>
              <w:rPr>
                <w:rFonts w:ascii="Cambria" w:eastAsia="Calibri" w:hAnsi="Cambria"/>
                <w:i/>
                <w:color w:val="000000"/>
                <w:sz w:val="20"/>
                <w:szCs w:val="20"/>
              </w:rPr>
            </w:pPr>
          </w:p>
        </w:tc>
        <w:tc>
          <w:tcPr>
            <w:tcW w:w="1160" w:type="pct"/>
            <w:vMerge w:val="restart"/>
            <w:vAlign w:val="center"/>
          </w:tcPr>
          <w:p w:rsidR="00BA28CD" w:rsidRPr="00BA28CD" w:rsidRDefault="00BA28CD" w:rsidP="00BA28CD">
            <w:pPr>
              <w:spacing w:after="0"/>
              <w:ind w:firstLine="0"/>
              <w:contextualSpacing w:val="0"/>
              <w:jc w:val="left"/>
              <w:rPr>
                <w:rFonts w:ascii="Cambria" w:eastAsia="Calibri" w:hAnsi="Cambria"/>
                <w:color w:val="000000"/>
                <w:sz w:val="20"/>
                <w:szCs w:val="20"/>
              </w:rPr>
            </w:pPr>
            <w:r w:rsidRPr="00BA28CD">
              <w:rPr>
                <w:rFonts w:ascii="Cambria" w:eastAsia="Calibri" w:hAnsi="Cambria"/>
                <w:sz w:val="20"/>
                <w:szCs w:val="20"/>
              </w:rPr>
              <w:t>2.2 Kontinuita informovania</w:t>
            </w:r>
          </w:p>
        </w:tc>
        <w:tc>
          <w:tcPr>
            <w:tcW w:w="2425" w:type="pct"/>
            <w:vAlign w:val="center"/>
            <w:hideMark/>
          </w:tcPr>
          <w:p w:rsidR="00BA28CD" w:rsidRPr="00BA28CD" w:rsidRDefault="00BA28CD" w:rsidP="00BA28CD">
            <w:pPr>
              <w:spacing w:after="0"/>
              <w:ind w:firstLine="0"/>
              <w:contextualSpacing w:val="0"/>
              <w:rPr>
                <w:rFonts w:ascii="Cambria" w:eastAsia="Calibri" w:hAnsi="Cambria"/>
                <w:color w:val="000000"/>
                <w:sz w:val="20"/>
                <w:szCs w:val="20"/>
              </w:rPr>
            </w:pPr>
            <w:r w:rsidRPr="00BA28CD">
              <w:rPr>
                <w:rFonts w:ascii="Cambria" w:eastAsia="Calibri" w:hAnsi="Cambria"/>
                <w:sz w:val="20"/>
                <w:szCs w:val="20"/>
              </w:rPr>
              <w:t>Boli verejnosti poskytnuté relevantné informácie pred začatím tvorby právneho predpisu?</w:t>
            </w:r>
          </w:p>
        </w:tc>
        <w:sdt>
          <w:sdtPr>
            <w:rPr>
              <w:rFonts w:ascii="Cambria" w:eastAsia="Calibri" w:hAnsi="Cambria"/>
              <w:sz w:val="20"/>
              <w:szCs w:val="20"/>
            </w:rPr>
            <w:id w:val="1155105942"/>
          </w:sdtPr>
          <w:sdtEndPr/>
          <w:sdtContent>
            <w:tc>
              <w:tcPr>
                <w:tcW w:w="258" w:type="pct"/>
                <w:vAlign w:val="center"/>
              </w:tcPr>
              <w:sdt>
                <w:sdtPr>
                  <w:rPr>
                    <w:rFonts w:ascii="Cambria" w:eastAsia="Calibri" w:hAnsi="Cambria"/>
                    <w:sz w:val="20"/>
                    <w:szCs w:val="20"/>
                  </w:rPr>
                  <w:id w:val="-1430656133"/>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sdt>
          <w:sdtPr>
            <w:rPr>
              <w:rFonts w:ascii="Cambria" w:eastAsia="Calibri" w:hAnsi="Cambria"/>
              <w:sz w:val="20"/>
              <w:szCs w:val="20"/>
            </w:rPr>
            <w:id w:val="-1188909565"/>
          </w:sdtPr>
          <w:sdtEndPr/>
          <w:sdtContent>
            <w:tc>
              <w:tcPr>
                <w:tcW w:w="307" w:type="pct"/>
                <w:vAlign w:val="center"/>
              </w:tcPr>
              <w:sdt>
                <w:sdtPr>
                  <w:rPr>
                    <w:rFonts w:ascii="Cambria" w:eastAsia="Calibri" w:hAnsi="Cambria"/>
                    <w:sz w:val="20"/>
                    <w:szCs w:val="20"/>
                  </w:rPr>
                  <w:id w:val="355932843"/>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tr>
      <w:tr w:rsidR="00BA28CD" w:rsidRPr="00BA28CD" w:rsidTr="00E8373E">
        <w:trPr>
          <w:trHeight w:val="560"/>
        </w:trPr>
        <w:tc>
          <w:tcPr>
            <w:tcW w:w="850" w:type="pct"/>
            <w:vMerge/>
            <w:vAlign w:val="center"/>
            <w:hideMark/>
          </w:tcPr>
          <w:p w:rsidR="00BA28CD" w:rsidRPr="00BA28CD" w:rsidRDefault="00BA28CD" w:rsidP="00BA28CD">
            <w:pPr>
              <w:spacing w:after="0"/>
              <w:ind w:firstLine="0"/>
              <w:contextualSpacing w:val="0"/>
              <w:jc w:val="left"/>
              <w:rPr>
                <w:rFonts w:ascii="Cambria" w:eastAsia="Calibri" w:hAnsi="Cambria"/>
                <w:i/>
                <w:color w:val="000000"/>
                <w:sz w:val="20"/>
                <w:szCs w:val="20"/>
              </w:rPr>
            </w:pPr>
          </w:p>
        </w:tc>
        <w:tc>
          <w:tcPr>
            <w:tcW w:w="1160" w:type="pct"/>
            <w:vMerge/>
            <w:vAlign w:val="center"/>
            <w:hideMark/>
          </w:tcPr>
          <w:p w:rsidR="00BA28CD" w:rsidRPr="00BA28CD" w:rsidRDefault="00BA28CD" w:rsidP="00BA28CD">
            <w:pPr>
              <w:spacing w:after="0"/>
              <w:ind w:firstLine="0"/>
              <w:contextualSpacing w:val="0"/>
              <w:jc w:val="left"/>
              <w:rPr>
                <w:rFonts w:ascii="Cambria" w:eastAsia="Calibri" w:hAnsi="Cambria"/>
                <w:color w:val="000000"/>
                <w:sz w:val="20"/>
                <w:szCs w:val="20"/>
              </w:rPr>
            </w:pPr>
          </w:p>
        </w:tc>
        <w:tc>
          <w:tcPr>
            <w:tcW w:w="2425" w:type="pct"/>
            <w:vAlign w:val="center"/>
          </w:tcPr>
          <w:p w:rsidR="00BA28CD" w:rsidRPr="00BA28CD" w:rsidRDefault="00BA28CD" w:rsidP="00BA28CD">
            <w:pPr>
              <w:spacing w:after="0"/>
              <w:ind w:firstLine="0"/>
              <w:contextualSpacing w:val="0"/>
              <w:rPr>
                <w:rFonts w:ascii="Cambria" w:eastAsia="Calibri" w:hAnsi="Cambria"/>
                <w:color w:val="000000"/>
                <w:sz w:val="20"/>
                <w:szCs w:val="20"/>
              </w:rPr>
            </w:pPr>
            <w:r w:rsidRPr="00BA28CD">
              <w:rPr>
                <w:rFonts w:ascii="Cambria" w:eastAsia="Calibri" w:hAnsi="Cambria"/>
                <w:sz w:val="20"/>
                <w:szCs w:val="20"/>
              </w:rPr>
              <w:t>Boli verejnosti poskytnuté relevantné informácie počas tvorby právneho predpisu?</w:t>
            </w:r>
          </w:p>
        </w:tc>
        <w:sdt>
          <w:sdtPr>
            <w:rPr>
              <w:rFonts w:ascii="Cambria" w:eastAsia="Calibri" w:hAnsi="Cambria"/>
              <w:sz w:val="20"/>
              <w:szCs w:val="20"/>
            </w:rPr>
            <w:id w:val="271753991"/>
          </w:sdtPr>
          <w:sdtEndPr/>
          <w:sdtContent>
            <w:tc>
              <w:tcPr>
                <w:tcW w:w="258" w:type="pct"/>
                <w:vAlign w:val="center"/>
              </w:tcPr>
              <w:sdt>
                <w:sdtPr>
                  <w:rPr>
                    <w:rFonts w:ascii="Cambria" w:eastAsia="Calibri" w:hAnsi="Cambria"/>
                    <w:sz w:val="20"/>
                    <w:szCs w:val="20"/>
                  </w:rPr>
                  <w:id w:val="-1115365609"/>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sdt>
          <w:sdtPr>
            <w:rPr>
              <w:rFonts w:ascii="Cambria" w:eastAsia="Calibri" w:hAnsi="Cambria"/>
              <w:sz w:val="20"/>
              <w:szCs w:val="20"/>
            </w:rPr>
            <w:id w:val="-1623145726"/>
          </w:sdtPr>
          <w:sdtEndPr/>
          <w:sdtContent>
            <w:tc>
              <w:tcPr>
                <w:tcW w:w="307" w:type="pct"/>
                <w:vAlign w:val="center"/>
              </w:tcPr>
              <w:sdt>
                <w:sdtPr>
                  <w:rPr>
                    <w:rFonts w:ascii="Cambria" w:eastAsia="Calibri" w:hAnsi="Cambria"/>
                    <w:sz w:val="20"/>
                    <w:szCs w:val="20"/>
                  </w:rPr>
                  <w:id w:val="-946770583"/>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tr>
      <w:tr w:rsidR="00BA28CD" w:rsidRPr="00BA28CD" w:rsidTr="00E8373E">
        <w:trPr>
          <w:trHeight w:val="560"/>
        </w:trPr>
        <w:tc>
          <w:tcPr>
            <w:tcW w:w="850" w:type="pct"/>
            <w:vMerge/>
            <w:vAlign w:val="center"/>
            <w:hideMark/>
          </w:tcPr>
          <w:p w:rsidR="00BA28CD" w:rsidRPr="00BA28CD" w:rsidRDefault="00BA28CD" w:rsidP="00BA28CD">
            <w:pPr>
              <w:spacing w:after="0"/>
              <w:ind w:firstLine="0"/>
              <w:contextualSpacing w:val="0"/>
              <w:jc w:val="left"/>
              <w:rPr>
                <w:rFonts w:ascii="Cambria" w:eastAsia="Calibri" w:hAnsi="Cambria"/>
                <w:i/>
                <w:color w:val="000000"/>
                <w:sz w:val="20"/>
                <w:szCs w:val="20"/>
              </w:rPr>
            </w:pPr>
          </w:p>
        </w:tc>
        <w:tc>
          <w:tcPr>
            <w:tcW w:w="1160" w:type="pct"/>
            <w:vMerge/>
            <w:vAlign w:val="center"/>
            <w:hideMark/>
          </w:tcPr>
          <w:p w:rsidR="00BA28CD" w:rsidRPr="00BA28CD" w:rsidRDefault="00BA28CD" w:rsidP="00BA28CD">
            <w:pPr>
              <w:spacing w:after="0"/>
              <w:ind w:firstLine="0"/>
              <w:contextualSpacing w:val="0"/>
              <w:jc w:val="left"/>
              <w:rPr>
                <w:rFonts w:ascii="Cambria" w:eastAsia="Calibri" w:hAnsi="Cambria"/>
                <w:color w:val="000000"/>
                <w:sz w:val="20"/>
                <w:szCs w:val="20"/>
              </w:rPr>
            </w:pPr>
          </w:p>
        </w:tc>
        <w:tc>
          <w:tcPr>
            <w:tcW w:w="2425" w:type="pct"/>
            <w:vAlign w:val="center"/>
          </w:tcPr>
          <w:p w:rsidR="00BA28CD" w:rsidRPr="00BA28CD" w:rsidRDefault="00BA28CD" w:rsidP="00BA28CD">
            <w:pPr>
              <w:spacing w:after="0"/>
              <w:ind w:firstLine="0"/>
              <w:contextualSpacing w:val="0"/>
              <w:rPr>
                <w:rFonts w:ascii="Cambria" w:eastAsia="Calibri" w:hAnsi="Cambria"/>
                <w:color w:val="000000"/>
                <w:sz w:val="20"/>
                <w:szCs w:val="20"/>
              </w:rPr>
            </w:pPr>
            <w:r w:rsidRPr="00BA28CD">
              <w:rPr>
                <w:rFonts w:ascii="Cambria" w:eastAsia="Calibri" w:hAnsi="Cambria"/>
                <w:sz w:val="20"/>
                <w:szCs w:val="20"/>
              </w:rPr>
              <w:t>Boli verejnosti poskytnuté relevantné informácie aj po ukončení tvorby právneho predpisu?</w:t>
            </w:r>
          </w:p>
        </w:tc>
        <w:sdt>
          <w:sdtPr>
            <w:rPr>
              <w:rFonts w:ascii="Cambria" w:eastAsia="Calibri" w:hAnsi="Cambria"/>
              <w:sz w:val="20"/>
              <w:szCs w:val="20"/>
            </w:rPr>
            <w:id w:val="-2118819376"/>
          </w:sdtPr>
          <w:sdtEndPr/>
          <w:sdtContent>
            <w:tc>
              <w:tcPr>
                <w:tcW w:w="258" w:type="pct"/>
                <w:vAlign w:val="center"/>
              </w:tcPr>
              <w:sdt>
                <w:sdtPr>
                  <w:rPr>
                    <w:rFonts w:ascii="Cambria" w:eastAsia="Calibri" w:hAnsi="Cambria"/>
                    <w:sz w:val="20"/>
                    <w:szCs w:val="20"/>
                  </w:rPr>
                  <w:id w:val="-1718731590"/>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sdt>
          <w:sdtPr>
            <w:rPr>
              <w:rFonts w:ascii="Cambria" w:eastAsia="Calibri" w:hAnsi="Cambria"/>
              <w:sz w:val="20"/>
              <w:szCs w:val="20"/>
            </w:rPr>
            <w:id w:val="-875627907"/>
          </w:sdtPr>
          <w:sdtEndPr/>
          <w:sdtContent>
            <w:tc>
              <w:tcPr>
                <w:tcW w:w="307" w:type="pct"/>
                <w:vAlign w:val="center"/>
              </w:tcPr>
              <w:sdt>
                <w:sdtPr>
                  <w:rPr>
                    <w:rFonts w:ascii="Cambria" w:eastAsia="Calibri" w:hAnsi="Cambria"/>
                    <w:sz w:val="20"/>
                    <w:szCs w:val="20"/>
                  </w:rPr>
                  <w:id w:val="96996236"/>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tr>
      <w:tr w:rsidR="00BA28CD" w:rsidRPr="00BA28CD" w:rsidTr="00E8373E">
        <w:trPr>
          <w:trHeight w:val="560"/>
        </w:trPr>
        <w:tc>
          <w:tcPr>
            <w:tcW w:w="850" w:type="pct"/>
            <w:vMerge/>
            <w:vAlign w:val="center"/>
            <w:hideMark/>
          </w:tcPr>
          <w:p w:rsidR="00BA28CD" w:rsidRPr="00BA28CD" w:rsidRDefault="00BA28CD" w:rsidP="00BA28CD">
            <w:pPr>
              <w:spacing w:after="0"/>
              <w:ind w:firstLine="0"/>
              <w:contextualSpacing w:val="0"/>
              <w:jc w:val="left"/>
              <w:rPr>
                <w:rFonts w:ascii="Cambria" w:eastAsia="Calibri" w:hAnsi="Cambria"/>
                <w:i/>
                <w:color w:val="000000"/>
                <w:sz w:val="20"/>
                <w:szCs w:val="20"/>
              </w:rPr>
            </w:pPr>
          </w:p>
        </w:tc>
        <w:tc>
          <w:tcPr>
            <w:tcW w:w="1160" w:type="pct"/>
            <w:vMerge w:val="restart"/>
            <w:vAlign w:val="center"/>
          </w:tcPr>
          <w:p w:rsidR="00BA28CD" w:rsidRPr="00BA28CD" w:rsidRDefault="00BA28CD" w:rsidP="00BA28CD">
            <w:pPr>
              <w:spacing w:after="0"/>
              <w:ind w:firstLine="0"/>
              <w:contextualSpacing w:val="0"/>
              <w:jc w:val="left"/>
              <w:rPr>
                <w:rFonts w:ascii="Cambria" w:eastAsia="Calibri" w:hAnsi="Cambria"/>
                <w:color w:val="000000"/>
                <w:sz w:val="20"/>
                <w:szCs w:val="20"/>
              </w:rPr>
            </w:pPr>
            <w:r w:rsidRPr="00BA28CD">
              <w:rPr>
                <w:rFonts w:ascii="Cambria" w:eastAsia="Calibri" w:hAnsi="Cambria"/>
                <w:sz w:val="20"/>
                <w:szCs w:val="20"/>
              </w:rPr>
              <w:t>2.3 Kvalita a včasnosť informácií</w:t>
            </w:r>
          </w:p>
        </w:tc>
        <w:tc>
          <w:tcPr>
            <w:tcW w:w="2425" w:type="pct"/>
            <w:vAlign w:val="center"/>
            <w:hideMark/>
          </w:tcPr>
          <w:p w:rsidR="00BA28CD" w:rsidRPr="00BA28CD" w:rsidRDefault="00BA28CD" w:rsidP="00BA28CD">
            <w:pPr>
              <w:spacing w:after="0"/>
              <w:ind w:firstLine="0"/>
              <w:contextualSpacing w:val="0"/>
              <w:rPr>
                <w:rFonts w:ascii="Cambria" w:eastAsia="Calibri" w:hAnsi="Cambria"/>
                <w:sz w:val="20"/>
                <w:szCs w:val="20"/>
              </w:rPr>
            </w:pPr>
            <w:r w:rsidRPr="00BA28CD">
              <w:rPr>
                <w:rFonts w:ascii="Cambria" w:eastAsia="Calibri" w:hAnsi="Cambria"/>
                <w:sz w:val="20"/>
                <w:szCs w:val="20"/>
              </w:rPr>
              <w:t>Boli relevantné informácie o tvorbe právneho predpisu verejnosti poskytnuté včas?</w:t>
            </w:r>
          </w:p>
        </w:tc>
        <w:sdt>
          <w:sdtPr>
            <w:rPr>
              <w:rFonts w:ascii="Cambria" w:eastAsia="Calibri" w:hAnsi="Cambria"/>
              <w:sz w:val="20"/>
              <w:szCs w:val="20"/>
            </w:rPr>
            <w:id w:val="-281646579"/>
          </w:sdtPr>
          <w:sdtEndPr/>
          <w:sdtContent>
            <w:tc>
              <w:tcPr>
                <w:tcW w:w="258" w:type="pct"/>
                <w:vAlign w:val="center"/>
              </w:tcPr>
              <w:sdt>
                <w:sdtPr>
                  <w:rPr>
                    <w:rFonts w:ascii="Cambria" w:eastAsia="Calibri" w:hAnsi="Cambria"/>
                    <w:sz w:val="20"/>
                    <w:szCs w:val="20"/>
                  </w:rPr>
                  <w:id w:val="1486741670"/>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sdt>
          <w:sdtPr>
            <w:rPr>
              <w:rFonts w:ascii="Cambria" w:eastAsia="Calibri" w:hAnsi="Cambria"/>
              <w:sz w:val="20"/>
              <w:szCs w:val="20"/>
            </w:rPr>
            <w:id w:val="-806853397"/>
          </w:sdtPr>
          <w:sdtEndPr/>
          <w:sdtContent>
            <w:tc>
              <w:tcPr>
                <w:tcW w:w="307" w:type="pct"/>
                <w:vAlign w:val="center"/>
              </w:tcPr>
              <w:sdt>
                <w:sdtPr>
                  <w:rPr>
                    <w:rFonts w:ascii="Cambria" w:eastAsia="Calibri" w:hAnsi="Cambria"/>
                    <w:sz w:val="20"/>
                    <w:szCs w:val="20"/>
                  </w:rPr>
                  <w:id w:val="640996769"/>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tr>
      <w:tr w:rsidR="00BA28CD" w:rsidRPr="00BA28CD" w:rsidTr="00E8373E">
        <w:trPr>
          <w:trHeight w:val="560"/>
        </w:trPr>
        <w:tc>
          <w:tcPr>
            <w:tcW w:w="850" w:type="pct"/>
            <w:vMerge/>
            <w:vAlign w:val="center"/>
            <w:hideMark/>
          </w:tcPr>
          <w:p w:rsidR="00BA28CD" w:rsidRPr="00BA28CD" w:rsidRDefault="00BA28CD" w:rsidP="00BA28CD">
            <w:pPr>
              <w:spacing w:after="0"/>
              <w:ind w:firstLine="0"/>
              <w:contextualSpacing w:val="0"/>
              <w:jc w:val="left"/>
              <w:rPr>
                <w:rFonts w:ascii="Cambria" w:eastAsia="Calibri" w:hAnsi="Cambria"/>
                <w:i/>
                <w:color w:val="000000"/>
                <w:sz w:val="20"/>
                <w:szCs w:val="20"/>
              </w:rPr>
            </w:pPr>
          </w:p>
        </w:tc>
        <w:tc>
          <w:tcPr>
            <w:tcW w:w="1160" w:type="pct"/>
            <w:vMerge/>
            <w:vAlign w:val="center"/>
            <w:hideMark/>
          </w:tcPr>
          <w:p w:rsidR="00BA28CD" w:rsidRPr="00BA28CD" w:rsidRDefault="00BA28CD" w:rsidP="00BA28CD">
            <w:pPr>
              <w:spacing w:after="0"/>
              <w:ind w:firstLine="0"/>
              <w:contextualSpacing w:val="0"/>
              <w:jc w:val="left"/>
              <w:rPr>
                <w:rFonts w:ascii="Cambria" w:eastAsia="Calibri" w:hAnsi="Cambria"/>
                <w:color w:val="000000"/>
                <w:sz w:val="20"/>
                <w:szCs w:val="20"/>
              </w:rPr>
            </w:pPr>
          </w:p>
        </w:tc>
        <w:tc>
          <w:tcPr>
            <w:tcW w:w="2425" w:type="pct"/>
            <w:vAlign w:val="center"/>
          </w:tcPr>
          <w:p w:rsidR="00BA28CD" w:rsidRPr="00BA28CD" w:rsidRDefault="00BA28CD" w:rsidP="00BA28CD">
            <w:pPr>
              <w:spacing w:after="0"/>
              <w:ind w:firstLine="0"/>
              <w:contextualSpacing w:val="0"/>
              <w:rPr>
                <w:rFonts w:ascii="Cambria" w:eastAsia="Calibri" w:hAnsi="Cambria"/>
                <w:color w:val="000000"/>
                <w:sz w:val="20"/>
                <w:szCs w:val="20"/>
                <w:highlight w:val="cyan"/>
              </w:rPr>
            </w:pPr>
            <w:r w:rsidRPr="00BA28CD">
              <w:rPr>
                <w:rFonts w:ascii="Cambria" w:eastAsia="Calibri" w:hAnsi="Cambria"/>
                <w:sz w:val="20"/>
                <w:szCs w:val="20"/>
              </w:rPr>
              <w:t>Boli relevantné informácie o tvorbe právneho predpisu a o samotnom právnom predpise poskytnuté vo vyhovujúcej technickej kvalite?</w:t>
            </w:r>
          </w:p>
        </w:tc>
        <w:sdt>
          <w:sdtPr>
            <w:rPr>
              <w:rFonts w:ascii="Cambria" w:eastAsia="Calibri" w:hAnsi="Cambria"/>
              <w:sz w:val="20"/>
              <w:szCs w:val="20"/>
              <w:vertAlign w:val="superscript"/>
            </w:rPr>
            <w:id w:val="-499735987"/>
          </w:sdtPr>
          <w:sdtEndPr/>
          <w:sdtContent>
            <w:tc>
              <w:tcPr>
                <w:tcW w:w="258" w:type="pct"/>
                <w:vAlign w:val="center"/>
              </w:tcPr>
              <w:sdt>
                <w:sdtPr>
                  <w:rPr>
                    <w:rFonts w:ascii="Cambria" w:eastAsia="Calibri" w:hAnsi="Cambria"/>
                    <w:sz w:val="20"/>
                    <w:szCs w:val="20"/>
                  </w:rPr>
                  <w:id w:val="-468137539"/>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sdt>
          <w:sdtPr>
            <w:rPr>
              <w:rFonts w:ascii="Cambria" w:eastAsia="Calibri" w:hAnsi="Cambria"/>
              <w:sz w:val="20"/>
              <w:szCs w:val="20"/>
            </w:rPr>
            <w:id w:val="-729766453"/>
          </w:sdtPr>
          <w:sdtEndPr/>
          <w:sdtContent>
            <w:tc>
              <w:tcPr>
                <w:tcW w:w="307" w:type="pct"/>
                <w:vAlign w:val="center"/>
              </w:tcPr>
              <w:sdt>
                <w:sdtPr>
                  <w:rPr>
                    <w:rFonts w:ascii="Cambria" w:eastAsia="Calibri" w:hAnsi="Cambria"/>
                    <w:sz w:val="20"/>
                    <w:szCs w:val="20"/>
                  </w:rPr>
                  <w:id w:val="-2011354966"/>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tr>
      <w:tr w:rsidR="00BA28CD" w:rsidRPr="00BA28CD" w:rsidTr="00E8373E">
        <w:trPr>
          <w:trHeight w:val="560"/>
        </w:trPr>
        <w:tc>
          <w:tcPr>
            <w:tcW w:w="850" w:type="pct"/>
            <w:vMerge/>
            <w:vAlign w:val="center"/>
            <w:hideMark/>
          </w:tcPr>
          <w:p w:rsidR="00BA28CD" w:rsidRPr="00BA28CD" w:rsidRDefault="00BA28CD" w:rsidP="00BA28CD">
            <w:pPr>
              <w:spacing w:after="0"/>
              <w:ind w:firstLine="0"/>
              <w:contextualSpacing w:val="0"/>
              <w:jc w:val="left"/>
              <w:rPr>
                <w:rFonts w:ascii="Cambria" w:eastAsia="Calibri" w:hAnsi="Cambria"/>
                <w:i/>
                <w:color w:val="000000"/>
                <w:sz w:val="20"/>
                <w:szCs w:val="20"/>
              </w:rPr>
            </w:pPr>
          </w:p>
        </w:tc>
        <w:tc>
          <w:tcPr>
            <w:tcW w:w="1160" w:type="pct"/>
            <w:tcBorders>
              <w:bottom w:val="single" w:sz="4" w:space="0" w:color="auto"/>
            </w:tcBorders>
            <w:vAlign w:val="center"/>
          </w:tcPr>
          <w:p w:rsidR="00BA28CD" w:rsidRPr="00BA28CD" w:rsidRDefault="00BA28CD" w:rsidP="00BA28CD">
            <w:pPr>
              <w:spacing w:after="0"/>
              <w:ind w:firstLine="0"/>
              <w:contextualSpacing w:val="0"/>
              <w:jc w:val="left"/>
              <w:rPr>
                <w:rFonts w:ascii="Cambria" w:eastAsia="Calibri" w:hAnsi="Cambria"/>
                <w:color w:val="000000"/>
                <w:sz w:val="20"/>
                <w:szCs w:val="20"/>
              </w:rPr>
            </w:pPr>
            <w:r w:rsidRPr="00BA28CD">
              <w:rPr>
                <w:rFonts w:ascii="Cambria" w:eastAsia="Calibri" w:hAnsi="Cambria"/>
                <w:sz w:val="20"/>
                <w:szCs w:val="20"/>
              </w:rPr>
              <w:t>2.4 Adresnosť informácií</w:t>
            </w:r>
          </w:p>
        </w:tc>
        <w:tc>
          <w:tcPr>
            <w:tcW w:w="2425" w:type="pct"/>
            <w:vAlign w:val="center"/>
            <w:hideMark/>
          </w:tcPr>
          <w:p w:rsidR="00BA28CD" w:rsidRPr="00BA28CD" w:rsidRDefault="00BA28CD" w:rsidP="00BA28CD">
            <w:pPr>
              <w:spacing w:after="0"/>
              <w:ind w:firstLine="0"/>
              <w:contextualSpacing w:val="0"/>
              <w:rPr>
                <w:rFonts w:ascii="Cambria" w:eastAsia="Calibri" w:hAnsi="Cambria"/>
                <w:color w:val="000000"/>
                <w:sz w:val="20"/>
                <w:szCs w:val="20"/>
              </w:rPr>
            </w:pPr>
            <w:r w:rsidRPr="00BA28CD">
              <w:rPr>
                <w:rFonts w:ascii="Cambria" w:eastAsia="Calibri" w:hAnsi="Cambria"/>
                <w:sz w:val="20"/>
                <w:szCs w:val="20"/>
              </w:rPr>
              <w:t xml:space="preserve">Boli zvolené komunikačné kanály dostatočné vzhľadom na prenos relevantných informácií o  právnom predpise smerom k verejnosti? </w:t>
            </w:r>
          </w:p>
        </w:tc>
        <w:sdt>
          <w:sdtPr>
            <w:rPr>
              <w:rFonts w:ascii="Cambria" w:eastAsia="Calibri" w:hAnsi="Cambria"/>
              <w:sz w:val="20"/>
              <w:szCs w:val="20"/>
            </w:rPr>
            <w:id w:val="-72590606"/>
          </w:sdtPr>
          <w:sdtEndPr/>
          <w:sdtContent>
            <w:tc>
              <w:tcPr>
                <w:tcW w:w="258" w:type="pct"/>
                <w:vAlign w:val="center"/>
              </w:tcPr>
              <w:sdt>
                <w:sdtPr>
                  <w:rPr>
                    <w:rFonts w:ascii="Cambria" w:eastAsia="Calibri" w:hAnsi="Cambria"/>
                    <w:sz w:val="20"/>
                    <w:szCs w:val="20"/>
                  </w:rPr>
                  <w:id w:val="1596126191"/>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sdt>
          <w:sdtPr>
            <w:rPr>
              <w:rFonts w:ascii="Cambria" w:eastAsia="Calibri" w:hAnsi="Cambria"/>
              <w:sz w:val="20"/>
              <w:szCs w:val="20"/>
            </w:rPr>
            <w:id w:val="1050889384"/>
          </w:sdtPr>
          <w:sdtEndPr/>
          <w:sdtContent>
            <w:tc>
              <w:tcPr>
                <w:tcW w:w="307" w:type="pct"/>
                <w:vAlign w:val="center"/>
              </w:tcPr>
              <w:sdt>
                <w:sdtPr>
                  <w:rPr>
                    <w:rFonts w:ascii="Cambria" w:eastAsia="Calibri" w:hAnsi="Cambria"/>
                    <w:sz w:val="20"/>
                    <w:szCs w:val="20"/>
                  </w:rPr>
                  <w:id w:val="-1005519829"/>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tr>
      <w:tr w:rsidR="00BA28CD" w:rsidRPr="00BA28CD" w:rsidTr="00E8373E">
        <w:trPr>
          <w:trHeight w:val="560"/>
        </w:trPr>
        <w:tc>
          <w:tcPr>
            <w:tcW w:w="850" w:type="pct"/>
            <w:vMerge w:val="restart"/>
            <w:vAlign w:val="center"/>
            <w:hideMark/>
          </w:tcPr>
          <w:p w:rsidR="00BA28CD" w:rsidRPr="00BA28CD" w:rsidRDefault="00BA28CD" w:rsidP="00BA28CD">
            <w:pPr>
              <w:spacing w:after="0"/>
              <w:ind w:firstLine="0"/>
              <w:contextualSpacing w:val="0"/>
              <w:jc w:val="left"/>
              <w:rPr>
                <w:rFonts w:ascii="Cambria" w:eastAsia="Calibri" w:hAnsi="Cambria"/>
                <w:color w:val="000000"/>
                <w:sz w:val="20"/>
                <w:szCs w:val="20"/>
              </w:rPr>
            </w:pPr>
            <w:r w:rsidRPr="00BA28CD">
              <w:rPr>
                <w:rFonts w:ascii="Cambria" w:eastAsia="Calibri" w:hAnsi="Cambria"/>
                <w:b/>
                <w:sz w:val="20"/>
                <w:szCs w:val="20"/>
              </w:rPr>
              <w:t>3. Vyhodnotenie procesu tvorby právneho predpisu</w:t>
            </w:r>
          </w:p>
        </w:tc>
        <w:tc>
          <w:tcPr>
            <w:tcW w:w="1160" w:type="pct"/>
            <w:vMerge w:val="restart"/>
            <w:vAlign w:val="center"/>
            <w:hideMark/>
          </w:tcPr>
          <w:p w:rsidR="00BA28CD" w:rsidRPr="00BA28CD" w:rsidRDefault="00BA28CD" w:rsidP="00BA28CD">
            <w:pPr>
              <w:spacing w:after="0"/>
              <w:ind w:firstLine="0"/>
              <w:contextualSpacing w:val="0"/>
              <w:jc w:val="left"/>
              <w:rPr>
                <w:rFonts w:ascii="Cambria" w:eastAsia="Calibri" w:hAnsi="Cambria"/>
                <w:color w:val="000000"/>
                <w:sz w:val="20"/>
                <w:szCs w:val="20"/>
              </w:rPr>
            </w:pPr>
            <w:r w:rsidRPr="00BA28CD">
              <w:rPr>
                <w:rFonts w:ascii="Cambria" w:eastAsia="Calibri" w:hAnsi="Cambria"/>
                <w:sz w:val="20"/>
                <w:szCs w:val="20"/>
              </w:rPr>
              <w:t>4.1 Hodnotenie procesu</w:t>
            </w:r>
          </w:p>
        </w:tc>
        <w:tc>
          <w:tcPr>
            <w:tcW w:w="2425" w:type="pct"/>
            <w:vAlign w:val="center"/>
            <w:hideMark/>
          </w:tcPr>
          <w:p w:rsidR="00BA28CD" w:rsidRPr="00BA28CD" w:rsidRDefault="00BA28CD" w:rsidP="00BA28CD">
            <w:pPr>
              <w:spacing w:after="0"/>
              <w:ind w:firstLine="0"/>
              <w:contextualSpacing w:val="0"/>
              <w:rPr>
                <w:rFonts w:ascii="Cambria" w:eastAsia="Calibri" w:hAnsi="Cambria"/>
                <w:color w:val="000000"/>
                <w:sz w:val="20"/>
                <w:szCs w:val="20"/>
              </w:rPr>
            </w:pPr>
            <w:r w:rsidRPr="00BA28CD">
              <w:rPr>
                <w:rFonts w:ascii="Cambria" w:eastAsia="Calibri" w:hAnsi="Cambria"/>
                <w:sz w:val="20"/>
                <w:szCs w:val="20"/>
              </w:rPr>
              <w:t>Bolo vykonané hodnotenie procesu tvorby právneho predpisu?</w:t>
            </w:r>
          </w:p>
        </w:tc>
        <w:sdt>
          <w:sdtPr>
            <w:rPr>
              <w:rFonts w:ascii="Cambria" w:eastAsia="Calibri" w:hAnsi="Cambria"/>
              <w:sz w:val="20"/>
              <w:szCs w:val="20"/>
            </w:rPr>
            <w:id w:val="2039770004"/>
          </w:sdtPr>
          <w:sdtEndPr/>
          <w:sdtContent>
            <w:tc>
              <w:tcPr>
                <w:tcW w:w="258" w:type="pct"/>
                <w:vAlign w:val="center"/>
              </w:tcPr>
              <w:sdt>
                <w:sdtPr>
                  <w:rPr>
                    <w:rFonts w:ascii="Cambria" w:eastAsia="Calibri" w:hAnsi="Cambria"/>
                    <w:sz w:val="20"/>
                    <w:szCs w:val="20"/>
                  </w:rPr>
                  <w:id w:val="-322041544"/>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sdt>
          <w:sdtPr>
            <w:rPr>
              <w:rFonts w:ascii="Cambria" w:eastAsia="Calibri" w:hAnsi="Cambria"/>
              <w:sz w:val="20"/>
              <w:szCs w:val="20"/>
            </w:rPr>
            <w:id w:val="1913347216"/>
          </w:sdtPr>
          <w:sdtEndPr/>
          <w:sdtContent>
            <w:tc>
              <w:tcPr>
                <w:tcW w:w="307" w:type="pct"/>
                <w:vAlign w:val="center"/>
              </w:tcPr>
              <w:sdt>
                <w:sdtPr>
                  <w:rPr>
                    <w:rFonts w:ascii="Cambria" w:eastAsia="Calibri" w:hAnsi="Cambria"/>
                    <w:sz w:val="20"/>
                    <w:szCs w:val="20"/>
                  </w:rPr>
                  <w:id w:val="95063066"/>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tr>
      <w:tr w:rsidR="00BA28CD" w:rsidRPr="00BA28CD" w:rsidTr="00E8373E">
        <w:trPr>
          <w:trHeight w:val="560"/>
        </w:trPr>
        <w:tc>
          <w:tcPr>
            <w:tcW w:w="850" w:type="pct"/>
            <w:vMerge/>
            <w:vAlign w:val="center"/>
            <w:hideMark/>
          </w:tcPr>
          <w:p w:rsidR="00BA28CD" w:rsidRPr="00BA28CD" w:rsidRDefault="00BA28CD" w:rsidP="00BA28CD">
            <w:pPr>
              <w:spacing w:after="0"/>
              <w:ind w:firstLine="0"/>
              <w:contextualSpacing w:val="0"/>
              <w:jc w:val="left"/>
              <w:rPr>
                <w:rFonts w:ascii="Cambria" w:eastAsia="Calibri" w:hAnsi="Cambria"/>
                <w:color w:val="000000"/>
                <w:sz w:val="20"/>
                <w:szCs w:val="20"/>
              </w:rPr>
            </w:pPr>
          </w:p>
        </w:tc>
        <w:tc>
          <w:tcPr>
            <w:tcW w:w="1160" w:type="pct"/>
            <w:vMerge/>
            <w:vAlign w:val="center"/>
            <w:hideMark/>
          </w:tcPr>
          <w:p w:rsidR="00BA28CD" w:rsidRPr="00BA28CD" w:rsidRDefault="00BA28CD" w:rsidP="00BA28CD">
            <w:pPr>
              <w:spacing w:after="0"/>
              <w:ind w:firstLine="0"/>
              <w:contextualSpacing w:val="0"/>
              <w:jc w:val="left"/>
              <w:rPr>
                <w:rFonts w:ascii="Cambria" w:eastAsia="Calibri" w:hAnsi="Cambria"/>
                <w:color w:val="000000"/>
                <w:sz w:val="20"/>
                <w:szCs w:val="20"/>
              </w:rPr>
            </w:pPr>
          </w:p>
        </w:tc>
        <w:tc>
          <w:tcPr>
            <w:tcW w:w="2425" w:type="pct"/>
            <w:vAlign w:val="center"/>
          </w:tcPr>
          <w:p w:rsidR="00BA28CD" w:rsidRPr="00BA28CD" w:rsidRDefault="00BA28CD" w:rsidP="00BA28CD">
            <w:pPr>
              <w:spacing w:after="0"/>
              <w:ind w:firstLine="0"/>
              <w:contextualSpacing w:val="0"/>
              <w:rPr>
                <w:rFonts w:ascii="Cambria" w:eastAsia="Calibri" w:hAnsi="Cambria"/>
                <w:color w:val="000000"/>
                <w:sz w:val="20"/>
                <w:szCs w:val="20"/>
              </w:rPr>
            </w:pPr>
            <w:r w:rsidRPr="00BA28CD">
              <w:rPr>
                <w:rFonts w:ascii="Cambria" w:eastAsia="Calibri" w:hAnsi="Cambria"/>
                <w:sz w:val="20"/>
                <w:szCs w:val="20"/>
              </w:rPr>
              <w:t>Bola zverejnená hodnotiaca správa procesu tvorby právneho predpisu?</w:t>
            </w:r>
          </w:p>
        </w:tc>
        <w:sdt>
          <w:sdtPr>
            <w:rPr>
              <w:rFonts w:ascii="Cambria" w:eastAsia="Calibri" w:hAnsi="Cambria"/>
              <w:sz w:val="20"/>
              <w:szCs w:val="20"/>
            </w:rPr>
            <w:id w:val="1311670875"/>
          </w:sdtPr>
          <w:sdtEndPr/>
          <w:sdtContent>
            <w:tc>
              <w:tcPr>
                <w:tcW w:w="258" w:type="pct"/>
                <w:vAlign w:val="center"/>
              </w:tcPr>
              <w:sdt>
                <w:sdtPr>
                  <w:rPr>
                    <w:rFonts w:ascii="Cambria" w:eastAsia="Calibri" w:hAnsi="Cambria"/>
                    <w:sz w:val="20"/>
                    <w:szCs w:val="20"/>
                  </w:rPr>
                  <w:id w:val="61307518"/>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sdt>
          <w:sdtPr>
            <w:rPr>
              <w:rFonts w:ascii="Cambria" w:eastAsia="Calibri" w:hAnsi="Cambria"/>
              <w:sz w:val="20"/>
              <w:szCs w:val="20"/>
            </w:rPr>
            <w:id w:val="1113631784"/>
          </w:sdtPr>
          <w:sdtEndPr/>
          <w:sdtContent>
            <w:tc>
              <w:tcPr>
                <w:tcW w:w="307" w:type="pct"/>
                <w:vAlign w:val="center"/>
              </w:tcPr>
              <w:sdt>
                <w:sdtPr>
                  <w:rPr>
                    <w:rFonts w:ascii="Cambria" w:eastAsia="Calibri" w:hAnsi="Cambria"/>
                    <w:sz w:val="20"/>
                    <w:szCs w:val="20"/>
                  </w:rPr>
                  <w:id w:val="-276022697"/>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tr>
      <w:tr w:rsidR="00BA28CD" w:rsidRPr="00BA28CD" w:rsidTr="00E8373E">
        <w:trPr>
          <w:trHeight w:val="560"/>
        </w:trPr>
        <w:tc>
          <w:tcPr>
            <w:tcW w:w="850" w:type="pct"/>
            <w:vMerge/>
            <w:vAlign w:val="center"/>
          </w:tcPr>
          <w:p w:rsidR="00BA28CD" w:rsidRPr="00BA28CD" w:rsidRDefault="00BA28CD" w:rsidP="00BA28CD">
            <w:pPr>
              <w:spacing w:after="0"/>
              <w:ind w:firstLine="0"/>
              <w:contextualSpacing w:val="0"/>
              <w:jc w:val="left"/>
              <w:rPr>
                <w:rFonts w:ascii="Cambria" w:eastAsia="Calibri" w:hAnsi="Cambria"/>
                <w:color w:val="000000"/>
                <w:sz w:val="20"/>
                <w:szCs w:val="20"/>
              </w:rPr>
            </w:pPr>
          </w:p>
        </w:tc>
        <w:tc>
          <w:tcPr>
            <w:tcW w:w="1160" w:type="pct"/>
            <w:vMerge/>
            <w:vAlign w:val="center"/>
          </w:tcPr>
          <w:p w:rsidR="00BA28CD" w:rsidRPr="00BA28CD" w:rsidRDefault="00BA28CD" w:rsidP="00BA28CD">
            <w:pPr>
              <w:spacing w:after="0"/>
              <w:ind w:firstLine="0"/>
              <w:contextualSpacing w:val="0"/>
              <w:jc w:val="left"/>
              <w:rPr>
                <w:rFonts w:ascii="Cambria" w:eastAsia="Calibri" w:hAnsi="Cambria"/>
                <w:color w:val="000000"/>
                <w:sz w:val="20"/>
                <w:szCs w:val="20"/>
              </w:rPr>
            </w:pPr>
          </w:p>
        </w:tc>
        <w:tc>
          <w:tcPr>
            <w:tcW w:w="2425" w:type="pct"/>
            <w:vAlign w:val="center"/>
          </w:tcPr>
          <w:p w:rsidR="00BA28CD" w:rsidRPr="00BA28CD" w:rsidRDefault="00BA28CD" w:rsidP="00BA28CD">
            <w:pPr>
              <w:spacing w:after="0"/>
              <w:ind w:firstLine="0"/>
              <w:contextualSpacing w:val="0"/>
              <w:rPr>
                <w:rFonts w:ascii="Cambria" w:eastAsia="Calibri" w:hAnsi="Cambria"/>
                <w:sz w:val="20"/>
                <w:szCs w:val="20"/>
              </w:rPr>
            </w:pPr>
            <w:r w:rsidRPr="00BA28CD">
              <w:rPr>
                <w:rFonts w:ascii="Cambria" w:eastAsia="Calibri" w:hAnsi="Cambria"/>
                <w:sz w:val="20"/>
                <w:szCs w:val="20"/>
              </w:rPr>
              <w:t>Bol splnený cieľ účasti verejnosti na tvorbe právneho predpisu?</w:t>
            </w:r>
          </w:p>
        </w:tc>
        <w:sdt>
          <w:sdtPr>
            <w:rPr>
              <w:rFonts w:ascii="Cambria" w:eastAsia="Calibri" w:hAnsi="Cambria"/>
              <w:sz w:val="20"/>
              <w:szCs w:val="20"/>
            </w:rPr>
            <w:id w:val="-535268146"/>
          </w:sdtPr>
          <w:sdtEndPr/>
          <w:sdtContent>
            <w:tc>
              <w:tcPr>
                <w:tcW w:w="258" w:type="pct"/>
                <w:vAlign w:val="center"/>
              </w:tcPr>
              <w:sdt>
                <w:sdtPr>
                  <w:rPr>
                    <w:rFonts w:ascii="Cambria" w:eastAsia="Calibri" w:hAnsi="Cambria"/>
                    <w:sz w:val="20"/>
                    <w:szCs w:val="20"/>
                  </w:rPr>
                  <w:id w:val="-980529627"/>
                </w:sdtPr>
                <w:sdtEndPr>
                  <w:rPr>
                    <w:rFonts w:hint="eastAsia"/>
                  </w:rPr>
                </w:sdtEndPr>
                <w:sdtContent>
                  <w:p w:rsidR="00BA28CD" w:rsidRPr="00BA28CD" w:rsidRDefault="00BA28CD" w:rsidP="00BA28CD">
                    <w:pPr>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sdt>
          <w:sdtPr>
            <w:rPr>
              <w:rFonts w:ascii="Cambria" w:eastAsia="Calibri" w:hAnsi="Cambria"/>
              <w:sz w:val="20"/>
              <w:szCs w:val="20"/>
            </w:rPr>
            <w:id w:val="1588495918"/>
          </w:sdtPr>
          <w:sdtEndPr/>
          <w:sdtContent>
            <w:tc>
              <w:tcPr>
                <w:tcW w:w="307" w:type="pct"/>
                <w:vAlign w:val="center"/>
              </w:tcPr>
              <w:sdt>
                <w:sdtPr>
                  <w:rPr>
                    <w:rFonts w:ascii="Cambria" w:eastAsia="Calibri" w:hAnsi="Cambria"/>
                    <w:sz w:val="20"/>
                    <w:szCs w:val="20"/>
                  </w:rPr>
                  <w:id w:val="-2008733908"/>
                </w:sdtPr>
                <w:sdtEndPr>
                  <w:rPr>
                    <w:rFonts w:hint="eastAsia"/>
                  </w:rPr>
                </w:sdtEndPr>
                <w:sdtContent>
                  <w:p w:rsidR="00BA28CD" w:rsidRPr="00BA28CD" w:rsidRDefault="00BA28CD" w:rsidP="00BA28CD">
                    <w:pPr>
                      <w:keepNext/>
                      <w:spacing w:after="0"/>
                      <w:ind w:firstLine="0"/>
                      <w:contextualSpacing w:val="0"/>
                      <w:jc w:val="left"/>
                      <w:rPr>
                        <w:rFonts w:ascii="Cambria" w:eastAsia="Calibri" w:hAnsi="Cambria"/>
                        <w:sz w:val="20"/>
                        <w:szCs w:val="20"/>
                      </w:rPr>
                    </w:pPr>
                    <w:r w:rsidRPr="00BA28CD">
                      <w:rPr>
                        <w:rFonts w:ascii="Segoe UI Symbol" w:eastAsia="Calibri" w:hAnsi="Segoe UI Symbol" w:cs="Segoe UI Symbol"/>
                        <w:sz w:val="20"/>
                        <w:szCs w:val="20"/>
                      </w:rPr>
                      <w:t>☐</w:t>
                    </w:r>
                  </w:p>
                </w:sdtContent>
              </w:sdt>
            </w:tc>
          </w:sdtContent>
        </w:sdt>
      </w:tr>
    </w:tbl>
    <w:p w:rsidR="00430299" w:rsidRDefault="00430299" w:rsidP="00BA28CD">
      <w:pPr>
        <w:ind w:firstLine="0"/>
        <w:rPr>
          <w:b/>
          <w:lang w:eastAsia="sk-SK"/>
        </w:rPr>
      </w:pPr>
    </w:p>
    <w:p w:rsidR="00BA28CD" w:rsidRPr="00F00E9A" w:rsidRDefault="00BA28CD" w:rsidP="00BA28CD">
      <w:pPr>
        <w:ind w:firstLine="0"/>
        <w:rPr>
          <w:b/>
          <w:lang w:eastAsia="sk-SK"/>
        </w:rPr>
      </w:pPr>
    </w:p>
    <w:p w:rsidR="00430299" w:rsidRDefault="00430299" w:rsidP="006507D4">
      <w:pPr>
        <w:spacing w:line="276" w:lineRule="auto"/>
      </w:pPr>
      <w:r w:rsidRPr="000C50CE">
        <w:t xml:space="preserve">Ministerstvo životného prostredia Slovenskej republiky dňa </w:t>
      </w:r>
      <w:r>
        <w:t>7</w:t>
      </w:r>
      <w:r w:rsidRPr="000C50CE">
        <w:t>.</w:t>
      </w:r>
      <w:r>
        <w:t xml:space="preserve"> júna </w:t>
      </w:r>
      <w:r w:rsidRPr="000C50CE">
        <w:t>20</w:t>
      </w:r>
      <w:r>
        <w:t>21</w:t>
      </w:r>
      <w:r w:rsidRPr="000C50CE">
        <w:t xml:space="preserve"> zverejnilo prostredníctvom portálu S</w:t>
      </w:r>
      <w:r>
        <w:t>LOV-LEX  Predbežnú informáciu (</w:t>
      </w:r>
      <w:r w:rsidRPr="000C50CE">
        <w:t>PI/20</w:t>
      </w:r>
      <w:r>
        <w:t>21</w:t>
      </w:r>
      <w:r w:rsidRPr="000C50CE">
        <w:t>/</w:t>
      </w:r>
      <w:r>
        <w:t>113)</w:t>
      </w:r>
      <w:r w:rsidRPr="00430299">
        <w:t xml:space="preserve"> k návrhu zákona, ktorým sa mení a dopĺňa zákon č. 414/2012 Z. z. o obchodovaní s emisnými kvótami a o zmene a doplnení niektorých zákonov v znení neskorších predpisov.</w:t>
      </w:r>
      <w:r>
        <w:t xml:space="preserve"> K predmetnej informácii bolo v termíne do 18. júna 2021 prijatých deväť vyjadrení</w:t>
      </w:r>
      <w:r w:rsidR="006507D4">
        <w:t>.</w:t>
      </w:r>
    </w:p>
    <w:p w:rsidR="00430299" w:rsidRDefault="00430299" w:rsidP="006507D4">
      <w:pPr>
        <w:ind w:firstLine="0"/>
      </w:pPr>
    </w:p>
    <w:tbl>
      <w:tblPr>
        <w:tblStyle w:val="Mriekatabuky1"/>
        <w:tblW w:w="5000" w:type="pct"/>
        <w:tblLayout w:type="fixed"/>
        <w:tblLook w:val="04A0" w:firstRow="1" w:lastRow="0" w:firstColumn="1" w:lastColumn="0" w:noHBand="0" w:noVBand="1"/>
      </w:tblPr>
      <w:tblGrid>
        <w:gridCol w:w="1525"/>
        <w:gridCol w:w="4679"/>
        <w:gridCol w:w="3084"/>
      </w:tblGrid>
      <w:tr w:rsidR="00BA28CD" w:rsidRPr="002C58F1" w:rsidTr="00BA28CD">
        <w:tc>
          <w:tcPr>
            <w:tcW w:w="821" w:type="pct"/>
            <w:shd w:val="clear" w:color="auto" w:fill="D9D9D9"/>
          </w:tcPr>
          <w:p w:rsidR="00BA28CD" w:rsidRPr="002C58F1" w:rsidRDefault="00BA28CD" w:rsidP="00BA28CD">
            <w:pPr>
              <w:spacing w:after="0"/>
              <w:ind w:firstLine="0"/>
              <w:contextualSpacing w:val="0"/>
              <w:jc w:val="left"/>
              <w:rPr>
                <w:rFonts w:eastAsia="Calibri"/>
                <w:b/>
                <w:szCs w:val="24"/>
              </w:rPr>
            </w:pPr>
            <w:r w:rsidRPr="002C58F1">
              <w:rPr>
                <w:rFonts w:eastAsia="Calibri"/>
                <w:b/>
                <w:szCs w:val="24"/>
              </w:rPr>
              <w:t>SUBJEKT</w:t>
            </w:r>
          </w:p>
        </w:tc>
        <w:tc>
          <w:tcPr>
            <w:tcW w:w="2519" w:type="pct"/>
            <w:shd w:val="clear" w:color="auto" w:fill="D9D9D9"/>
          </w:tcPr>
          <w:p w:rsidR="00BA28CD" w:rsidRPr="002C58F1" w:rsidRDefault="00BA28CD" w:rsidP="00BA28CD">
            <w:pPr>
              <w:spacing w:after="0"/>
              <w:ind w:firstLine="0"/>
              <w:contextualSpacing w:val="0"/>
              <w:jc w:val="left"/>
              <w:rPr>
                <w:rFonts w:eastAsia="Calibri"/>
                <w:b/>
                <w:szCs w:val="24"/>
              </w:rPr>
            </w:pPr>
            <w:r w:rsidRPr="002C58F1">
              <w:rPr>
                <w:rFonts w:eastAsia="Calibri"/>
                <w:b/>
                <w:szCs w:val="24"/>
              </w:rPr>
              <w:t>VYJADRENIE</w:t>
            </w:r>
          </w:p>
        </w:tc>
        <w:tc>
          <w:tcPr>
            <w:tcW w:w="1660" w:type="pct"/>
            <w:shd w:val="clear" w:color="auto" w:fill="D9D9D9"/>
          </w:tcPr>
          <w:p w:rsidR="00BA28CD" w:rsidRPr="002C58F1" w:rsidRDefault="00BA28CD" w:rsidP="00BA28CD">
            <w:pPr>
              <w:spacing w:after="0"/>
              <w:ind w:firstLine="0"/>
              <w:contextualSpacing w:val="0"/>
              <w:jc w:val="left"/>
              <w:rPr>
                <w:rFonts w:eastAsia="Calibri"/>
                <w:b/>
                <w:szCs w:val="24"/>
              </w:rPr>
            </w:pPr>
            <w:r w:rsidRPr="002C58F1">
              <w:rPr>
                <w:rFonts w:eastAsia="Calibri"/>
                <w:b/>
                <w:szCs w:val="24"/>
              </w:rPr>
              <w:t>STANOVISKO MŽP SR</w:t>
            </w:r>
          </w:p>
        </w:tc>
      </w:tr>
      <w:tr w:rsidR="00BA28CD" w:rsidRPr="002C58F1" w:rsidTr="00E8373E">
        <w:tc>
          <w:tcPr>
            <w:tcW w:w="821" w:type="pct"/>
          </w:tcPr>
          <w:p w:rsidR="00BA28CD" w:rsidRPr="002C58F1" w:rsidRDefault="002C58F1" w:rsidP="00BA28CD">
            <w:pPr>
              <w:spacing w:after="0"/>
              <w:ind w:firstLine="0"/>
              <w:contextualSpacing w:val="0"/>
              <w:jc w:val="left"/>
              <w:rPr>
                <w:rFonts w:eastAsia="Calibri"/>
                <w:b/>
                <w:szCs w:val="24"/>
              </w:rPr>
            </w:pPr>
            <w:bookmarkStart w:id="0" w:name="_GoBack"/>
            <w:r w:rsidRPr="002C58F1">
              <w:rPr>
                <w:rFonts w:eastAsia="Calibri"/>
                <w:b/>
                <w:szCs w:val="24"/>
              </w:rPr>
              <w:t>SOPK (Slovenská obchodná a priemyselná komora)</w:t>
            </w:r>
          </w:p>
        </w:tc>
        <w:tc>
          <w:tcPr>
            <w:tcW w:w="2519" w:type="pct"/>
          </w:tcPr>
          <w:p w:rsidR="002C58F1" w:rsidRPr="002C58F1" w:rsidRDefault="002C58F1" w:rsidP="002C58F1">
            <w:pPr>
              <w:spacing w:after="0"/>
              <w:ind w:firstLine="0"/>
              <w:contextualSpacing w:val="0"/>
              <w:jc w:val="left"/>
              <w:rPr>
                <w:rFonts w:eastAsia="Calibri"/>
                <w:szCs w:val="24"/>
              </w:rPr>
            </w:pPr>
            <w:r w:rsidRPr="002C58F1">
              <w:rPr>
                <w:rFonts w:eastAsia="Calibri"/>
                <w:szCs w:val="24"/>
              </w:rPr>
              <w:t>K PI/2021/113 - za sekciu teplárenstva SOPK - Jozef Adam (MH Teplárenský holding),  podpredseda sekcie</w:t>
            </w:r>
          </w:p>
          <w:p w:rsidR="002C58F1" w:rsidRPr="002C58F1" w:rsidRDefault="002C58F1" w:rsidP="002C58F1">
            <w:pPr>
              <w:spacing w:after="0"/>
              <w:ind w:firstLine="0"/>
              <w:contextualSpacing w:val="0"/>
              <w:jc w:val="left"/>
              <w:rPr>
                <w:rFonts w:eastAsia="Calibri"/>
                <w:szCs w:val="24"/>
              </w:rPr>
            </w:pPr>
          </w:p>
          <w:p w:rsidR="002C58F1" w:rsidRPr="002C58F1" w:rsidRDefault="002C58F1" w:rsidP="002C58F1">
            <w:pPr>
              <w:spacing w:after="0"/>
              <w:ind w:firstLine="0"/>
              <w:contextualSpacing w:val="0"/>
              <w:jc w:val="left"/>
              <w:rPr>
                <w:rFonts w:eastAsia="Calibri"/>
                <w:szCs w:val="24"/>
              </w:rPr>
            </w:pPr>
            <w:r w:rsidRPr="002C58F1">
              <w:rPr>
                <w:rFonts w:eastAsia="Calibri"/>
                <w:szCs w:val="24"/>
              </w:rPr>
              <w:t>K vyššie uvedenej Predbežnej informácii predkladáme nasledovné vyjadrenie spracované ako Podnet č. 1 a Podnet č. 2.</w:t>
            </w:r>
          </w:p>
          <w:p w:rsidR="002C58F1" w:rsidRPr="002C58F1" w:rsidRDefault="002C58F1" w:rsidP="002C58F1">
            <w:pPr>
              <w:spacing w:after="0"/>
              <w:ind w:firstLine="0"/>
              <w:contextualSpacing w:val="0"/>
              <w:jc w:val="left"/>
              <w:rPr>
                <w:rFonts w:eastAsia="Calibri"/>
                <w:szCs w:val="24"/>
              </w:rPr>
            </w:pPr>
          </w:p>
          <w:p w:rsidR="002C58F1" w:rsidRPr="002C58F1" w:rsidRDefault="002C58F1" w:rsidP="002C58F1">
            <w:pPr>
              <w:spacing w:after="0"/>
              <w:ind w:firstLine="0"/>
              <w:contextualSpacing w:val="0"/>
              <w:jc w:val="left"/>
              <w:rPr>
                <w:rFonts w:eastAsia="Calibri"/>
                <w:szCs w:val="24"/>
              </w:rPr>
            </w:pPr>
            <w:r w:rsidRPr="002C58F1">
              <w:rPr>
                <w:rFonts w:eastAsia="Calibri"/>
                <w:szCs w:val="24"/>
              </w:rPr>
              <w:t>Podnet č.1: Vylúčenie MF SR zo spolurozhodovania o výnosoch z dražieb (zrušenie § 18, ods. 7 zákona č. 414/2012 Z.z.)</w:t>
            </w:r>
          </w:p>
          <w:p w:rsidR="002C58F1" w:rsidRPr="002C58F1" w:rsidRDefault="002C58F1" w:rsidP="002C58F1">
            <w:pPr>
              <w:spacing w:after="0"/>
              <w:ind w:firstLine="0"/>
              <w:contextualSpacing w:val="0"/>
              <w:jc w:val="left"/>
              <w:rPr>
                <w:rFonts w:eastAsia="Calibri"/>
                <w:szCs w:val="24"/>
              </w:rPr>
            </w:pPr>
            <w:r w:rsidRPr="002C58F1">
              <w:rPr>
                <w:rFonts w:eastAsia="Calibri"/>
                <w:szCs w:val="24"/>
              </w:rPr>
              <w:t xml:space="preserve">Navrhujeme zrušiť §18, ods. (7): </w:t>
            </w:r>
          </w:p>
          <w:p w:rsidR="002C58F1" w:rsidRPr="002C58F1" w:rsidRDefault="002C58F1" w:rsidP="002C58F1">
            <w:pPr>
              <w:spacing w:after="0"/>
              <w:ind w:firstLine="0"/>
              <w:contextualSpacing w:val="0"/>
              <w:jc w:val="left"/>
              <w:rPr>
                <w:rFonts w:eastAsia="Calibri"/>
                <w:szCs w:val="24"/>
              </w:rPr>
            </w:pPr>
            <w:r w:rsidRPr="002C58F1">
              <w:rPr>
                <w:rFonts w:eastAsia="Calibri"/>
                <w:szCs w:val="24"/>
              </w:rPr>
              <w:t>„Výška použiteľného výnosu z dražieb kvót na účely podľa odseku 4 sa určí na základe dohody ministerstva a Ministerstva financií Slovenskej republiky každoročne do 30. septembra. Výsledok dohody nemôže byť nižší ako 30 % ročného výnosu z dražieb kvót.“</w:t>
            </w:r>
          </w:p>
          <w:p w:rsidR="002C58F1" w:rsidRPr="002C58F1" w:rsidRDefault="002C58F1" w:rsidP="002C58F1">
            <w:pPr>
              <w:spacing w:after="0"/>
              <w:ind w:firstLine="0"/>
              <w:contextualSpacing w:val="0"/>
              <w:jc w:val="left"/>
              <w:rPr>
                <w:rFonts w:eastAsia="Calibri"/>
                <w:szCs w:val="24"/>
              </w:rPr>
            </w:pPr>
            <w:r w:rsidRPr="002C58F1">
              <w:rPr>
                <w:rFonts w:eastAsia="Calibri"/>
                <w:szCs w:val="24"/>
              </w:rPr>
              <w:t>Vysvetlenie:</w:t>
            </w:r>
          </w:p>
          <w:p w:rsidR="002C58F1" w:rsidRPr="002C58F1" w:rsidRDefault="002C58F1" w:rsidP="002C58F1">
            <w:pPr>
              <w:spacing w:after="0"/>
              <w:ind w:firstLine="0"/>
              <w:contextualSpacing w:val="0"/>
              <w:jc w:val="left"/>
              <w:rPr>
                <w:rFonts w:eastAsia="Calibri"/>
                <w:szCs w:val="24"/>
              </w:rPr>
            </w:pPr>
            <w:r w:rsidRPr="002C58F1">
              <w:rPr>
                <w:rFonts w:eastAsia="Calibri"/>
                <w:szCs w:val="24"/>
              </w:rPr>
              <w:t xml:space="preserve">Hoci vítame predstavený návrh MŽP SR na zvýšenie percentuálneho podielu využitia výnosov z dražieb kvót skleníkových plynov na minimálne 50% (z pôvodných 30%), dovoľujeme si navrhnúť úplné zrušenie uvedeného ustanovenia, keďže je v rozpore s § 3, písm. t) zákona č. 587/2004 Z.z i § 18, ods. 4 zákona č. 414/2012 Z.z. Výnosy z dražieb emisných kvót totiž nie sú príjmom štátneho rozpočtu, ale priamo Environmentálneho fondu, a preto nie je dôvod, aby sa ministerstvo financií SR podieľalo na určovaní výšky použiteľného výnosu z dražieb kvót skleníkových plynov.  </w:t>
            </w:r>
          </w:p>
          <w:p w:rsidR="00BA28CD" w:rsidRPr="002C58F1" w:rsidRDefault="002C58F1" w:rsidP="002C58F1">
            <w:pPr>
              <w:spacing w:after="0"/>
              <w:ind w:firstLine="0"/>
              <w:contextualSpacing w:val="0"/>
              <w:jc w:val="left"/>
              <w:rPr>
                <w:rFonts w:eastAsia="Calibri"/>
                <w:szCs w:val="24"/>
              </w:rPr>
            </w:pPr>
            <w:r w:rsidRPr="002C58F1">
              <w:rPr>
                <w:rFonts w:eastAsia="Calibri"/>
                <w:szCs w:val="24"/>
              </w:rPr>
              <w:t>Navyše povinný nákup emisných kvót nemá predstavovať dodatočné daňové zaťaženie, ale motiváciu pre prevádzkovateľov k znižovaniu emisií skleníkových plynov. Samozrejme za účelom znižovania emisií je nevyhnutné investovať, na čo majú slúžiť práve výnosy z predaja emisných kvót. Dnes sú tieto financie považované za príjem štátneho rozpočtu, a teda sú využívané i na iné ako environmentálne ciele. Avšak týmto spôsobom nadmerne zaťažujeme slovenských prevádzkovateľov a buď znižujeme ich konkurencieschopnosť, keďže vlastné zdroje nemôžu využiť na zefektívňovanie svojich činností alebo zvyšujeme koncové ceny odberateľom energie v prípade sektoru teplárenstva.</w:t>
            </w:r>
          </w:p>
        </w:tc>
        <w:tc>
          <w:tcPr>
            <w:tcW w:w="1660" w:type="pct"/>
          </w:tcPr>
          <w:p w:rsidR="00BA28CD" w:rsidRDefault="009277DF" w:rsidP="00BA28CD">
            <w:pPr>
              <w:spacing w:after="0"/>
              <w:ind w:firstLine="0"/>
              <w:contextualSpacing w:val="0"/>
              <w:jc w:val="left"/>
              <w:rPr>
                <w:color w:val="000000"/>
                <w:szCs w:val="24"/>
              </w:rPr>
            </w:pPr>
            <w:r>
              <w:rPr>
                <w:rFonts w:eastAsia="Calibri"/>
                <w:szCs w:val="24"/>
              </w:rPr>
              <w:lastRenderedPageBreak/>
              <w:t xml:space="preserve">V </w:t>
            </w:r>
            <w:r w:rsidRPr="009277DF">
              <w:rPr>
                <w:rFonts w:eastAsia="Calibri"/>
                <w:szCs w:val="24"/>
              </w:rPr>
              <w:t>návrhu zákona, ktorým sa mení a dopĺňa zákon č. 414/2012 Z. z. o obchodovaní s emisnými kvótami a  o  zmene a doplnení niektorých zákonov v znení neskorších predpisov (ďalej len „návrh zákona“)</w:t>
            </w:r>
            <w:r>
              <w:rPr>
                <w:rFonts w:eastAsia="Calibri"/>
                <w:szCs w:val="24"/>
              </w:rPr>
              <w:t xml:space="preserve"> sa </w:t>
            </w:r>
            <w:r w:rsidR="00A124A6">
              <w:rPr>
                <w:rFonts w:eastAsia="Calibri"/>
                <w:szCs w:val="24"/>
              </w:rPr>
              <w:t xml:space="preserve">v </w:t>
            </w:r>
            <w:r w:rsidRPr="00E37EC2">
              <w:rPr>
                <w:color w:val="000000"/>
                <w:szCs w:val="24"/>
              </w:rPr>
              <w:lastRenderedPageBreak/>
              <w:t>§ 18</w:t>
            </w:r>
            <w:r w:rsidR="00A124A6">
              <w:rPr>
                <w:color w:val="000000"/>
                <w:szCs w:val="24"/>
              </w:rPr>
              <w:t xml:space="preserve"> odsek 7 zvyšuje výška použiteľnej časti výnosu z 30 % na 70 % a vypúšťa sa odsek 8, ktorý umožňoval v odôvodnených prípadoch meniť výšku percentuálnej distribúcie použiteľného výnosu z dražieb kvót</w:t>
            </w:r>
            <w:r>
              <w:rPr>
                <w:color w:val="000000"/>
                <w:szCs w:val="24"/>
              </w:rPr>
              <w:t>.</w:t>
            </w:r>
          </w:p>
          <w:p w:rsidR="004D577A" w:rsidRDefault="004D577A" w:rsidP="00BA28CD">
            <w:pPr>
              <w:spacing w:after="0"/>
              <w:ind w:firstLine="0"/>
              <w:contextualSpacing w:val="0"/>
              <w:jc w:val="left"/>
              <w:rPr>
                <w:color w:val="000000"/>
                <w:szCs w:val="24"/>
              </w:rPr>
            </w:pPr>
          </w:p>
          <w:p w:rsidR="004D577A" w:rsidRPr="002C58F1" w:rsidRDefault="004D577A" w:rsidP="004D577A">
            <w:pPr>
              <w:spacing w:after="0"/>
              <w:ind w:firstLine="0"/>
              <w:contextualSpacing w:val="0"/>
              <w:jc w:val="left"/>
              <w:rPr>
                <w:rFonts w:eastAsia="Calibri"/>
                <w:szCs w:val="24"/>
              </w:rPr>
            </w:pPr>
            <w:r>
              <w:rPr>
                <w:color w:val="000000"/>
                <w:szCs w:val="24"/>
              </w:rPr>
              <w:t xml:space="preserve">Výnosy z predaja emisných kvót formou dražby sú príjmom EF, ale zároveň sú to verejné financie. Z tohto dôvodu je rozhodnutie o  </w:t>
            </w:r>
            <w:r w:rsidRPr="004D577A">
              <w:rPr>
                <w:color w:val="000000"/>
                <w:szCs w:val="24"/>
              </w:rPr>
              <w:t xml:space="preserve"> použiteľnej výške </w:t>
            </w:r>
            <w:r>
              <w:rPr>
                <w:color w:val="000000"/>
                <w:szCs w:val="24"/>
              </w:rPr>
              <w:t xml:space="preserve">z týchto </w:t>
            </w:r>
            <w:r w:rsidRPr="004D577A">
              <w:rPr>
                <w:color w:val="000000"/>
                <w:szCs w:val="24"/>
              </w:rPr>
              <w:t xml:space="preserve">výnosov </w:t>
            </w:r>
            <w:r>
              <w:rPr>
                <w:color w:val="000000"/>
                <w:szCs w:val="24"/>
              </w:rPr>
              <w:t xml:space="preserve">v kompetencii MF SR - </w:t>
            </w:r>
            <w:r w:rsidRPr="004D577A">
              <w:rPr>
                <w:color w:val="000000"/>
                <w:szCs w:val="24"/>
              </w:rPr>
              <w:t>ide o rozhodovanie sa o rozpočte verejnej správy,</w:t>
            </w:r>
            <w:r>
              <w:rPr>
                <w:color w:val="000000"/>
                <w:szCs w:val="24"/>
              </w:rPr>
              <w:t xml:space="preserve"> čo </w:t>
            </w:r>
            <w:r w:rsidRPr="004D577A">
              <w:rPr>
                <w:color w:val="000000"/>
                <w:szCs w:val="24"/>
              </w:rPr>
              <w:t>je v gescii MF SR a nie iného rezortu.</w:t>
            </w:r>
          </w:p>
        </w:tc>
      </w:tr>
      <w:bookmarkEnd w:id="0"/>
      <w:tr w:rsidR="002C58F1" w:rsidRPr="002C58F1" w:rsidTr="00E8373E">
        <w:tc>
          <w:tcPr>
            <w:tcW w:w="821" w:type="pct"/>
          </w:tcPr>
          <w:p w:rsidR="002C58F1" w:rsidRPr="002C58F1" w:rsidRDefault="009277DF" w:rsidP="00BA28CD">
            <w:pPr>
              <w:spacing w:after="0"/>
              <w:ind w:firstLine="0"/>
              <w:contextualSpacing w:val="0"/>
              <w:jc w:val="left"/>
              <w:rPr>
                <w:rFonts w:eastAsia="Calibri"/>
                <w:b/>
                <w:szCs w:val="24"/>
              </w:rPr>
            </w:pPr>
            <w:r w:rsidRPr="002C58F1">
              <w:rPr>
                <w:rFonts w:eastAsia="Calibri"/>
                <w:b/>
                <w:szCs w:val="24"/>
              </w:rPr>
              <w:lastRenderedPageBreak/>
              <w:t>SOPK (Slovenská obchodná a priemyselná komora)</w:t>
            </w:r>
          </w:p>
        </w:tc>
        <w:tc>
          <w:tcPr>
            <w:tcW w:w="2519" w:type="pct"/>
          </w:tcPr>
          <w:p w:rsidR="002C58F1" w:rsidRPr="002C58F1" w:rsidRDefault="002C58F1" w:rsidP="002C58F1">
            <w:pPr>
              <w:spacing w:after="0"/>
              <w:ind w:firstLine="0"/>
              <w:contextualSpacing w:val="0"/>
              <w:jc w:val="left"/>
              <w:rPr>
                <w:color w:val="000000"/>
                <w:szCs w:val="24"/>
              </w:rPr>
            </w:pPr>
            <w:r w:rsidRPr="002C58F1">
              <w:rPr>
                <w:color w:val="000000"/>
                <w:szCs w:val="24"/>
              </w:rPr>
              <w:t>Podnet č.2: Zapojenie prevádzok s nižším tepelným príkonom (úprava Prílohy č. 1 zákona č. 414/2012 Z.z.)</w:t>
            </w:r>
            <w:r w:rsidRPr="002C58F1">
              <w:rPr>
                <w:color w:val="000000"/>
                <w:szCs w:val="24"/>
              </w:rPr>
              <w:br/>
            </w:r>
            <w:r w:rsidRPr="002C58F1">
              <w:rPr>
                <w:color w:val="000000"/>
                <w:szCs w:val="24"/>
              </w:rPr>
              <w:br/>
              <w:t>Navrhujeme znížiť celkový menovitý tepelný príkon spaľovacieho zariadenia na 10 MW (Príloha č. 1 zákona č. 414/2012 Z.z., navrhujeme nové znenie bodu 3 a prvej položky v Tabuľke A - zmeny sú podčiarknuté):</w:t>
            </w:r>
            <w:r w:rsidRPr="002C58F1">
              <w:rPr>
                <w:color w:val="000000"/>
                <w:szCs w:val="24"/>
              </w:rPr>
              <w:br/>
              <w:t>„Spaľovanie palív v zariadeniach s celkovým menovitým tepelným príkonom väčším ako 10 MW (okrem zariadení na spaľovanie nebezpečného alebo komunálneho odpadu).“</w:t>
            </w:r>
            <w:r w:rsidRPr="002C58F1">
              <w:rPr>
                <w:color w:val="000000"/>
                <w:szCs w:val="24"/>
              </w:rPr>
              <w:br/>
            </w:r>
            <w:r w:rsidRPr="002C58F1">
              <w:rPr>
                <w:color w:val="000000"/>
                <w:szCs w:val="24"/>
              </w:rPr>
              <w:br/>
            </w:r>
            <w:r w:rsidRPr="002C58F1">
              <w:rPr>
                <w:color w:val="000000"/>
                <w:szCs w:val="24"/>
              </w:rPr>
              <w:lastRenderedPageBreak/>
              <w:t>„V prípade menovitého tepelného príkonu spaľovacích zariadení je prahová hodnota stanovená na úrovni 10 MW. Na účely posúdenia hranice 10 MW menovitého tepelného príkonu sa sčítajú menovité tepelné príkony všetkých spaľovacích zariadení, ktoré majú menovitý tepelný príkon rovný alebo väčší ako 3 MW. Zariadenia, ktoré používajú výlučne biomasu, sa na účely tohto výpočtu neberú do úvahy. Ak je hodnota súčtov menovitých tepelných príkonov väčšia ako 10 MW, do povolenia je potrebné zahrnúť všetky spaľovacie zariadenia v prevádzke, t. j. aj tie, ktoré majú menší menovitý tepelný príkon ako 3 MW, a aj zariadenia používajúce ako palivo biomasu. V oboch prípadoch sa berú do úvahy aj rezervné a záložné zariadenia. Rezervné a záložné zariadenia sa nezapočítavajú na účely celkového menovitého tepelného príkonu vtedy, ak technicky nemôžu paralelne fungovať s hlavnými zariadeniami z technických alebo legislatívnych dôvodov.“</w:t>
            </w:r>
            <w:r w:rsidRPr="002C58F1">
              <w:rPr>
                <w:color w:val="000000"/>
                <w:szCs w:val="24"/>
              </w:rPr>
              <w:br/>
              <w:t>Vysvetlenie:</w:t>
            </w:r>
            <w:r w:rsidRPr="002C58F1">
              <w:rPr>
                <w:color w:val="000000"/>
                <w:szCs w:val="24"/>
              </w:rPr>
              <w:br/>
              <w:t xml:space="preserve">Pokiaľ ide o spaľovacie zariadenia, v súčasnosti sú povinnými účastníkmi schémy obchodovania s emisnými kvótami len prevádzkovatelia prevádzky s celkovým menovitým tepelným príkonom väčším ako 20 MW (§ 2, písm. n) v spojení s Prílohou č. 1 zákona č. 414/2012 Z.z.). Je pravdou, že túto istú hodnotu uvádza i Príloha č. I smernice č. 2003/87/ES, čo však neznamená, že členský štát Európskej únie si nemôže predmetnú hranicu posunúť i nižšie. I v Slovenskej republike bola ešte v roku 2011 minimálna hodnota celkového tepelného príkonu spaľovacieho zariadenia stanovená na úrovni 15 MW (Tabuľka B, Príloha č. I zákona č. 572/2004 Z.z. o obchodovaní s emisnými kvótami účinného do 28. februára 2011) a dokonca v roku 2007 bola na úrovni „len“ 10 MW (Tabuľka B, Príloha č. I zákona č. 572/2004 Z.z. o obchodovaní s emisnými kvótami účinného do 31. marca 2007). </w:t>
            </w:r>
            <w:r w:rsidRPr="002C58F1">
              <w:rPr>
                <w:color w:val="000000"/>
                <w:szCs w:val="24"/>
              </w:rPr>
              <w:br/>
              <w:t xml:space="preserve">Aj z tohto dôvodu si dovoľujeme navrhnúť zníženie minimálnej hodnoty celkového tepelného príkonu spaľovacieho zariadenia z 20 MW na minimálne 10 MW znamenajúce začlenenie prevádzkovateľa do systému obchodovania s emisiami, ako tomu bolo i v minulosti. Nevidíme totiž dôvod na pokračovanie diskriminácie prevádzkovateľov veľkých spaľovacích zariadení (nad 20 MW tepelného výkonu), ak v princípe i  prevádzkovatelia menších spaľovacích zariadení (pod 20 MW tepelného výkonu) generujú emisie skleníkových plynov a v súčasnosti nepodliehajú žiadnym rovnocenným motivačným opatreniam. Ak teda chceme (i) motivovať prevádzkovateľov </w:t>
            </w:r>
            <w:r w:rsidRPr="002C58F1">
              <w:rPr>
                <w:color w:val="000000"/>
                <w:szCs w:val="24"/>
              </w:rPr>
              <w:lastRenderedPageBreak/>
              <w:t>spaľovacích zariadení k ekologizácii výroby a (ii) priblížiť sa energeticko-klimatickým cieľom 2030 a klimatickej neutralite do roku 2050, je potrebné do systému obchodovania s emisnými kvótami zaradiť čím väčšie množstvo prevádzok. Zároveň tak dôjde k zrovnoprávneniu väčších a menších prevádzkovateľov spaľovacích zariadení a rovnako aj ich klientov, čiže koncových odberateľov tepla. Pochopiteľne všetci povinní účastníci ETS následne získavajú možnosť uchádzať sa aj o finančné prostriedky Environmentálneho fondu.</w:t>
            </w:r>
          </w:p>
        </w:tc>
        <w:tc>
          <w:tcPr>
            <w:tcW w:w="1660" w:type="pct"/>
          </w:tcPr>
          <w:p w:rsidR="002C58F1" w:rsidRPr="002C58F1" w:rsidRDefault="00C67895" w:rsidP="00BA28CD">
            <w:pPr>
              <w:spacing w:after="0"/>
              <w:ind w:firstLine="0"/>
              <w:contextualSpacing w:val="0"/>
              <w:jc w:val="left"/>
              <w:rPr>
                <w:rFonts w:eastAsia="Calibri"/>
                <w:szCs w:val="24"/>
              </w:rPr>
            </w:pPr>
            <w:r>
              <w:rPr>
                <w:rFonts w:eastAsia="Calibri"/>
                <w:szCs w:val="24"/>
              </w:rPr>
              <w:lastRenderedPageBreak/>
              <w:t>Prevádzky, ktoré nie sú povinnými účastníkmi systému obchodovania budú predmetom pripravovaného zákona o zmene klímy.</w:t>
            </w:r>
          </w:p>
        </w:tc>
      </w:tr>
      <w:tr w:rsidR="002C58F1" w:rsidRPr="002C58F1" w:rsidTr="00E8373E">
        <w:tc>
          <w:tcPr>
            <w:tcW w:w="821" w:type="pct"/>
          </w:tcPr>
          <w:p w:rsidR="002C58F1" w:rsidRPr="002C58F1" w:rsidRDefault="002C58F1" w:rsidP="00BA28CD">
            <w:pPr>
              <w:spacing w:after="0"/>
              <w:ind w:firstLine="0"/>
              <w:contextualSpacing w:val="0"/>
              <w:jc w:val="left"/>
              <w:rPr>
                <w:rFonts w:eastAsia="Calibri"/>
                <w:b/>
                <w:szCs w:val="24"/>
              </w:rPr>
            </w:pPr>
            <w:r w:rsidRPr="002C58F1">
              <w:rPr>
                <w:rFonts w:eastAsia="Calibri"/>
                <w:b/>
                <w:szCs w:val="24"/>
              </w:rPr>
              <w:lastRenderedPageBreak/>
              <w:t>APZ (Asociácia priemyselných zväzov)</w:t>
            </w:r>
          </w:p>
        </w:tc>
        <w:tc>
          <w:tcPr>
            <w:tcW w:w="2519" w:type="pct"/>
          </w:tcPr>
          <w:p w:rsidR="002C58F1" w:rsidRPr="002C58F1" w:rsidRDefault="002C58F1" w:rsidP="002C58F1">
            <w:pPr>
              <w:spacing w:after="0"/>
              <w:ind w:firstLine="0"/>
              <w:contextualSpacing w:val="0"/>
              <w:jc w:val="left"/>
              <w:rPr>
                <w:color w:val="000000"/>
                <w:szCs w:val="24"/>
              </w:rPr>
            </w:pPr>
            <w:r w:rsidRPr="002C58F1">
              <w:rPr>
                <w:color w:val="000000"/>
                <w:szCs w:val="24"/>
              </w:rPr>
              <w:t>Podnet č. 1:</w:t>
            </w:r>
            <w:r w:rsidRPr="002C58F1">
              <w:rPr>
                <w:color w:val="000000"/>
                <w:szCs w:val="24"/>
              </w:rPr>
              <w:br/>
              <w:t>K § 18 ods. 7</w:t>
            </w:r>
            <w:r w:rsidRPr="002C58F1">
              <w:rPr>
                <w:color w:val="000000"/>
                <w:szCs w:val="24"/>
              </w:rPr>
              <w:br/>
              <w:t>Navrhujeme maximalizovať výšku použiteľného výnosu z dražieb kvót na účely uvedené v § 18 ods. 4 a v tomto zmysle upraviť §18 odsek 7 tak, aby minimálna hranica bola z aktuálnych 30 % posunutá podstatne smerom hore (ideálne na 100 %).</w:t>
            </w:r>
            <w:r w:rsidRPr="002C58F1">
              <w:rPr>
                <w:color w:val="000000"/>
                <w:szCs w:val="24"/>
              </w:rPr>
              <w:br/>
              <w:t>Odôvodnenie:</w:t>
            </w:r>
            <w:r w:rsidRPr="002C58F1">
              <w:rPr>
                <w:color w:val="000000"/>
                <w:szCs w:val="24"/>
              </w:rPr>
              <w:br/>
              <w:t>Usmernenie EC samo o sebe už predpokladá kompenzovanie priemyslu nie v plnej výške, ale iba do výšky 75% zvýšených nákladov, pričom použiteľný výnos z dražieb kvót vo výške 100%, zabezpečí kompenzovanie priemyslu stále iba na cca 60% toho čo určuje usmernenie EC   (za predpokladu existujúcej percentuálnej distribúcie použitia výnosu kde je pre priemysel alokovaných 25%).</w:t>
            </w:r>
          </w:p>
        </w:tc>
        <w:tc>
          <w:tcPr>
            <w:tcW w:w="1660" w:type="pct"/>
          </w:tcPr>
          <w:p w:rsidR="002C58F1" w:rsidRDefault="00534067" w:rsidP="00534067">
            <w:pPr>
              <w:spacing w:after="0"/>
              <w:ind w:firstLine="0"/>
              <w:contextualSpacing w:val="0"/>
              <w:jc w:val="left"/>
              <w:rPr>
                <w:color w:val="000000"/>
                <w:szCs w:val="24"/>
              </w:rPr>
            </w:pPr>
            <w:r>
              <w:rPr>
                <w:rFonts w:eastAsia="Calibri"/>
                <w:szCs w:val="24"/>
              </w:rPr>
              <w:t xml:space="preserve">V návrhu zákona sa v </w:t>
            </w:r>
            <w:r w:rsidRPr="00E37EC2">
              <w:rPr>
                <w:color w:val="000000"/>
                <w:szCs w:val="24"/>
              </w:rPr>
              <w:t>§ 18</w:t>
            </w:r>
            <w:r>
              <w:rPr>
                <w:color w:val="000000"/>
                <w:szCs w:val="24"/>
              </w:rPr>
              <w:t xml:space="preserve"> odsek 7 zvyšuje výška použiteľnej časti výnosu z 30 % na 70 %.</w:t>
            </w:r>
          </w:p>
          <w:p w:rsidR="00AF2E29" w:rsidRDefault="00AF2E29" w:rsidP="00534067">
            <w:pPr>
              <w:spacing w:after="0"/>
              <w:ind w:firstLine="0"/>
              <w:contextualSpacing w:val="0"/>
              <w:jc w:val="left"/>
              <w:rPr>
                <w:color w:val="000000"/>
                <w:szCs w:val="24"/>
              </w:rPr>
            </w:pPr>
          </w:p>
          <w:p w:rsidR="00AF2E29" w:rsidRPr="002C58F1" w:rsidRDefault="00AF2E29" w:rsidP="00AF2E29">
            <w:pPr>
              <w:spacing w:after="0"/>
              <w:ind w:firstLine="0"/>
              <w:contextualSpacing w:val="0"/>
              <w:jc w:val="left"/>
              <w:rPr>
                <w:rFonts w:eastAsia="Calibri"/>
                <w:szCs w:val="24"/>
              </w:rPr>
            </w:pPr>
            <w:r>
              <w:rPr>
                <w:rFonts w:eastAsia="Calibri"/>
                <w:szCs w:val="24"/>
              </w:rPr>
              <w:t xml:space="preserve">Podľa smernice EU ETS (2003/87/ES  - o </w:t>
            </w:r>
            <w:r w:rsidRPr="00AF2E29">
              <w:rPr>
                <w:rFonts w:eastAsia="Calibri"/>
                <w:szCs w:val="24"/>
              </w:rPr>
              <w:t>európskom systéme obchodovania s emisným kvótami</w:t>
            </w:r>
            <w:r>
              <w:rPr>
                <w:rFonts w:eastAsia="Calibri"/>
                <w:szCs w:val="24"/>
              </w:rPr>
              <w:t>)</w:t>
            </w:r>
            <w:r w:rsidRPr="00AF2E29">
              <w:rPr>
                <w:rFonts w:eastAsia="Calibri"/>
                <w:szCs w:val="24"/>
              </w:rPr>
              <w:t xml:space="preserve"> by sa aspoň 50 % z výnosov z predaja emisných kvót v dražbách malo použiť na klimatické účely.</w:t>
            </w:r>
          </w:p>
        </w:tc>
      </w:tr>
      <w:tr w:rsidR="002C58F1" w:rsidRPr="002C58F1" w:rsidTr="00E8373E">
        <w:tc>
          <w:tcPr>
            <w:tcW w:w="821" w:type="pct"/>
          </w:tcPr>
          <w:p w:rsidR="002C58F1" w:rsidRPr="002C58F1" w:rsidRDefault="002C58F1" w:rsidP="00BA28CD">
            <w:pPr>
              <w:spacing w:after="0"/>
              <w:ind w:firstLine="0"/>
              <w:contextualSpacing w:val="0"/>
              <w:jc w:val="left"/>
              <w:rPr>
                <w:rFonts w:eastAsia="Calibri"/>
                <w:b/>
                <w:szCs w:val="24"/>
              </w:rPr>
            </w:pPr>
          </w:p>
        </w:tc>
        <w:tc>
          <w:tcPr>
            <w:tcW w:w="2519" w:type="pct"/>
          </w:tcPr>
          <w:p w:rsidR="002C58F1" w:rsidRPr="002C58F1" w:rsidRDefault="002C58F1" w:rsidP="002C58F1">
            <w:pPr>
              <w:spacing w:after="0"/>
              <w:ind w:firstLine="0"/>
              <w:contextualSpacing w:val="0"/>
              <w:jc w:val="left"/>
              <w:rPr>
                <w:color w:val="000000"/>
                <w:szCs w:val="24"/>
              </w:rPr>
            </w:pPr>
            <w:r w:rsidRPr="002C58F1">
              <w:rPr>
                <w:color w:val="000000"/>
                <w:szCs w:val="24"/>
              </w:rPr>
              <w:t>Podnet č. 2:</w:t>
            </w:r>
          </w:p>
          <w:p w:rsidR="002C58F1" w:rsidRPr="002C58F1" w:rsidRDefault="002C58F1" w:rsidP="002C58F1">
            <w:pPr>
              <w:spacing w:after="0"/>
              <w:ind w:firstLine="0"/>
              <w:contextualSpacing w:val="0"/>
              <w:jc w:val="left"/>
              <w:rPr>
                <w:color w:val="000000"/>
                <w:szCs w:val="24"/>
              </w:rPr>
            </w:pPr>
            <w:r w:rsidRPr="002C58F1">
              <w:rPr>
                <w:color w:val="000000"/>
                <w:szCs w:val="24"/>
              </w:rPr>
              <w:t>K § 18 ods. 4</w:t>
            </w:r>
          </w:p>
          <w:p w:rsidR="002C58F1" w:rsidRPr="002C58F1" w:rsidRDefault="002C58F1" w:rsidP="002C58F1">
            <w:pPr>
              <w:spacing w:after="0"/>
              <w:ind w:firstLine="0"/>
              <w:contextualSpacing w:val="0"/>
              <w:jc w:val="left"/>
              <w:rPr>
                <w:color w:val="000000"/>
                <w:szCs w:val="24"/>
              </w:rPr>
            </w:pPr>
            <w:r w:rsidRPr="002C58F1">
              <w:rPr>
                <w:color w:val="000000"/>
                <w:szCs w:val="24"/>
              </w:rPr>
              <w:t>Navrhujeme upraviť percentuálne rozloženie použitia výnosov získaný z dražieb kvót uvedené v § 18 ods. 4 tak,  aby pre financovanie schémy štátnej pomoci – písm. b) - bolo použité minimálne 50%.</w:t>
            </w:r>
          </w:p>
          <w:p w:rsidR="002C58F1" w:rsidRPr="002C58F1" w:rsidRDefault="002C58F1" w:rsidP="002C58F1">
            <w:pPr>
              <w:spacing w:after="0"/>
              <w:ind w:firstLine="0"/>
              <w:contextualSpacing w:val="0"/>
              <w:jc w:val="left"/>
              <w:rPr>
                <w:color w:val="000000"/>
                <w:szCs w:val="24"/>
              </w:rPr>
            </w:pPr>
            <w:r w:rsidRPr="002C58F1">
              <w:rPr>
                <w:color w:val="000000"/>
                <w:szCs w:val="24"/>
              </w:rPr>
              <w:t>Odôvodnenie:</w:t>
            </w:r>
          </w:p>
          <w:p w:rsidR="002C58F1" w:rsidRPr="002C58F1" w:rsidRDefault="002C58F1" w:rsidP="002C58F1">
            <w:pPr>
              <w:spacing w:after="0"/>
              <w:ind w:firstLine="0"/>
              <w:contextualSpacing w:val="0"/>
              <w:jc w:val="left"/>
              <w:rPr>
                <w:color w:val="000000"/>
                <w:szCs w:val="24"/>
              </w:rPr>
            </w:pPr>
            <w:r w:rsidRPr="002C58F1">
              <w:rPr>
                <w:color w:val="000000"/>
                <w:szCs w:val="24"/>
              </w:rPr>
              <w:t>Usmernenie EC samo o sebe už predpokladá kompenzovanie priemyslu nie v plnej výške, ale iba do výšky 75% zvýšených nákladov, pričom:</w:t>
            </w:r>
          </w:p>
          <w:p w:rsidR="002C58F1" w:rsidRPr="002C58F1" w:rsidRDefault="002C58F1" w:rsidP="002C58F1">
            <w:pPr>
              <w:spacing w:after="0"/>
              <w:ind w:firstLine="0"/>
              <w:contextualSpacing w:val="0"/>
              <w:jc w:val="left"/>
              <w:rPr>
                <w:color w:val="000000"/>
                <w:szCs w:val="24"/>
              </w:rPr>
            </w:pPr>
            <w:r w:rsidRPr="002C58F1">
              <w:rPr>
                <w:color w:val="000000"/>
                <w:szCs w:val="24"/>
              </w:rPr>
              <w:t>-  alokácia 50% pre štátnu pomoc, zabezpečí kompenzovanie priemyslu stále iba na cca 40% toho čo určuje usmernenie EC   (za predpokladu existujúceho minima 30% použiteľného výnosu - §18 odsek 7),</w:t>
            </w:r>
          </w:p>
          <w:p w:rsidR="002C58F1" w:rsidRPr="002C58F1" w:rsidRDefault="002C58F1" w:rsidP="002C58F1">
            <w:pPr>
              <w:spacing w:after="0"/>
              <w:ind w:firstLine="0"/>
              <w:contextualSpacing w:val="0"/>
              <w:jc w:val="left"/>
              <w:rPr>
                <w:color w:val="000000"/>
                <w:szCs w:val="24"/>
              </w:rPr>
            </w:pPr>
            <w:r w:rsidRPr="002C58F1">
              <w:rPr>
                <w:color w:val="000000"/>
                <w:szCs w:val="24"/>
              </w:rPr>
              <w:t>- alokácia 50% pre štátnu pomoc, zabezpečí kompenzovanie priemyslu stále iba na cca 90% toho čo určuje usmernenie EC   (za predpokladu zvýšeného minima 70% použiteľného výnosu - §18 odsek 7).</w:t>
            </w:r>
          </w:p>
        </w:tc>
        <w:tc>
          <w:tcPr>
            <w:tcW w:w="1660" w:type="pct"/>
          </w:tcPr>
          <w:p w:rsidR="00AF2E29" w:rsidRPr="003321FE" w:rsidRDefault="003321FE" w:rsidP="00AF2E29">
            <w:pPr>
              <w:pStyle w:val="Default"/>
              <w:jc w:val="both"/>
              <w:rPr>
                <w:color w:val="auto"/>
              </w:rPr>
            </w:pPr>
            <w:r w:rsidRPr="003321FE">
              <w:rPr>
                <w:color w:val="auto"/>
              </w:rPr>
              <w:t xml:space="preserve">Podľa čl. 10a ods. 6 smernice EU ETS 2003/87/ES sa členské štáty snažia v prospech odvetví alebo pododvetví vystavených skutočnému riziku úniku uhlíka v dôsledku výrazných nepriamych nákladov využívať najviac 25% príjmov z obchodovania s kvótami formou aukcie. Rozdelenie/úprava </w:t>
            </w:r>
            <w:r w:rsidR="00AF2E29" w:rsidRPr="003321FE">
              <w:rPr>
                <w:color w:val="auto"/>
              </w:rPr>
              <w:t>výšk</w:t>
            </w:r>
            <w:r w:rsidRPr="003321FE">
              <w:rPr>
                <w:color w:val="auto"/>
              </w:rPr>
              <w:t>y</w:t>
            </w:r>
            <w:r w:rsidR="00AF2E29" w:rsidRPr="003321FE">
              <w:rPr>
                <w:color w:val="auto"/>
              </w:rPr>
              <w:t xml:space="preserve"> percenta </w:t>
            </w:r>
            <w:r w:rsidRPr="003321FE">
              <w:rPr>
                <w:color w:val="auto"/>
              </w:rPr>
              <w:t xml:space="preserve">v </w:t>
            </w:r>
            <w:r w:rsidR="00AF2E29" w:rsidRPr="003321FE">
              <w:rPr>
                <w:color w:val="auto"/>
              </w:rPr>
              <w:t>§18 ods. 4 písm. b) zákona o</w:t>
            </w:r>
            <w:r w:rsidRPr="003321FE">
              <w:rPr>
                <w:color w:val="auto"/>
              </w:rPr>
              <w:t> </w:t>
            </w:r>
            <w:r w:rsidR="00AF2E29" w:rsidRPr="003321FE">
              <w:rPr>
                <w:color w:val="auto"/>
              </w:rPr>
              <w:t>obchodovaní</w:t>
            </w:r>
            <w:r w:rsidRPr="003321FE">
              <w:rPr>
                <w:color w:val="auto"/>
              </w:rPr>
              <w:t xml:space="preserve"> bude výsledkom diskusie a politického rozhodnutia.</w:t>
            </w:r>
          </w:p>
          <w:p w:rsidR="003321FE" w:rsidRPr="003321FE" w:rsidRDefault="003321FE" w:rsidP="00AF2E29">
            <w:pPr>
              <w:pStyle w:val="Default"/>
              <w:jc w:val="both"/>
              <w:rPr>
                <w:color w:val="auto"/>
              </w:rPr>
            </w:pPr>
          </w:p>
          <w:p w:rsidR="00AF2E29" w:rsidRPr="003321FE" w:rsidRDefault="00AF2E29" w:rsidP="00AF2E29">
            <w:pPr>
              <w:pStyle w:val="Default"/>
              <w:jc w:val="both"/>
              <w:rPr>
                <w:color w:val="auto"/>
              </w:rPr>
            </w:pPr>
            <w:r w:rsidRPr="003321FE">
              <w:rPr>
                <w:color w:val="auto"/>
              </w:rPr>
              <w:t xml:space="preserve">Podľa aktuálneho rastúceho vývoja ceny emisných kvót je možné predpokladať, že suma, ktorá bude k dispozícii na využitie na kompenzácie nepriamych nákladov bude </w:t>
            </w:r>
            <w:r w:rsidR="003320F1">
              <w:rPr>
                <w:color w:val="auto"/>
              </w:rPr>
              <w:lastRenderedPageBreak/>
              <w:t xml:space="preserve">vyššia, čo bude zabezpečené </w:t>
            </w:r>
            <w:r w:rsidR="0069745C" w:rsidRPr="003321FE">
              <w:rPr>
                <w:color w:val="auto"/>
              </w:rPr>
              <w:t>v</w:t>
            </w:r>
            <w:r w:rsidRPr="003321FE">
              <w:rPr>
                <w:color w:val="auto"/>
              </w:rPr>
              <w:t xml:space="preserve">ďaka </w:t>
            </w:r>
            <w:r w:rsidR="0069745C" w:rsidRPr="003321FE">
              <w:rPr>
                <w:color w:val="auto"/>
              </w:rPr>
              <w:t xml:space="preserve">nasledovným </w:t>
            </w:r>
            <w:r w:rsidRPr="003321FE">
              <w:rPr>
                <w:color w:val="auto"/>
              </w:rPr>
              <w:t>navrhovaným zmenám:</w:t>
            </w:r>
          </w:p>
          <w:p w:rsidR="002C58F1" w:rsidRPr="003321FE" w:rsidRDefault="00AF2E29" w:rsidP="00BA28CD">
            <w:pPr>
              <w:spacing w:after="0"/>
              <w:ind w:firstLine="0"/>
              <w:contextualSpacing w:val="0"/>
              <w:jc w:val="left"/>
              <w:rPr>
                <w:szCs w:val="24"/>
              </w:rPr>
            </w:pPr>
            <w:r w:rsidRPr="003321FE">
              <w:t xml:space="preserve">- </w:t>
            </w:r>
            <w:r w:rsidRPr="003321FE">
              <w:rPr>
                <w:szCs w:val="24"/>
              </w:rPr>
              <w:t>zvyšuje</w:t>
            </w:r>
            <w:r w:rsidR="0069745C" w:rsidRPr="003321FE">
              <w:rPr>
                <w:szCs w:val="24"/>
              </w:rPr>
              <w:t xml:space="preserve"> sa</w:t>
            </w:r>
            <w:r w:rsidRPr="003321FE">
              <w:rPr>
                <w:szCs w:val="24"/>
              </w:rPr>
              <w:t xml:space="preserve"> výška použiteľnej časti výnosu z 30 % na 70 %</w:t>
            </w:r>
            <w:r w:rsidR="0069745C" w:rsidRPr="003321FE">
              <w:rPr>
                <w:szCs w:val="24"/>
              </w:rPr>
              <w:t>,</w:t>
            </w:r>
          </w:p>
          <w:p w:rsidR="00AF2E29" w:rsidRPr="003321FE" w:rsidRDefault="00AF2E29" w:rsidP="00AF2E29">
            <w:pPr>
              <w:spacing w:after="0"/>
              <w:ind w:firstLine="0"/>
              <w:contextualSpacing w:val="0"/>
              <w:jc w:val="left"/>
              <w:rPr>
                <w:szCs w:val="24"/>
              </w:rPr>
            </w:pPr>
            <w:r w:rsidRPr="003321FE">
              <w:rPr>
                <w:szCs w:val="24"/>
              </w:rPr>
              <w:t>- v</w:t>
            </w:r>
            <w:r w:rsidRPr="003321FE">
              <w:rPr>
                <w:rFonts w:eastAsia="Calibri"/>
                <w:szCs w:val="24"/>
              </w:rPr>
              <w:t xml:space="preserve"> návrhu zákona sa </w:t>
            </w:r>
            <w:r w:rsidRPr="003321FE">
              <w:rPr>
                <w:szCs w:val="24"/>
              </w:rPr>
              <w:t>§ 18 odsek 8 vypúšťa.</w:t>
            </w:r>
          </w:p>
          <w:p w:rsidR="00AF2E29" w:rsidRPr="003321FE" w:rsidRDefault="00AF2E29" w:rsidP="00AF2E29">
            <w:pPr>
              <w:spacing w:after="0"/>
              <w:ind w:firstLine="0"/>
              <w:contextualSpacing w:val="0"/>
              <w:jc w:val="left"/>
              <w:rPr>
                <w:rFonts w:eastAsia="Calibri"/>
                <w:szCs w:val="24"/>
              </w:rPr>
            </w:pPr>
          </w:p>
        </w:tc>
      </w:tr>
      <w:tr w:rsidR="002C58F1" w:rsidRPr="002C58F1" w:rsidTr="00E8373E">
        <w:tc>
          <w:tcPr>
            <w:tcW w:w="821" w:type="pct"/>
          </w:tcPr>
          <w:p w:rsidR="002C58F1" w:rsidRPr="002C58F1" w:rsidRDefault="002C58F1" w:rsidP="00BA28CD">
            <w:pPr>
              <w:spacing w:after="0"/>
              <w:ind w:firstLine="0"/>
              <w:contextualSpacing w:val="0"/>
              <w:jc w:val="left"/>
              <w:rPr>
                <w:rFonts w:eastAsia="Calibri"/>
                <w:b/>
                <w:szCs w:val="24"/>
              </w:rPr>
            </w:pPr>
          </w:p>
        </w:tc>
        <w:tc>
          <w:tcPr>
            <w:tcW w:w="2519" w:type="pct"/>
          </w:tcPr>
          <w:p w:rsidR="002C58F1" w:rsidRPr="002C58F1" w:rsidRDefault="002C58F1" w:rsidP="002C58F1">
            <w:pPr>
              <w:spacing w:after="0"/>
              <w:ind w:firstLine="0"/>
              <w:contextualSpacing w:val="0"/>
              <w:jc w:val="left"/>
              <w:rPr>
                <w:color w:val="000000"/>
                <w:szCs w:val="24"/>
              </w:rPr>
            </w:pPr>
            <w:r w:rsidRPr="002C58F1">
              <w:rPr>
                <w:color w:val="000000"/>
                <w:szCs w:val="24"/>
              </w:rPr>
              <w:t>Podnet č. 3:</w:t>
            </w:r>
            <w:r w:rsidRPr="002C58F1">
              <w:rPr>
                <w:color w:val="000000"/>
                <w:szCs w:val="24"/>
              </w:rPr>
              <w:br/>
              <w:t>K § 18 ods. 8</w:t>
            </w:r>
            <w:r w:rsidRPr="002C58F1">
              <w:rPr>
                <w:color w:val="000000"/>
                <w:szCs w:val="24"/>
              </w:rPr>
              <w:br/>
              <w:t>Navrhujeme zo zákona vypustiť celé znenie § 18 ods. 8, ktoré umožňuje ministerstvu meniť výšku percentuálnej distribúcie použiteľného výnosu z dražieb kvót na účely podľa odseku 4.</w:t>
            </w:r>
            <w:r w:rsidRPr="002C58F1">
              <w:rPr>
                <w:color w:val="000000"/>
                <w:szCs w:val="24"/>
              </w:rPr>
              <w:br/>
              <w:t>Odôvodnenie:</w:t>
            </w:r>
            <w:r w:rsidRPr="002C58F1">
              <w:rPr>
                <w:color w:val="000000"/>
                <w:szCs w:val="24"/>
              </w:rPr>
              <w:br/>
              <w:t>Uvedené znenie ods. 8 zavádza značnú neistotu pre podnikateľské subjekty. Subjekty ktorých sa to dotýka nebudú schopné investovať do ďalšej budúcnosti a rozvoja v danom segmente, a tým je reálne ohrozená ich existencia.</w:t>
            </w:r>
            <w:r w:rsidRPr="002C58F1">
              <w:rPr>
                <w:color w:val="000000"/>
                <w:szCs w:val="24"/>
              </w:rPr>
              <w:br/>
              <w:t>Sme názoru, že zákon má určovať jasné podmienky a limity a je minimálne neobvyklé dať nejakému subjektu právomoc tieto zákonné podmienky meniť bez zákonom jasne definovaných podmienok (potom je celý zákon zbytočný).</w:t>
            </w:r>
          </w:p>
        </w:tc>
        <w:tc>
          <w:tcPr>
            <w:tcW w:w="1660" w:type="pct"/>
          </w:tcPr>
          <w:p w:rsidR="002C58F1" w:rsidRPr="002C58F1" w:rsidRDefault="00534067" w:rsidP="00BA28CD">
            <w:pPr>
              <w:spacing w:after="0"/>
              <w:ind w:firstLine="0"/>
              <w:contextualSpacing w:val="0"/>
              <w:jc w:val="left"/>
              <w:rPr>
                <w:rFonts w:eastAsia="Calibri"/>
                <w:szCs w:val="24"/>
              </w:rPr>
            </w:pPr>
            <w:r>
              <w:rPr>
                <w:rFonts w:eastAsia="Calibri"/>
                <w:szCs w:val="24"/>
              </w:rPr>
              <w:t xml:space="preserve">V návrhu zákona sa </w:t>
            </w:r>
            <w:r w:rsidRPr="00E37EC2">
              <w:rPr>
                <w:color w:val="000000"/>
                <w:szCs w:val="24"/>
              </w:rPr>
              <w:t>§ 18</w:t>
            </w:r>
            <w:r>
              <w:rPr>
                <w:color w:val="000000"/>
                <w:szCs w:val="24"/>
              </w:rPr>
              <w:t xml:space="preserve"> odsek 8 vypúšťa.</w:t>
            </w:r>
          </w:p>
        </w:tc>
      </w:tr>
      <w:tr w:rsidR="00C47AAC" w:rsidRPr="002C58F1" w:rsidTr="00E8373E">
        <w:tc>
          <w:tcPr>
            <w:tcW w:w="821" w:type="pct"/>
          </w:tcPr>
          <w:p w:rsidR="00C47AAC" w:rsidRPr="002C58F1" w:rsidRDefault="00C47AAC" w:rsidP="00C47AAC">
            <w:pPr>
              <w:spacing w:after="0"/>
              <w:ind w:firstLine="0"/>
              <w:contextualSpacing w:val="0"/>
              <w:jc w:val="left"/>
              <w:rPr>
                <w:rFonts w:eastAsia="Calibri"/>
                <w:b/>
                <w:szCs w:val="24"/>
              </w:rPr>
            </w:pPr>
          </w:p>
        </w:tc>
        <w:tc>
          <w:tcPr>
            <w:tcW w:w="2519" w:type="pct"/>
          </w:tcPr>
          <w:p w:rsidR="00C47AAC" w:rsidRPr="002C58F1" w:rsidRDefault="00C47AAC" w:rsidP="00C47AAC">
            <w:pPr>
              <w:spacing w:after="0"/>
              <w:ind w:firstLine="0"/>
              <w:contextualSpacing w:val="0"/>
              <w:jc w:val="left"/>
              <w:rPr>
                <w:color w:val="000000"/>
                <w:szCs w:val="24"/>
              </w:rPr>
            </w:pPr>
            <w:r w:rsidRPr="002C58F1">
              <w:rPr>
                <w:color w:val="000000"/>
                <w:szCs w:val="24"/>
              </w:rPr>
              <w:t>Podnet č. 4:</w:t>
            </w:r>
            <w:r w:rsidRPr="002C58F1">
              <w:rPr>
                <w:color w:val="000000"/>
                <w:szCs w:val="24"/>
              </w:rPr>
              <w:br/>
              <w:t>Spoločne k podnetom č. 1 - 3</w:t>
            </w:r>
            <w:r w:rsidRPr="002C58F1">
              <w:rPr>
                <w:color w:val="000000"/>
                <w:szCs w:val="24"/>
              </w:rPr>
              <w:br/>
              <w:t>Všetky vyššie uvedené podnety predkladáme v záujme udržania konkurencieschopnosti dotknutého priemyslu. V prípade, že nedôjde k zásadným legislatívnym úpravám v zákone č. 414/2012 Z. z., ktoré budú maximalizovať použitie prostriedkov Environmentálneho fondu v prospech pomoci dotknutému priemyslu, dôjde k jeho postupnému zániku, vrátane týchto následkov:</w:t>
            </w:r>
            <w:r w:rsidRPr="002C58F1">
              <w:rPr>
                <w:color w:val="000000"/>
                <w:szCs w:val="24"/>
              </w:rPr>
              <w:br/>
              <w:t xml:space="preserve">• Ekologické: </w:t>
            </w:r>
            <w:r w:rsidRPr="002C58F1">
              <w:rPr>
                <w:color w:val="000000"/>
                <w:szCs w:val="24"/>
              </w:rPr>
              <w:br/>
              <w:t>-  Zhoršenie globálneho znečistenia skleníkovými plynmi v dôsledku toho, že produkcia moderných európskych fabrík spĺňajúcich náročné environmentálne a iné kritéria, bude nahradená produkciou fabrík v krajinách, kde takéto nároky nie sú. napr. výroba hliníka v SR tvorí CO2 stopu v hodnote 4,6 t CO2 na 1 tonu hliníka, pričom produkcia hliníka v Ázii má stopu v hodnote 18 t CO2 na tonu hliníka.</w:t>
            </w:r>
            <w:r w:rsidRPr="002C58F1">
              <w:rPr>
                <w:color w:val="000000"/>
                <w:szCs w:val="24"/>
              </w:rPr>
              <w:br/>
              <w:t>• Ekonomické:</w:t>
            </w:r>
            <w:r w:rsidRPr="002C58F1">
              <w:rPr>
                <w:color w:val="000000"/>
                <w:szCs w:val="24"/>
              </w:rPr>
              <w:br/>
              <w:t>- dobrovoľná deindustializácia európskeho priestoru a zvyšovanie závislosti na dovoze niektorých komodít / tovarov,</w:t>
            </w:r>
            <w:r w:rsidRPr="002C58F1">
              <w:rPr>
                <w:color w:val="000000"/>
                <w:szCs w:val="24"/>
              </w:rPr>
              <w:br/>
              <w:t>- zhoršenie ekonomicko sociálneho prostredia – tvorba HDP, zamestnanosť,</w:t>
            </w:r>
            <w:r w:rsidRPr="002C58F1">
              <w:rPr>
                <w:color w:val="000000"/>
                <w:szCs w:val="24"/>
              </w:rPr>
              <w:br/>
              <w:t xml:space="preserve">- zníženie zdrojov na riešenie environmentálnych </w:t>
            </w:r>
            <w:r w:rsidRPr="002C58F1">
              <w:rPr>
                <w:color w:val="000000"/>
                <w:szCs w:val="24"/>
              </w:rPr>
              <w:lastRenderedPageBreak/>
              <w:t>otázok - budúce prímy Envirofondu budú ovplyvnené odchodom fabrík, ktoré priamym aj nepriamym spôsobom (v elektrine) platili za CO2 povolenky.</w:t>
            </w:r>
          </w:p>
        </w:tc>
        <w:tc>
          <w:tcPr>
            <w:tcW w:w="1660" w:type="pct"/>
          </w:tcPr>
          <w:p w:rsidR="00C47AAC" w:rsidRDefault="00C47AAC" w:rsidP="00C47AAC">
            <w:pPr>
              <w:spacing w:after="0"/>
              <w:ind w:firstLine="0"/>
              <w:contextualSpacing w:val="0"/>
              <w:jc w:val="left"/>
              <w:rPr>
                <w:color w:val="000000"/>
                <w:szCs w:val="24"/>
              </w:rPr>
            </w:pPr>
            <w:r>
              <w:rPr>
                <w:rFonts w:eastAsia="Calibri"/>
                <w:szCs w:val="24"/>
              </w:rPr>
              <w:lastRenderedPageBreak/>
              <w:t xml:space="preserve">V návrhu zákona sa v </w:t>
            </w:r>
            <w:r w:rsidRPr="00E37EC2">
              <w:rPr>
                <w:color w:val="000000"/>
                <w:szCs w:val="24"/>
              </w:rPr>
              <w:t>§ 18</w:t>
            </w:r>
            <w:r>
              <w:rPr>
                <w:color w:val="000000"/>
                <w:szCs w:val="24"/>
              </w:rPr>
              <w:t xml:space="preserve"> odsek 7 zvyšuje výška použiteľnej časti výnosu z 30 % na 70 %.</w:t>
            </w:r>
          </w:p>
          <w:p w:rsidR="00C47AAC" w:rsidRDefault="00C47AAC" w:rsidP="00C47AAC">
            <w:pPr>
              <w:spacing w:after="0"/>
              <w:ind w:firstLine="0"/>
              <w:contextualSpacing w:val="0"/>
              <w:jc w:val="left"/>
              <w:rPr>
                <w:color w:val="000000"/>
                <w:szCs w:val="24"/>
              </w:rPr>
            </w:pPr>
          </w:p>
          <w:p w:rsidR="00C47AAC" w:rsidRPr="002C58F1" w:rsidRDefault="00C47AAC" w:rsidP="00C47AAC">
            <w:pPr>
              <w:spacing w:after="0"/>
              <w:ind w:firstLine="0"/>
              <w:contextualSpacing w:val="0"/>
              <w:jc w:val="left"/>
              <w:rPr>
                <w:rFonts w:eastAsia="Calibri"/>
                <w:szCs w:val="24"/>
              </w:rPr>
            </w:pPr>
            <w:r>
              <w:rPr>
                <w:rFonts w:eastAsia="Calibri"/>
                <w:szCs w:val="24"/>
              </w:rPr>
              <w:t xml:space="preserve">Podľa smernice EU ETS (2003/87/ES  - o </w:t>
            </w:r>
            <w:r w:rsidRPr="00AF2E29">
              <w:rPr>
                <w:rFonts w:eastAsia="Calibri"/>
                <w:szCs w:val="24"/>
              </w:rPr>
              <w:t>európskom systéme obchodovania s emisným kvótami</w:t>
            </w:r>
            <w:r>
              <w:rPr>
                <w:rFonts w:eastAsia="Calibri"/>
                <w:szCs w:val="24"/>
              </w:rPr>
              <w:t>)</w:t>
            </w:r>
            <w:r w:rsidRPr="00AF2E29">
              <w:rPr>
                <w:rFonts w:eastAsia="Calibri"/>
                <w:szCs w:val="24"/>
              </w:rPr>
              <w:t xml:space="preserve"> by sa aspoň 50 % z výnosov z predaja emisných kvót v dražbách malo použiť na klimatické účely.</w:t>
            </w:r>
          </w:p>
        </w:tc>
      </w:tr>
      <w:tr w:rsidR="00C47AAC" w:rsidRPr="002C58F1" w:rsidTr="00E8373E">
        <w:tc>
          <w:tcPr>
            <w:tcW w:w="821" w:type="pct"/>
          </w:tcPr>
          <w:p w:rsidR="00C47AAC" w:rsidRPr="002C58F1" w:rsidRDefault="00C47AAC" w:rsidP="00C47AAC">
            <w:pPr>
              <w:spacing w:after="0"/>
              <w:ind w:firstLine="0"/>
              <w:contextualSpacing w:val="0"/>
              <w:jc w:val="left"/>
              <w:rPr>
                <w:rFonts w:eastAsia="Calibri"/>
                <w:b/>
                <w:szCs w:val="24"/>
              </w:rPr>
            </w:pPr>
          </w:p>
        </w:tc>
        <w:tc>
          <w:tcPr>
            <w:tcW w:w="2519" w:type="pct"/>
          </w:tcPr>
          <w:p w:rsidR="00C47AAC" w:rsidRPr="002C58F1" w:rsidRDefault="00C47AAC" w:rsidP="00C47AAC">
            <w:pPr>
              <w:spacing w:after="0"/>
              <w:ind w:firstLine="0"/>
              <w:contextualSpacing w:val="0"/>
              <w:jc w:val="left"/>
              <w:rPr>
                <w:color w:val="000000"/>
                <w:szCs w:val="24"/>
              </w:rPr>
            </w:pPr>
            <w:r w:rsidRPr="002C58F1">
              <w:rPr>
                <w:color w:val="000000"/>
                <w:szCs w:val="24"/>
              </w:rPr>
              <w:t>Podnet č. 5:</w:t>
            </w:r>
            <w:r w:rsidRPr="002C58F1">
              <w:rPr>
                <w:color w:val="000000"/>
                <w:szCs w:val="24"/>
              </w:rPr>
              <w:br/>
              <w:t>k Prílohe č. 3b k zákonu č. 414/2012 Z. z.  KRITÉRIÁ NA OVEROVANIE SPRÁVY O EMISIÁCH SKLENÍKOVÝCH PLYNOV Z PREVÁDZKY ALEBO Z LETECKÝCH ČINNOSTÍ POČAS PREDCHÁDZAJÚCEHO KALENDÁRNEHO ROKA, bod 4</w:t>
            </w:r>
            <w:r w:rsidRPr="002C58F1">
              <w:rPr>
                <w:color w:val="000000"/>
                <w:szCs w:val="24"/>
              </w:rPr>
              <w:br/>
              <w:t>Navrhujeme zakomponovať virtuálne overovanie správ na základe oznámenia bez zdĺhavého procesu následného povolenia. Ak sa totiž ako napr. v prípade ochorenia COVID-19 zmení situácia u overovateľa alebo prevádzkovateľa pár dní pred overovaním, čakanie na povolenie nemá opodstatnenie. Je možné vopred zadefinovať požiadavky na vzdialené overovanie, ktoré budú pokrývať už v zákone potrebné náležitosti.</w:t>
            </w:r>
          </w:p>
        </w:tc>
        <w:tc>
          <w:tcPr>
            <w:tcW w:w="1660" w:type="pct"/>
          </w:tcPr>
          <w:p w:rsidR="00C47AAC" w:rsidRPr="002C58F1" w:rsidRDefault="00C47AAC" w:rsidP="00C47AAC">
            <w:pPr>
              <w:spacing w:after="0"/>
              <w:ind w:firstLine="0"/>
              <w:contextualSpacing w:val="0"/>
              <w:jc w:val="left"/>
              <w:rPr>
                <w:rFonts w:eastAsia="Calibri"/>
                <w:szCs w:val="24"/>
              </w:rPr>
            </w:pPr>
            <w:r>
              <w:rPr>
                <w:rFonts w:eastAsia="Calibri"/>
                <w:szCs w:val="24"/>
              </w:rPr>
              <w:t>Schválenie rozhodnutia</w:t>
            </w:r>
            <w:r w:rsidRPr="00534067">
              <w:rPr>
                <w:rFonts w:eastAsia="Calibri"/>
                <w:szCs w:val="24"/>
              </w:rPr>
              <w:t xml:space="preserve"> overovateľa vykonať virtuálnu návštevu na mieste</w:t>
            </w:r>
            <w:r>
              <w:rPr>
                <w:rFonts w:eastAsia="Calibri"/>
                <w:szCs w:val="24"/>
              </w:rPr>
              <w:t xml:space="preserve"> príslušným orgánom vyplýva z čl. 34a vykonávacieho nariadenia Komisie (EÚ) 2020/2084 zo 14. decembra 2020, </w:t>
            </w:r>
            <w:r w:rsidRPr="00534067">
              <w:rPr>
                <w:rFonts w:eastAsia="Calibri"/>
                <w:szCs w:val="24"/>
              </w:rPr>
              <w:t>ktorým sa mení a opravuje vykonávacie nariadenie (EÚ) 2018/2067 o overovaní údajov a o akreditácii overovateľov podľa smerni</w:t>
            </w:r>
            <w:r>
              <w:rPr>
                <w:rFonts w:eastAsia="Calibri"/>
                <w:szCs w:val="24"/>
              </w:rPr>
              <w:t xml:space="preserve">ce Európskeho parlamentu a Rady </w:t>
            </w:r>
            <w:r w:rsidRPr="00534067">
              <w:rPr>
                <w:rFonts w:eastAsia="Calibri"/>
                <w:szCs w:val="24"/>
              </w:rPr>
              <w:t>2003/87/ES</w:t>
            </w:r>
            <w:r>
              <w:rPr>
                <w:rFonts w:eastAsia="Calibri"/>
                <w:szCs w:val="24"/>
              </w:rPr>
              <w:t>.</w:t>
            </w:r>
          </w:p>
        </w:tc>
      </w:tr>
      <w:tr w:rsidR="00C47AAC" w:rsidRPr="002C58F1" w:rsidTr="00E8373E">
        <w:tc>
          <w:tcPr>
            <w:tcW w:w="821" w:type="pct"/>
          </w:tcPr>
          <w:p w:rsidR="00C47AAC" w:rsidRPr="002C58F1" w:rsidRDefault="00C47AAC" w:rsidP="00C47AAC">
            <w:pPr>
              <w:spacing w:after="0"/>
              <w:ind w:firstLine="0"/>
              <w:contextualSpacing w:val="0"/>
              <w:jc w:val="left"/>
              <w:rPr>
                <w:rFonts w:eastAsia="Calibri"/>
                <w:b/>
                <w:szCs w:val="24"/>
              </w:rPr>
            </w:pPr>
          </w:p>
        </w:tc>
        <w:tc>
          <w:tcPr>
            <w:tcW w:w="2519" w:type="pct"/>
          </w:tcPr>
          <w:p w:rsidR="00C47AAC" w:rsidRPr="002C58F1" w:rsidRDefault="00C47AAC" w:rsidP="00C47AAC">
            <w:pPr>
              <w:spacing w:after="0"/>
              <w:ind w:firstLine="0"/>
              <w:contextualSpacing w:val="0"/>
              <w:jc w:val="left"/>
              <w:rPr>
                <w:color w:val="000000"/>
                <w:szCs w:val="24"/>
              </w:rPr>
            </w:pPr>
            <w:r w:rsidRPr="002C58F1">
              <w:rPr>
                <w:color w:val="000000"/>
                <w:szCs w:val="24"/>
              </w:rPr>
              <w:t>Podnet č. 6:</w:t>
            </w:r>
            <w:r w:rsidRPr="002C58F1">
              <w:rPr>
                <w:color w:val="000000"/>
                <w:szCs w:val="24"/>
              </w:rPr>
              <w:br/>
              <w:t xml:space="preserve">K Prílohe č. 1 k zákonu č. 414/2012 Z. z. ZOZNAM ČINNOSTÍ KATEGÓRIE ČINNOSTÍ </w:t>
            </w:r>
            <w:r w:rsidRPr="002C58F1">
              <w:rPr>
                <w:color w:val="000000"/>
                <w:szCs w:val="24"/>
              </w:rPr>
              <w:br/>
              <w:t>Navrhujeme zadefinovanie nových ekologických palív – napr. bioplyny, biometán. Použitím daných palív a ich následným spaľovaním sa vyprodukujú minimálne emisie CO2.</w:t>
            </w:r>
          </w:p>
        </w:tc>
        <w:tc>
          <w:tcPr>
            <w:tcW w:w="1660" w:type="pct"/>
          </w:tcPr>
          <w:p w:rsidR="00C47AAC" w:rsidRPr="002C58F1" w:rsidRDefault="00C47AAC" w:rsidP="00C47AAC">
            <w:pPr>
              <w:spacing w:after="0"/>
              <w:ind w:firstLine="0"/>
              <w:contextualSpacing w:val="0"/>
              <w:jc w:val="left"/>
              <w:rPr>
                <w:rFonts w:eastAsia="Calibri"/>
                <w:szCs w:val="24"/>
              </w:rPr>
            </w:pPr>
            <w:r>
              <w:rPr>
                <w:rFonts w:eastAsia="Calibri"/>
                <w:szCs w:val="24"/>
              </w:rPr>
              <w:t xml:space="preserve">Palivá z biomasy a bioplyn sú definovaného v čl. 3 </w:t>
            </w:r>
            <w:r w:rsidRPr="00AB529E">
              <w:rPr>
                <w:rFonts w:eastAsia="Calibri"/>
                <w:szCs w:val="24"/>
              </w:rPr>
              <w:t>vykonávacieho nariadenia Komisie (EÚ)</w:t>
            </w:r>
            <w:r>
              <w:rPr>
                <w:rFonts w:eastAsia="Calibri"/>
                <w:szCs w:val="24"/>
              </w:rPr>
              <w:t xml:space="preserve"> zo 14. decembra 2020, </w:t>
            </w:r>
            <w:r w:rsidRPr="00534067">
              <w:rPr>
                <w:rFonts w:eastAsia="Calibri"/>
                <w:szCs w:val="24"/>
              </w:rPr>
              <w:t>ktorým sa mení a</w:t>
            </w:r>
            <w:r>
              <w:rPr>
                <w:rFonts w:eastAsia="Calibri"/>
                <w:szCs w:val="24"/>
              </w:rPr>
              <w:t> </w:t>
            </w:r>
            <w:r w:rsidRPr="00534067">
              <w:rPr>
                <w:rFonts w:eastAsia="Calibri"/>
                <w:szCs w:val="24"/>
              </w:rPr>
              <w:t>opravuje</w:t>
            </w:r>
            <w:r>
              <w:rPr>
                <w:rFonts w:eastAsia="Calibri"/>
                <w:szCs w:val="24"/>
              </w:rPr>
              <w:t xml:space="preserve"> v</w:t>
            </w:r>
            <w:r>
              <w:t>ykonávacie nariadenie (EÚ) 2018/2066 o monitorovaní a nahlasovaní emisií skleníkových plynov podľa smernice Európskeho parlamentu a Rady 2003/87/ES.</w:t>
            </w:r>
          </w:p>
        </w:tc>
      </w:tr>
      <w:tr w:rsidR="00C47AAC" w:rsidRPr="002C58F1" w:rsidTr="00E8373E">
        <w:tc>
          <w:tcPr>
            <w:tcW w:w="821" w:type="pct"/>
          </w:tcPr>
          <w:p w:rsidR="00C47AAC" w:rsidRPr="002C58F1" w:rsidRDefault="00C47AAC" w:rsidP="00C47AAC">
            <w:pPr>
              <w:spacing w:after="0"/>
              <w:ind w:firstLine="0"/>
              <w:contextualSpacing w:val="0"/>
              <w:jc w:val="left"/>
              <w:rPr>
                <w:rFonts w:eastAsia="Calibri"/>
                <w:b/>
                <w:szCs w:val="24"/>
              </w:rPr>
            </w:pPr>
          </w:p>
        </w:tc>
        <w:tc>
          <w:tcPr>
            <w:tcW w:w="2519" w:type="pct"/>
          </w:tcPr>
          <w:p w:rsidR="00C47AAC" w:rsidRPr="002C58F1" w:rsidRDefault="00C47AAC" w:rsidP="00C47AAC">
            <w:pPr>
              <w:spacing w:after="0"/>
              <w:ind w:firstLine="0"/>
              <w:contextualSpacing w:val="0"/>
              <w:jc w:val="left"/>
              <w:rPr>
                <w:color w:val="000000"/>
                <w:szCs w:val="24"/>
              </w:rPr>
            </w:pPr>
            <w:r w:rsidRPr="002C58F1">
              <w:rPr>
                <w:color w:val="000000"/>
                <w:szCs w:val="24"/>
              </w:rPr>
              <w:t>Podnet č. 7:</w:t>
            </w:r>
            <w:r w:rsidRPr="002C58F1">
              <w:rPr>
                <w:color w:val="000000"/>
                <w:szCs w:val="24"/>
              </w:rPr>
              <w:br/>
              <w:t>K § 31 ods. 1</w:t>
            </w:r>
            <w:r w:rsidRPr="002C58F1">
              <w:rPr>
                <w:color w:val="000000"/>
                <w:szCs w:val="24"/>
              </w:rPr>
              <w:br/>
              <w:t>Zjednodušenie a sprehľadnenie foriem správ, zasielania a prispôsobenie systému na nové požiadavky, ktorý zohľadňuje veľkosť požadovaných dokumentov. Napr. v tomto roku požiadavka na spracovanie „Správa úrovne činností z kĺzavého priemeru 2 rokov„ =&gt; bola vyžadovaná zaslanie mailom, ale kvôli veľkosti mali prevádzkovatelia problém, aby to prešlo a nebolo možné ju priamo vyplniť a uložiť do elektronického systému.</w:t>
            </w:r>
          </w:p>
        </w:tc>
        <w:tc>
          <w:tcPr>
            <w:tcW w:w="1660" w:type="pct"/>
          </w:tcPr>
          <w:p w:rsidR="00C47AAC" w:rsidRPr="002C58F1" w:rsidRDefault="00C47AAC" w:rsidP="00C47AAC">
            <w:pPr>
              <w:spacing w:after="0"/>
              <w:ind w:firstLine="0"/>
              <w:contextualSpacing w:val="0"/>
              <w:jc w:val="left"/>
              <w:rPr>
                <w:rFonts w:eastAsia="Calibri"/>
                <w:szCs w:val="24"/>
              </w:rPr>
            </w:pPr>
            <w:r>
              <w:rPr>
                <w:rFonts w:eastAsia="Calibri"/>
                <w:szCs w:val="24"/>
              </w:rPr>
              <w:t>Po aktualizácii elektronického systému na nové formuláre sa dokumenty nebudú posielať prostredníctvom emailov.</w:t>
            </w:r>
          </w:p>
        </w:tc>
      </w:tr>
    </w:tbl>
    <w:p w:rsidR="006507D4" w:rsidRDefault="006507D4" w:rsidP="006507D4">
      <w:pPr>
        <w:ind w:firstLine="0"/>
      </w:pPr>
    </w:p>
    <w:p w:rsidR="006A499D" w:rsidRDefault="006A499D"/>
    <w:sectPr w:rsidR="006A499D" w:rsidSect="00AE050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5E3" w:rsidRDefault="000F05E3" w:rsidP="00B828D6">
      <w:pPr>
        <w:spacing w:after="0"/>
      </w:pPr>
      <w:r>
        <w:separator/>
      </w:r>
    </w:p>
  </w:endnote>
  <w:endnote w:type="continuationSeparator" w:id="0">
    <w:p w:rsidR="000F05E3" w:rsidRDefault="000F05E3" w:rsidP="00B82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81506"/>
      <w:docPartObj>
        <w:docPartGallery w:val="Page Numbers (Bottom of Page)"/>
        <w:docPartUnique/>
      </w:docPartObj>
    </w:sdtPr>
    <w:sdtContent>
      <w:p w:rsidR="00B828D6" w:rsidRDefault="00B828D6">
        <w:pPr>
          <w:pStyle w:val="Pta"/>
          <w:jc w:val="center"/>
        </w:pPr>
        <w:r>
          <w:fldChar w:fldCharType="begin"/>
        </w:r>
        <w:r>
          <w:instrText>PAGE   \* MERGEFORMAT</w:instrText>
        </w:r>
        <w:r>
          <w:fldChar w:fldCharType="separate"/>
        </w:r>
        <w:r>
          <w:rPr>
            <w:noProof/>
          </w:rPr>
          <w:t>1</w:t>
        </w:r>
        <w:r>
          <w:fldChar w:fldCharType="end"/>
        </w:r>
      </w:p>
    </w:sdtContent>
  </w:sdt>
  <w:p w:rsidR="00B828D6" w:rsidRDefault="00B828D6">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5E3" w:rsidRDefault="000F05E3" w:rsidP="00B828D6">
      <w:pPr>
        <w:spacing w:after="0"/>
      </w:pPr>
      <w:r>
        <w:separator/>
      </w:r>
    </w:p>
  </w:footnote>
  <w:footnote w:type="continuationSeparator" w:id="0">
    <w:p w:rsidR="000F05E3" w:rsidRDefault="000F05E3" w:rsidP="00B828D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C44AA"/>
    <w:multiLevelType w:val="hybridMultilevel"/>
    <w:tmpl w:val="BB0C3C9E"/>
    <w:lvl w:ilvl="0" w:tplc="041B0001">
      <w:start w:val="1"/>
      <w:numFmt w:val="bullet"/>
      <w:lvlText w:val=""/>
      <w:lvlJc w:val="left"/>
      <w:pPr>
        <w:ind w:left="774" w:hanging="360"/>
      </w:pPr>
      <w:rPr>
        <w:rFonts w:ascii="Symbol" w:hAnsi="Symbol" w:hint="default"/>
      </w:rPr>
    </w:lvl>
    <w:lvl w:ilvl="1" w:tplc="041B0003" w:tentative="1">
      <w:start w:val="1"/>
      <w:numFmt w:val="bullet"/>
      <w:lvlText w:val="o"/>
      <w:lvlJc w:val="left"/>
      <w:pPr>
        <w:ind w:left="1494" w:hanging="360"/>
      </w:pPr>
      <w:rPr>
        <w:rFonts w:ascii="Courier New" w:hAnsi="Courier New" w:cs="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cs="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cs="Courier New" w:hint="default"/>
      </w:rPr>
    </w:lvl>
    <w:lvl w:ilvl="8" w:tplc="041B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3045A"/>
    <w:rsid w:val="000F05E3"/>
    <w:rsid w:val="002C58F1"/>
    <w:rsid w:val="0033045A"/>
    <w:rsid w:val="003320F1"/>
    <w:rsid w:val="003321FE"/>
    <w:rsid w:val="00430299"/>
    <w:rsid w:val="004D577A"/>
    <w:rsid w:val="00534067"/>
    <w:rsid w:val="00603E97"/>
    <w:rsid w:val="006507D4"/>
    <w:rsid w:val="0065251A"/>
    <w:rsid w:val="0069745C"/>
    <w:rsid w:val="006A499D"/>
    <w:rsid w:val="007E60E0"/>
    <w:rsid w:val="008E7990"/>
    <w:rsid w:val="009277DF"/>
    <w:rsid w:val="00A124A6"/>
    <w:rsid w:val="00AB529E"/>
    <w:rsid w:val="00AC2CBD"/>
    <w:rsid w:val="00AE0509"/>
    <w:rsid w:val="00AF2E29"/>
    <w:rsid w:val="00B828D6"/>
    <w:rsid w:val="00BA28CD"/>
    <w:rsid w:val="00BD6008"/>
    <w:rsid w:val="00C47AAC"/>
    <w:rsid w:val="00C67895"/>
    <w:rsid w:val="00CB660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14C74-E42D-43CE-92E8-325E505F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0299"/>
    <w:pPr>
      <w:spacing w:after="120" w:line="240" w:lineRule="auto"/>
      <w:ind w:firstLine="709"/>
      <w:contextualSpacing/>
      <w:jc w:val="both"/>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430299"/>
    <w:rPr>
      <w:color w:val="0000FF"/>
      <w:u w:val="single"/>
    </w:rPr>
  </w:style>
  <w:style w:type="table" w:styleId="Mriekatabuky">
    <w:name w:val="Table Grid"/>
    <w:basedOn w:val="Normlnatabuka"/>
    <w:uiPriority w:val="39"/>
    <w:rsid w:val="00BA2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BA2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2E29"/>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AC2CBD"/>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AC2CBD"/>
    <w:rPr>
      <w:rFonts w:ascii="Tahoma" w:eastAsia="Times New Roman" w:hAnsi="Tahoma" w:cs="Tahoma"/>
      <w:sz w:val="16"/>
      <w:szCs w:val="16"/>
    </w:rPr>
  </w:style>
  <w:style w:type="paragraph" w:styleId="Hlavika">
    <w:name w:val="header"/>
    <w:basedOn w:val="Normlny"/>
    <w:link w:val="HlavikaChar"/>
    <w:uiPriority w:val="99"/>
    <w:unhideWhenUsed/>
    <w:rsid w:val="00B828D6"/>
    <w:pPr>
      <w:tabs>
        <w:tab w:val="center" w:pos="4536"/>
        <w:tab w:val="right" w:pos="9072"/>
      </w:tabs>
      <w:spacing w:after="0"/>
    </w:pPr>
  </w:style>
  <w:style w:type="character" w:customStyle="1" w:styleId="HlavikaChar">
    <w:name w:val="Hlavička Char"/>
    <w:basedOn w:val="Predvolenpsmoodseku"/>
    <w:link w:val="Hlavika"/>
    <w:uiPriority w:val="99"/>
    <w:rsid w:val="00B828D6"/>
    <w:rPr>
      <w:rFonts w:ascii="Times New Roman" w:eastAsia="Times New Roman" w:hAnsi="Times New Roman" w:cs="Times New Roman"/>
      <w:sz w:val="24"/>
    </w:rPr>
  </w:style>
  <w:style w:type="paragraph" w:styleId="Pta">
    <w:name w:val="footer"/>
    <w:basedOn w:val="Normlny"/>
    <w:link w:val="PtaChar"/>
    <w:uiPriority w:val="99"/>
    <w:unhideWhenUsed/>
    <w:rsid w:val="00B828D6"/>
    <w:pPr>
      <w:tabs>
        <w:tab w:val="center" w:pos="4536"/>
        <w:tab w:val="right" w:pos="9072"/>
      </w:tabs>
      <w:spacing w:after="0"/>
    </w:pPr>
  </w:style>
  <w:style w:type="character" w:customStyle="1" w:styleId="PtaChar">
    <w:name w:val="Päta Char"/>
    <w:basedOn w:val="Predvolenpsmoodseku"/>
    <w:link w:val="Pta"/>
    <w:uiPriority w:val="99"/>
    <w:rsid w:val="00B828D6"/>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95038">
      <w:bodyDiv w:val="1"/>
      <w:marLeft w:val="0"/>
      <w:marRight w:val="0"/>
      <w:marTop w:val="0"/>
      <w:marBottom w:val="0"/>
      <w:divBdr>
        <w:top w:val="none" w:sz="0" w:space="0" w:color="auto"/>
        <w:left w:val="none" w:sz="0" w:space="0" w:color="auto"/>
        <w:bottom w:val="none" w:sz="0" w:space="0" w:color="auto"/>
        <w:right w:val="none" w:sz="0" w:space="0" w:color="auto"/>
      </w:divBdr>
    </w:div>
    <w:div w:id="753163703">
      <w:bodyDiv w:val="1"/>
      <w:marLeft w:val="0"/>
      <w:marRight w:val="0"/>
      <w:marTop w:val="0"/>
      <w:marBottom w:val="0"/>
      <w:divBdr>
        <w:top w:val="none" w:sz="0" w:space="0" w:color="auto"/>
        <w:left w:val="none" w:sz="0" w:space="0" w:color="auto"/>
        <w:bottom w:val="none" w:sz="0" w:space="0" w:color="auto"/>
        <w:right w:val="none" w:sz="0" w:space="0" w:color="auto"/>
      </w:divBdr>
    </w:div>
    <w:div w:id="769542444">
      <w:bodyDiv w:val="1"/>
      <w:marLeft w:val="0"/>
      <w:marRight w:val="0"/>
      <w:marTop w:val="0"/>
      <w:marBottom w:val="0"/>
      <w:divBdr>
        <w:top w:val="none" w:sz="0" w:space="0" w:color="auto"/>
        <w:left w:val="none" w:sz="0" w:space="0" w:color="auto"/>
        <w:bottom w:val="none" w:sz="0" w:space="0" w:color="auto"/>
        <w:right w:val="none" w:sz="0" w:space="0" w:color="auto"/>
      </w:divBdr>
    </w:div>
    <w:div w:id="971861286">
      <w:bodyDiv w:val="1"/>
      <w:marLeft w:val="0"/>
      <w:marRight w:val="0"/>
      <w:marTop w:val="0"/>
      <w:marBottom w:val="0"/>
      <w:divBdr>
        <w:top w:val="none" w:sz="0" w:space="0" w:color="auto"/>
        <w:left w:val="none" w:sz="0" w:space="0" w:color="auto"/>
        <w:bottom w:val="none" w:sz="0" w:space="0" w:color="auto"/>
        <w:right w:val="none" w:sz="0" w:space="0" w:color="auto"/>
      </w:divBdr>
    </w:div>
    <w:div w:id="1494370843">
      <w:bodyDiv w:val="1"/>
      <w:marLeft w:val="0"/>
      <w:marRight w:val="0"/>
      <w:marTop w:val="0"/>
      <w:marBottom w:val="0"/>
      <w:divBdr>
        <w:top w:val="none" w:sz="0" w:space="0" w:color="auto"/>
        <w:left w:val="none" w:sz="0" w:space="0" w:color="auto"/>
        <w:bottom w:val="none" w:sz="0" w:space="0" w:color="auto"/>
        <w:right w:val="none" w:sz="0" w:space="0" w:color="auto"/>
      </w:divBdr>
    </w:div>
    <w:div w:id="1546597639">
      <w:bodyDiv w:val="1"/>
      <w:marLeft w:val="0"/>
      <w:marRight w:val="0"/>
      <w:marTop w:val="0"/>
      <w:marBottom w:val="0"/>
      <w:divBdr>
        <w:top w:val="none" w:sz="0" w:space="0" w:color="auto"/>
        <w:left w:val="none" w:sz="0" w:space="0" w:color="auto"/>
        <w:bottom w:val="none" w:sz="0" w:space="0" w:color="auto"/>
        <w:right w:val="none" w:sz="0" w:space="0" w:color="auto"/>
      </w:divBdr>
    </w:div>
    <w:div w:id="1632980980">
      <w:bodyDiv w:val="1"/>
      <w:marLeft w:val="0"/>
      <w:marRight w:val="0"/>
      <w:marTop w:val="0"/>
      <w:marBottom w:val="0"/>
      <w:divBdr>
        <w:top w:val="none" w:sz="0" w:space="0" w:color="auto"/>
        <w:left w:val="none" w:sz="0" w:space="0" w:color="auto"/>
        <w:bottom w:val="none" w:sz="0" w:space="0" w:color="auto"/>
        <w:right w:val="none" w:sz="0" w:space="0" w:color="auto"/>
      </w:divBdr>
    </w:div>
    <w:div w:id="1978680938">
      <w:bodyDiv w:val="1"/>
      <w:marLeft w:val="0"/>
      <w:marRight w:val="0"/>
      <w:marTop w:val="0"/>
      <w:marBottom w:val="0"/>
      <w:divBdr>
        <w:top w:val="none" w:sz="0" w:space="0" w:color="auto"/>
        <w:left w:val="none" w:sz="0" w:space="0" w:color="auto"/>
        <w:bottom w:val="none" w:sz="0" w:space="0" w:color="auto"/>
        <w:right w:val="none" w:sz="0" w:space="0" w:color="auto"/>
      </w:divBdr>
    </w:div>
    <w:div w:id="2082869641">
      <w:bodyDiv w:val="1"/>
      <w:marLeft w:val="0"/>
      <w:marRight w:val="0"/>
      <w:marTop w:val="0"/>
      <w:marBottom w:val="0"/>
      <w:divBdr>
        <w:top w:val="none" w:sz="0" w:space="0" w:color="auto"/>
        <w:left w:val="none" w:sz="0" w:space="0" w:color="auto"/>
        <w:bottom w:val="none" w:sz="0" w:space="0" w:color="auto"/>
        <w:right w:val="none" w:sz="0" w:space="0" w:color="auto"/>
      </w:divBdr>
    </w:div>
    <w:div w:id="2109889658">
      <w:bodyDiv w:val="1"/>
      <w:marLeft w:val="0"/>
      <w:marRight w:val="0"/>
      <w:marTop w:val="0"/>
      <w:marBottom w:val="0"/>
      <w:divBdr>
        <w:top w:val="none" w:sz="0" w:space="0" w:color="auto"/>
        <w:left w:val="none" w:sz="0" w:space="0" w:color="auto"/>
        <w:bottom w:val="none" w:sz="0" w:space="0" w:color="auto"/>
        <w:right w:val="none" w:sz="0" w:space="0" w:color="auto"/>
      </w:divBdr>
    </w:div>
    <w:div w:id="211336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2271</Words>
  <Characters>12949</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Broošová Natália</dc:creator>
  <cp:keywords/>
  <dc:description/>
  <cp:lastModifiedBy>Smažáková Janette</cp:lastModifiedBy>
  <cp:revision>5</cp:revision>
  <dcterms:created xsi:type="dcterms:W3CDTF">2021-06-28T08:15:00Z</dcterms:created>
  <dcterms:modified xsi:type="dcterms:W3CDTF">2022-02-08T08:32:00Z</dcterms:modified>
</cp:coreProperties>
</file>