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B0DD" w14:textId="1E872C5F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049F0E4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2649D33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FAB36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4921F00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9386BF2" w14:textId="07B57E76" w:rsidR="001B23B7" w:rsidRPr="00B043B4" w:rsidRDefault="001B23B7" w:rsidP="00846647">
            <w:pPr>
              <w:tabs>
                <w:tab w:val="right" w:pos="8964"/>
              </w:tabs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  <w:r w:rsidR="00846647"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1B23B7" w:rsidRPr="00B043B4" w14:paraId="68C08571" w14:textId="77777777" w:rsidTr="00EC6A51">
        <w:trPr>
          <w:trHeight w:val="357"/>
        </w:trPr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4BBEEAE" w14:textId="052BC94A" w:rsidR="001B23B7" w:rsidRPr="00A74479" w:rsidRDefault="007626DE" w:rsidP="00282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4479">
              <w:rPr>
                <w:rFonts w:ascii="Times New Roman" w:hAnsi="Times New Roman" w:cs="Times New Roman"/>
                <w:sz w:val="20"/>
                <w:szCs w:val="20"/>
              </w:rPr>
              <w:t>Nariadenie vlády Slovenskej republiky, ktorým sa</w:t>
            </w:r>
            <w:r w:rsidR="00846647">
              <w:rPr>
                <w:rFonts w:ascii="Times New Roman" w:hAnsi="Times New Roman" w:cs="Times New Roman"/>
                <w:sz w:val="20"/>
                <w:szCs w:val="20"/>
              </w:rPr>
              <w:t xml:space="preserve"> dopĺňa </w:t>
            </w:r>
            <w:r w:rsidRPr="00A74479">
              <w:rPr>
                <w:rFonts w:ascii="Times New Roman" w:hAnsi="Times New Roman" w:cs="Times New Roman"/>
                <w:sz w:val="20"/>
                <w:szCs w:val="20"/>
              </w:rPr>
              <w:t>národn</w:t>
            </w:r>
            <w:r w:rsidR="00846647">
              <w:rPr>
                <w:rFonts w:ascii="Times New Roman" w:hAnsi="Times New Roman" w:cs="Times New Roman"/>
                <w:sz w:val="20"/>
                <w:szCs w:val="20"/>
              </w:rPr>
              <w:t>ý</w:t>
            </w:r>
            <w:r w:rsidRPr="00A74479">
              <w:rPr>
                <w:rFonts w:ascii="Times New Roman" w:hAnsi="Times New Roman" w:cs="Times New Roman"/>
                <w:sz w:val="20"/>
                <w:szCs w:val="20"/>
              </w:rPr>
              <w:t xml:space="preserve"> zoznam území európskeho významu </w:t>
            </w:r>
          </w:p>
        </w:tc>
      </w:tr>
      <w:tr w:rsidR="001B23B7" w:rsidRPr="00B043B4" w14:paraId="7DFB86A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CCC202F" w14:textId="77777777" w:rsidR="001B23B7" w:rsidRPr="00A74479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74479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165A2E2A" w14:textId="77777777" w:rsidTr="00EC6A51">
        <w:trPr>
          <w:trHeight w:val="423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8F3B5" w14:textId="77777777" w:rsidR="001B23B7" w:rsidRPr="00A74479" w:rsidRDefault="00F85FAC" w:rsidP="00EC6A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44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životného prostredia Slovenskej republiky</w:t>
            </w:r>
          </w:p>
        </w:tc>
      </w:tr>
      <w:tr w:rsidR="001B23B7" w:rsidRPr="00B043B4" w14:paraId="70713E04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CA9B8B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036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1FBB1E" w14:textId="77777777" w:rsidR="001B23B7" w:rsidRPr="00B043B4" w:rsidRDefault="007626DE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A2CA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8738BD9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36516D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829110B" w14:textId="77777777" w:rsidR="001B23B7" w:rsidRPr="00B043B4" w:rsidRDefault="00DF020E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-1275870359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667933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626DE">
                          <w:rPr>
                            <w:rFonts w:ascii="MS Gothic" w:eastAsia="MS Gothic" w:hAnsi="MS Gothic" w:cs="Times New Roman" w:hint="eastAsia"/>
                            <w:sz w:val="20"/>
                            <w:szCs w:val="20"/>
                            <w:lang w:eastAsia="sk-SK"/>
                          </w:rPr>
                          <w:t>☒</w:t>
                        </w:r>
                      </w:sdtContent>
                    </w:sdt>
                  </w:sdtContent>
                </w:sdt>
                <w:r w:rsidR="007626DE"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A7F808D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3727F99E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3C8C99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8EA83D0" w14:textId="77777777"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7CFBA3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7CF5724F" w14:textId="77777777" w:rsidTr="00EC6A51">
        <w:trPr>
          <w:trHeight w:val="412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  <w:vAlign w:val="center"/>
          </w:tcPr>
          <w:p w14:paraId="13A0053B" w14:textId="77777777" w:rsidR="001B23B7" w:rsidRPr="00B043B4" w:rsidRDefault="001B23B7" w:rsidP="00EC6A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1B23B7" w:rsidRPr="00B043B4" w14:paraId="7DF59BB8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2F44A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934" w14:textId="1459E2DC" w:rsidR="001B23B7" w:rsidRPr="00B043B4" w:rsidRDefault="00E2532A" w:rsidP="00E253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22. december 2021 – 3. január 2022</w:t>
            </w:r>
          </w:p>
        </w:tc>
      </w:tr>
      <w:tr w:rsidR="001B23B7" w:rsidRPr="00B043B4" w14:paraId="71ACE7C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263EC03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6D4" w14:textId="39269D45" w:rsidR="001B23B7" w:rsidRPr="00B043B4" w:rsidRDefault="00E2532A" w:rsidP="00E253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13. január -2. február </w:t>
            </w:r>
            <w:r w:rsidR="007626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B043B4" w14:paraId="4B20AC8A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43B0C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2A5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EA64874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F8819D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35D" w14:textId="690D1E68" w:rsidR="001B23B7" w:rsidRPr="00B043B4" w:rsidRDefault="00116EF8" w:rsidP="00116EF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</w:t>
            </w:r>
            <w:r w:rsidR="007626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</w:t>
            </w:r>
            <w:r w:rsidR="00E25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B043B4" w14:paraId="1B0E63B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3652A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35DE8A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214CF3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189BCCE9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956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materiálu (dôvody majú presne poukázať na problém, ktorý existuje a je nutné ho predloženým materiálom riešiť).</w:t>
            </w:r>
          </w:p>
          <w:p w14:paraId="787678FC" w14:textId="77777777" w:rsidR="00471528" w:rsidRDefault="00471528" w:rsidP="00471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40C5813" w14:textId="5355DB8B" w:rsidR="001B23B7" w:rsidRPr="00471528" w:rsidRDefault="00AD3F88" w:rsidP="003E59A8">
            <w:pPr>
              <w:pStyle w:val="Textpoznmkypodiarou"/>
              <w:jc w:val="both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Doplnenie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národného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zoznamu</w:t>
            </w:r>
            <w:proofErr w:type="spellEnd"/>
            <w:r>
              <w:rPr>
                <w:lang w:eastAsia="sk-SK"/>
              </w:rPr>
              <w:t xml:space="preserve"> území </w:t>
            </w:r>
            <w:proofErr w:type="spellStart"/>
            <w:r>
              <w:rPr>
                <w:lang w:eastAsia="sk-SK"/>
              </w:rPr>
              <w:t>európskeho</w:t>
            </w:r>
            <w:proofErr w:type="spellEnd"/>
            <w:r>
              <w:rPr>
                <w:lang w:eastAsia="sk-SK"/>
              </w:rPr>
              <w:t xml:space="preserve"> významu (ÚEV) o nové lokality s </w:t>
            </w:r>
            <w:proofErr w:type="spellStart"/>
            <w:r>
              <w:rPr>
                <w:lang w:eastAsia="sk-SK"/>
              </w:rPr>
              <w:t>cieľom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odstrániť</w:t>
            </w:r>
            <w:proofErr w:type="spellEnd"/>
            <w:r>
              <w:rPr>
                <w:lang w:eastAsia="sk-SK"/>
              </w:rPr>
              <w:t xml:space="preserve"> nedostatky identifikované </w:t>
            </w:r>
            <w:proofErr w:type="spellStart"/>
            <w:r>
              <w:rPr>
                <w:lang w:eastAsia="sk-SK"/>
              </w:rPr>
              <w:t>Európskou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komisiou</w:t>
            </w:r>
            <w:proofErr w:type="spellEnd"/>
            <w:r>
              <w:rPr>
                <w:lang w:eastAsia="sk-SK"/>
              </w:rPr>
              <w:t xml:space="preserve"> v rámci </w:t>
            </w:r>
            <w:proofErr w:type="spellStart"/>
            <w:r>
              <w:rPr>
                <w:lang w:eastAsia="sk-SK"/>
              </w:rPr>
              <w:t>konania</w:t>
            </w:r>
            <w:proofErr w:type="spellEnd"/>
            <w:r>
              <w:rPr>
                <w:lang w:eastAsia="sk-SK"/>
              </w:rPr>
              <w:t xml:space="preserve"> k </w:t>
            </w:r>
            <w:proofErr w:type="spellStart"/>
            <w:r>
              <w:rPr>
                <w:lang w:eastAsia="sk-SK"/>
              </w:rPr>
              <w:t>porušeniu</w:t>
            </w:r>
            <w:proofErr w:type="spellEnd"/>
            <w:r>
              <w:rPr>
                <w:lang w:eastAsia="sk-SK"/>
              </w:rPr>
              <w:t xml:space="preserve"> č. 2016/2091</w:t>
            </w:r>
            <w:r w:rsidR="00524200">
              <w:rPr>
                <w:lang w:eastAsia="sk-SK"/>
              </w:rPr>
              <w:t xml:space="preserve">, </w:t>
            </w:r>
            <w:proofErr w:type="spellStart"/>
            <w:r w:rsidR="00524200">
              <w:rPr>
                <w:lang w:eastAsia="sk-SK"/>
              </w:rPr>
              <w:t>aktuálne</w:t>
            </w:r>
            <w:proofErr w:type="spellEnd"/>
            <w:r w:rsidR="00524200">
              <w:rPr>
                <w:lang w:eastAsia="sk-SK"/>
              </w:rPr>
              <w:t xml:space="preserve"> v </w:t>
            </w:r>
            <w:proofErr w:type="spellStart"/>
            <w:r w:rsidR="00524200">
              <w:rPr>
                <w:lang w:eastAsia="sk-SK"/>
              </w:rPr>
              <w:t>štádiu</w:t>
            </w:r>
            <w:proofErr w:type="spellEnd"/>
            <w:r w:rsidR="00524200">
              <w:rPr>
                <w:lang w:eastAsia="sk-SK"/>
              </w:rPr>
              <w:t xml:space="preserve"> </w:t>
            </w:r>
            <w:proofErr w:type="spellStart"/>
            <w:r w:rsidR="00524200">
              <w:rPr>
                <w:lang w:eastAsia="sk-SK"/>
              </w:rPr>
              <w:t>odôvodneného</w:t>
            </w:r>
            <w:proofErr w:type="spellEnd"/>
            <w:r w:rsidR="00524200">
              <w:rPr>
                <w:lang w:eastAsia="sk-SK"/>
              </w:rPr>
              <w:t xml:space="preserve"> stanoviska</w:t>
            </w:r>
            <w:r>
              <w:rPr>
                <w:lang w:eastAsia="sk-SK"/>
              </w:rPr>
              <w:t xml:space="preserve">. Uvedený </w:t>
            </w:r>
            <w:proofErr w:type="spellStart"/>
            <w:r>
              <w:rPr>
                <w:lang w:eastAsia="sk-SK"/>
              </w:rPr>
              <w:t>záväzok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vyplýva</w:t>
            </w:r>
            <w:proofErr w:type="spellEnd"/>
            <w:r>
              <w:rPr>
                <w:lang w:eastAsia="sk-SK"/>
              </w:rPr>
              <w:t xml:space="preserve"> z čl. 4 </w:t>
            </w:r>
            <w:proofErr w:type="spellStart"/>
            <w:r>
              <w:rPr>
                <w:lang w:eastAsia="sk-SK"/>
              </w:rPr>
              <w:t>smernice</w:t>
            </w:r>
            <w:proofErr w:type="spellEnd"/>
            <w:r>
              <w:rPr>
                <w:lang w:eastAsia="sk-SK"/>
              </w:rPr>
              <w:t xml:space="preserve"> Rady</w:t>
            </w:r>
            <w:r w:rsidR="003E59A8">
              <w:rPr>
                <w:lang w:eastAsia="sk-SK"/>
              </w:rPr>
              <w:t xml:space="preserve"> </w:t>
            </w:r>
            <w:r w:rsidR="003E59A8">
              <w:rPr>
                <w:lang w:val="sk-SK"/>
              </w:rPr>
              <w:t xml:space="preserve">92/43/EHS z 21. mája 1992 o ochrane prirodzených biotopov a voľne žijúcich živočíchov a rastlín v platnom znení </w:t>
            </w:r>
            <w:r>
              <w:rPr>
                <w:lang w:eastAsia="sk-SK"/>
              </w:rPr>
              <w:t>(</w:t>
            </w:r>
            <w:proofErr w:type="spellStart"/>
            <w:r>
              <w:rPr>
                <w:lang w:eastAsia="sk-SK"/>
              </w:rPr>
              <w:t>ďalej</w:t>
            </w:r>
            <w:proofErr w:type="spellEnd"/>
            <w:r>
              <w:rPr>
                <w:lang w:eastAsia="sk-SK"/>
              </w:rPr>
              <w:t xml:space="preserve"> len </w:t>
            </w:r>
            <w:r w:rsidRPr="00F10044">
              <w:rPr>
                <w:lang w:eastAsia="sk-SK"/>
              </w:rPr>
              <w:t>„</w:t>
            </w:r>
            <w:proofErr w:type="spellStart"/>
            <w:r w:rsidRPr="00846647">
              <w:rPr>
                <w:i/>
                <w:iCs/>
                <w:lang w:eastAsia="sk-SK"/>
              </w:rPr>
              <w:t>smernica</w:t>
            </w:r>
            <w:proofErr w:type="spellEnd"/>
            <w:r w:rsidRPr="00846647">
              <w:rPr>
                <w:i/>
                <w:iCs/>
                <w:lang w:eastAsia="sk-SK"/>
              </w:rPr>
              <w:t xml:space="preserve"> o</w:t>
            </w:r>
            <w:r w:rsidR="00524200" w:rsidRPr="00846647">
              <w:rPr>
                <w:i/>
                <w:iCs/>
                <w:lang w:eastAsia="sk-SK"/>
              </w:rPr>
              <w:t> </w:t>
            </w:r>
            <w:proofErr w:type="spellStart"/>
            <w:r w:rsidRPr="00846647">
              <w:rPr>
                <w:i/>
                <w:iCs/>
                <w:lang w:eastAsia="sk-SK"/>
              </w:rPr>
              <w:t>biotopoch</w:t>
            </w:r>
            <w:proofErr w:type="spellEnd"/>
            <w:r w:rsidR="00524200" w:rsidRPr="006E3019">
              <w:rPr>
                <w:iCs/>
                <w:lang w:eastAsia="sk-SK"/>
              </w:rPr>
              <w:t>“</w:t>
            </w:r>
            <w:r w:rsidRPr="006E3019">
              <w:rPr>
                <w:iCs/>
                <w:lang w:eastAsia="sk-SK"/>
              </w:rPr>
              <w:t>)</w:t>
            </w:r>
            <w:r w:rsidR="003E59A8" w:rsidRPr="006E3019">
              <w:rPr>
                <w:iCs/>
                <w:lang w:eastAsia="sk-SK"/>
              </w:rPr>
              <w:t>,</w:t>
            </w:r>
            <w:r w:rsidRPr="006E3019">
              <w:rPr>
                <w:iCs/>
                <w:lang w:eastAsia="sk-SK"/>
              </w:rPr>
              <w:t xml:space="preserve"> </w:t>
            </w:r>
            <w:proofErr w:type="spellStart"/>
            <w:r w:rsidRPr="00F10044">
              <w:rPr>
                <w:lang w:eastAsia="sk-SK"/>
              </w:rPr>
              <w:t>ako</w:t>
            </w:r>
            <w:proofErr w:type="spellEnd"/>
            <w:r w:rsidRPr="00F10044">
              <w:rPr>
                <w:lang w:eastAsia="sk-SK"/>
              </w:rPr>
              <w:t xml:space="preserve"> aj z § 27 zákona č. 543/2002 Z. z. o </w:t>
            </w:r>
            <w:proofErr w:type="spellStart"/>
            <w:r w:rsidRPr="00F10044">
              <w:rPr>
                <w:lang w:eastAsia="sk-SK"/>
              </w:rPr>
              <w:t>ochrane</w:t>
            </w:r>
            <w:proofErr w:type="spellEnd"/>
            <w:r w:rsidRPr="00F10044">
              <w:rPr>
                <w:lang w:eastAsia="sk-SK"/>
              </w:rPr>
              <w:t xml:space="preserve"> </w:t>
            </w:r>
            <w:proofErr w:type="spellStart"/>
            <w:r w:rsidRPr="00F10044">
              <w:rPr>
                <w:lang w:eastAsia="sk-SK"/>
              </w:rPr>
              <w:t>prírody</w:t>
            </w:r>
            <w:proofErr w:type="spellEnd"/>
            <w:r w:rsidRPr="00F10044">
              <w:rPr>
                <w:lang w:eastAsia="sk-SK"/>
              </w:rPr>
              <w:t xml:space="preserve"> </w:t>
            </w:r>
            <w:r w:rsidR="00574232">
              <w:rPr>
                <w:lang w:eastAsia="sk-SK"/>
              </w:rPr>
              <w:t xml:space="preserve">a </w:t>
            </w:r>
            <w:r w:rsidRPr="00F10044">
              <w:rPr>
                <w:lang w:eastAsia="sk-SK"/>
              </w:rPr>
              <w:t>krajiny v </w:t>
            </w:r>
            <w:proofErr w:type="spellStart"/>
            <w:r w:rsidRPr="00F10044">
              <w:rPr>
                <w:lang w:eastAsia="sk-SK"/>
              </w:rPr>
              <w:t>znení</w:t>
            </w:r>
            <w:proofErr w:type="spellEnd"/>
            <w:r w:rsidRPr="00F10044">
              <w:rPr>
                <w:lang w:eastAsia="sk-SK"/>
              </w:rPr>
              <w:t xml:space="preserve"> </w:t>
            </w:r>
            <w:proofErr w:type="spellStart"/>
            <w:r w:rsidRPr="00F10044">
              <w:rPr>
                <w:lang w:eastAsia="sk-SK"/>
              </w:rPr>
              <w:t>neskorších</w:t>
            </w:r>
            <w:proofErr w:type="spellEnd"/>
            <w:r w:rsidRPr="00F10044">
              <w:rPr>
                <w:lang w:eastAsia="sk-SK"/>
              </w:rPr>
              <w:t xml:space="preserve"> </w:t>
            </w:r>
            <w:proofErr w:type="spellStart"/>
            <w:r w:rsidRPr="00F10044">
              <w:rPr>
                <w:lang w:eastAsia="sk-SK"/>
              </w:rPr>
              <w:t>predpisov</w:t>
            </w:r>
            <w:proofErr w:type="spellEnd"/>
            <w:r w:rsidRPr="00F10044">
              <w:rPr>
                <w:lang w:eastAsia="sk-SK"/>
              </w:rPr>
              <w:t xml:space="preserve"> (</w:t>
            </w:r>
            <w:proofErr w:type="spellStart"/>
            <w:r w:rsidRPr="00F10044">
              <w:rPr>
                <w:lang w:eastAsia="sk-SK"/>
              </w:rPr>
              <w:t>ďalej</w:t>
            </w:r>
            <w:proofErr w:type="spellEnd"/>
            <w:r w:rsidRPr="00F10044">
              <w:rPr>
                <w:lang w:eastAsia="sk-SK"/>
              </w:rPr>
              <w:t xml:space="preserve"> len </w:t>
            </w:r>
            <w:r w:rsidRPr="006E3019">
              <w:rPr>
                <w:iCs/>
                <w:lang w:eastAsia="sk-SK"/>
              </w:rPr>
              <w:t>„</w:t>
            </w:r>
            <w:r w:rsidRPr="00EE14BD">
              <w:rPr>
                <w:i/>
                <w:iCs/>
                <w:lang w:eastAsia="sk-SK"/>
              </w:rPr>
              <w:t>zákon č. 543/2002</w:t>
            </w:r>
            <w:r w:rsidRPr="00AD3F88">
              <w:rPr>
                <w:i/>
                <w:iCs/>
                <w:lang w:eastAsia="sk-SK"/>
              </w:rPr>
              <w:t xml:space="preserve"> Z. z.“)</w:t>
            </w:r>
            <w:r w:rsidR="00524200">
              <w:rPr>
                <w:i/>
                <w:iCs/>
                <w:lang w:eastAsia="sk-SK"/>
              </w:rPr>
              <w:t xml:space="preserve">. </w:t>
            </w:r>
          </w:p>
        </w:tc>
      </w:tr>
      <w:tr w:rsidR="001B23B7" w:rsidRPr="00B043B4" w14:paraId="1C4D601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C10D1C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4A0CA209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47A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31A91648" w14:textId="77777777" w:rsidR="00471528" w:rsidRDefault="00471528" w:rsidP="00471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EC8939C" w14:textId="77777777" w:rsidR="00524200" w:rsidRPr="006E3019" w:rsidRDefault="00524200" w:rsidP="003C6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 biotopy a druhy európskeho významu, ktoré sú predmetom </w:t>
            </w:r>
            <w:r w:rsidRPr="00F1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ochrany novo navrhovaných lokalít, dosiahnuť </w:t>
            </w:r>
            <w:r w:rsidR="003B39E9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ich 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priaznivý stav (zachovaním súčasného priaznivého stavu alebo jeho obnovou). Prispieť tak k ochrane prírodných hodnôt, ktoré majú význam pre EÚ ako celok. </w:t>
            </w:r>
          </w:p>
          <w:p w14:paraId="2FD39E24" w14:textId="4D904DDD" w:rsidR="002A6E16" w:rsidRPr="006E3019" w:rsidRDefault="00524200" w:rsidP="003C6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Tento cieľ dosiahnu</w:t>
            </w:r>
            <w:r w:rsidR="005D27AC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ť 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zabezpečením právnej ochrany navrhovaných ÚEV </w:t>
            </w:r>
            <w:r w:rsidR="005D27AC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jednak prostredníc</w:t>
            </w:r>
            <w:r w:rsidR="002A6E16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tvom 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stup</w:t>
            </w:r>
            <w:r w:rsidR="002A6E16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ňa 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ochrany podľa § 13</w:t>
            </w:r>
            <w:r w:rsidR="00C63527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77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až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17 </w:t>
            </w:r>
            <w:r w:rsidRPr="006E3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zákona č. 543/2002 Z. z.</w:t>
            </w:r>
            <w:r w:rsidR="002A6E16" w:rsidRPr="006E3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="002A6E16" w:rsidRPr="00F1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určeného pre jednotlivé ÚEV</w:t>
            </w:r>
            <w:r w:rsidR="005D27AC" w:rsidRPr="006E3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, </w:t>
            </w:r>
            <w:r w:rsidR="005D27AC" w:rsidRPr="00F1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aj p</w:t>
            </w:r>
            <w:r w:rsidR="002A6E16" w:rsidRPr="00F1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rostredníctvom ustanovení </w:t>
            </w:r>
            <w:r w:rsidR="005D27AC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§ 28 </w:t>
            </w:r>
            <w:r w:rsidR="005D27AC" w:rsidRPr="006E3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zákona č. 543/2002 Z. z., </w:t>
            </w:r>
            <w:r w:rsidR="005D27AC" w:rsidRPr="00F1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týkajúc</w:t>
            </w:r>
            <w:r w:rsidR="002A6E16" w:rsidRPr="00F1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ich </w:t>
            </w:r>
            <w:r w:rsidR="005D27AC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posúdenia a povoľovania plánov, projektov a činností.</w:t>
            </w:r>
          </w:p>
          <w:p w14:paraId="64669614" w14:textId="77777777" w:rsidR="003B39E9" w:rsidRDefault="002A6E16" w:rsidP="003C6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Zverejnením podrobností </w:t>
            </w:r>
            <w:r w:rsidR="003B39E9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 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každej lokalit</w:t>
            </w:r>
            <w:r w:rsidR="003B39E9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prílohe nariadenia vlády </w:t>
            </w:r>
            <w:r w:rsidR="003B39E9"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(a následne v Štátnom zozname chránených častí prírody a krajiny a na mapovom portáli Štátnej ochrany prírody Slovenskej republiky – ŠOP SR) </w:t>
            </w:r>
            <w:r w:rsidRPr="006E3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jednoznačne určiť hranice lokality, odôvodnenie jej vymedzenia a podmienky ochrany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E9876A6" w14:textId="77777777" w:rsidR="001B23B7" w:rsidRPr="00B043B4" w:rsidRDefault="002A6E16" w:rsidP="003C6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5EF4EC7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B1040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209AE81F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771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1FE2749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DA07AFC" w14:textId="77777777" w:rsidR="00471528" w:rsidRPr="00471528" w:rsidRDefault="00471528" w:rsidP="00471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1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Vlastníci, správcovia a nájomcovia dotknutých pozemkov, obce, záujmové združenia, dotknuté orgány štátnej správy, vrátane dotknutých organizácií v ich zriaďovacej pôsobnosti, verejnosť.</w:t>
            </w:r>
          </w:p>
        </w:tc>
      </w:tr>
      <w:tr w:rsidR="001B23B7" w:rsidRPr="00B043B4" w14:paraId="1365793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C7A72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723C32AE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DCDE" w14:textId="77777777" w:rsidR="00824E38" w:rsidRDefault="001B23B7" w:rsidP="003B39E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  <w:r w:rsidR="003B3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7810F8BA" w14:textId="77777777" w:rsidR="00824E38" w:rsidRDefault="00824E38" w:rsidP="003B39E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E22EDBC" w14:textId="77777777" w:rsidR="001B23B7" w:rsidRDefault="000C5325" w:rsidP="003B39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53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Možnosti využitia opatrení s pozitívnym vplyvom na prírodu a krajinu financované zo zdrojov EÚ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14:paraId="5D070A01" w14:textId="77777777" w:rsidR="0095760E" w:rsidRDefault="000C5325" w:rsidP="008C5C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53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</w:t>
            </w:r>
            <w:r w:rsidR="00A744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0C53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týka</w:t>
            </w:r>
            <w:r w:rsidR="00A744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C53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schválenia/neschválenia </w:t>
            </w:r>
            <w:r w:rsidR="003B39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doplnku národného zoznamu ÚEV vládou Slovenskej republiky</w:t>
            </w:r>
            <w:r w:rsidRPr="000C53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14:paraId="7217B7DB" w14:textId="77777777" w:rsidR="00F5301A" w:rsidRDefault="00484CA2" w:rsidP="008C5C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Schválenie doplnenia národného zoznamu ÚEV je krokom pre splnenie záväzkov Slovenska ako členského štátu EÚ</w:t>
            </w:r>
            <w:r w:rsidR="000160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podľa </w:t>
            </w:r>
            <w:r w:rsidR="00016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smernice o biotopoch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odstránenie nedostatkov vytýkaných zo strany Európskej komisie a predídeniu žaloby na Súdny dvor EÚ. </w:t>
            </w:r>
            <w:r w:rsidR="00C516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Uvedenou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alternatívou budú do európskej sústavy chránených území Natura 2000 zaradené nové lokality, čo </w:t>
            </w:r>
            <w:r w:rsidR="000160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ich právn</w:t>
            </w:r>
            <w:r w:rsidR="000160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ochran</w:t>
            </w:r>
            <w:r w:rsidR="00C516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F530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Tento krok prispeje k prepojeniu jednotlivých ÚEV, ako aj iných chránených území, posilneniu biologickej diverzity, ale aj </w:t>
            </w:r>
            <w:r w:rsidR="00806D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 odolnosti ekosystémov a ich celospoločenských služieb (napr. </w:t>
            </w:r>
            <w:proofErr w:type="spellStart"/>
            <w:r w:rsidR="00806D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pôdoochranná</w:t>
            </w:r>
            <w:proofErr w:type="spellEnd"/>
            <w:r w:rsidR="00806D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806D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vodozádržná</w:t>
            </w:r>
            <w:proofErr w:type="spellEnd"/>
            <w:r w:rsidR="00806D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zmiernenie dôsledkov zmeny klímy na lokálnej úrovni zachovaním prírodných hodnôt z hľadiska ich výmery a kvality).</w:t>
            </w:r>
            <w:r w:rsidR="00F530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B4D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2F53131" w14:textId="77777777" w:rsidR="00654F47" w:rsidRDefault="00654F47" w:rsidP="00654F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36CD62D" w14:textId="77777777" w:rsidR="00654F47" w:rsidRDefault="00654F47" w:rsidP="00654F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1617116" w14:textId="77777777" w:rsidR="00A74479" w:rsidRPr="000C5325" w:rsidRDefault="00D52B51" w:rsidP="009576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="00654F47" w:rsidRPr="000C53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chváleni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 doplnku národného zoznamu ÚEV je základnou podmienkou ukončenia konania, ktoré vedie Európska komisia voči Slovensku</w:t>
            </w:r>
            <w:r w:rsidR="00A744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predídenia podaniu žaloby zo strany Európskej komisie voči Slovensku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Dostatočnosť národného zoznamu ÚEV po aktuálnom doplnení bude predmetom bilaterálnych rokovaní s Európskou komisiou. </w:t>
            </w:r>
          </w:p>
        </w:tc>
      </w:tr>
      <w:tr w:rsidR="001B23B7" w:rsidRPr="00B043B4" w14:paraId="31FDE35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71275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6B836E9B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7015A" w14:textId="77777777" w:rsidR="001B23B7" w:rsidRPr="00B043B4" w:rsidRDefault="001B23B7" w:rsidP="00AD5BF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BCBD2DB" w14:textId="77777777" w:rsidR="001B23B7" w:rsidRPr="00B043B4" w:rsidRDefault="00DF02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45791004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6BD3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64EA75" w14:textId="77777777" w:rsidR="001B23B7" w:rsidRPr="00B043B4" w:rsidRDefault="00DF02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324082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6BD3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Nie</w:t>
            </w:r>
          </w:p>
        </w:tc>
      </w:tr>
      <w:tr w:rsidR="001B23B7" w:rsidRPr="00B043B4" w14:paraId="318698DC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23E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A69F910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E84BCF8" w14:textId="00402E62" w:rsidR="0031002B" w:rsidRDefault="004F1A0F" w:rsidP="00F53C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Nariadením vlády SR sa ustanoví doplnenie 9</w:t>
            </w:r>
            <w:r w:rsidR="000510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nových ÚEV. </w:t>
            </w:r>
          </w:p>
          <w:p w14:paraId="35524DFC" w14:textId="77777777" w:rsidR="004F1A0F" w:rsidRPr="00B043B4" w:rsidRDefault="004F1A0F" w:rsidP="00F53C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F785DF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A3015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5652ADC6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7BADA3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14:paraId="15E4A797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16284" w14:textId="77777777" w:rsidR="001B23B7" w:rsidRDefault="001B23B7" w:rsidP="005138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647B97D" w14:textId="067D5127" w:rsidR="00B93981" w:rsidRDefault="00682F42" w:rsidP="00EE14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Predkladaný materiál </w:t>
            </w:r>
            <w:r w:rsidR="005138B6" w:rsidRPr="005138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 </w:t>
            </w:r>
            <w:r w:rsidR="005138B6" w:rsidRPr="005138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 rámec požiadaviek EÚ, naopak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prispieva k transpozícii práva EÚ, menovite článku 4 vyššie uvedenej </w:t>
            </w:r>
            <w:r w:rsidRPr="008466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smernice o</w:t>
            </w:r>
            <w:r w:rsidR="000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8466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biotopoch</w:t>
            </w:r>
            <w:r w:rsidR="000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1D7B1516" w14:textId="77777777" w:rsidR="00682F42" w:rsidRPr="00B043B4" w:rsidRDefault="00682F42" w:rsidP="00682F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E786EB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FE00F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5E973EAB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BE13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7D3B84B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6F5F785C" w14:textId="77777777" w:rsidR="001B23B7" w:rsidRDefault="001B23B7" w:rsidP="00F53C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C994274" w14:textId="77777777" w:rsidR="0031002B" w:rsidRPr="0031002B" w:rsidRDefault="004F1A0F" w:rsidP="00C269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Hodnotenie </w:t>
            </w:r>
            <w:r w:rsidRPr="004F1A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dostatočnosti národného zoznamu ÚEV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vykoná Európska komisia po dodaní aktualizovanej databázy všetkých lokalít európskej sústavy chránených území Natura 2000, ktorej súčasťou budú aj tieto nové lokality.</w:t>
            </w:r>
          </w:p>
        </w:tc>
      </w:tr>
      <w:tr w:rsidR="001B23B7" w:rsidRPr="00B043B4" w14:paraId="7643D449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4C20DA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62953943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1C2B91A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C8D9FF4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333FD6A" w14:textId="77777777" w:rsidR="001B23B7" w:rsidRPr="00B043B4" w:rsidRDefault="001B23B7" w:rsidP="00AD5B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materiálu</w:t>
            </w:r>
          </w:p>
        </w:tc>
      </w:tr>
      <w:tr w:rsidR="008E36B1" w:rsidRPr="007E7611" w14:paraId="48179EB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3E2252" w14:textId="77777777" w:rsidR="008E36B1" w:rsidRPr="00137F76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37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AB74C9F" w14:textId="77777777" w:rsidR="008E36B1" w:rsidRPr="00137F76" w:rsidRDefault="00DF020E" w:rsidP="008E36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2141765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B6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5036FBE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FE2972D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742371301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695531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7965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2CE7A4D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636DDD2" w14:textId="77777777" w:rsidR="008E36B1" w:rsidRPr="00137F76" w:rsidRDefault="00DF020E" w:rsidP="008E36B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48821475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21925284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761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1E8B940" w14:textId="77777777" w:rsidR="008E36B1" w:rsidRPr="00137F76" w:rsidRDefault="008E36B1" w:rsidP="008E36B1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6B1" w:rsidRPr="007E7611" w14:paraId="5E1242BD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4D31DEB3" w14:textId="77777777" w:rsidR="008E36B1" w:rsidRPr="007E7611" w:rsidRDefault="008E36B1" w:rsidP="00EC6A51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rozpočtovo zabezpečené vplyvy,</w:t>
            </w:r>
            <w:r w:rsidR="00F53C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</w:t>
            </w: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prípade identifikovaného negatívneho</w:t>
            </w:r>
            <w:r w:rsidR="00F53C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D3966A7" w14:textId="77777777" w:rsidR="008E36B1" w:rsidRPr="00AF2BC9" w:rsidRDefault="00DF020E" w:rsidP="00994D1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cyan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02848971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4D1F" w:rsidRPr="0028296F">
                      <w:rPr>
                        <w:rFonts w:ascii="MS Gothic" w:eastAsia="MS Gothic" w:hAnsi="MS Gothic" w:cs="Times New Roman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  <w:r w:rsidR="00994D1F" w:rsidRPr="00AF2BC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E23BE2D" w14:textId="77777777" w:rsidR="008E36B1" w:rsidRPr="00CE5CF8" w:rsidRDefault="008E36B1" w:rsidP="008E36B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sk-SK"/>
              </w:rPr>
            </w:pPr>
            <w:r w:rsidRPr="0099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43B650" w14:textId="77777777" w:rsidR="008E36B1" w:rsidRPr="00137F76" w:rsidRDefault="008E36B1" w:rsidP="008E36B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37F7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CB5FF8A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19414C" w14:textId="77777777" w:rsidR="008E36B1" w:rsidRPr="00137F76" w:rsidRDefault="008E36B1" w:rsidP="008E36B1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37F7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FDA9" w14:textId="77777777" w:rsidR="008E36B1" w:rsidRPr="007E7611" w:rsidRDefault="008E36B1" w:rsidP="008E36B1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8E36B1" w:rsidRPr="007E7611" w14:paraId="2BA640FE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9740B8" w14:textId="77777777" w:rsidR="008E36B1" w:rsidRPr="00137F76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Vplyvy na </w:t>
            </w:r>
            <w:r w:rsidRPr="00267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E9AE0E9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05807964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2128867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625D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6B30D1C" w14:textId="77777777" w:rsidR="008E36B1" w:rsidRPr="007E7611" w:rsidRDefault="008E36B1" w:rsidP="008E36B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E0AA312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13607402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66499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625D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91EB059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96012C2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7067911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33183413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625D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BC80CF" w14:textId="77777777" w:rsidR="008E36B1" w:rsidRPr="00CE5CF8" w:rsidRDefault="008E36B1" w:rsidP="008E36B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6B1" w:rsidRPr="007E7611" w14:paraId="326B61EC" w14:textId="77777777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418282B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4DC9AF92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4D61457C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6077033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95834099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625D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B390E5" w14:textId="77777777" w:rsidR="008E36B1" w:rsidRPr="007E7611" w:rsidRDefault="008E36B1" w:rsidP="008E36B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CA7BC8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9325807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247604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B7249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5C3110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500857979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65568060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625D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8D304C8" w14:textId="77777777" w:rsidR="008E36B1" w:rsidRPr="00994D1F" w:rsidRDefault="008E36B1" w:rsidP="008E36B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8E36B1" w:rsidRPr="007E7611" w14:paraId="5E94E8BA" w14:textId="77777777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985879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5B870D92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07E4B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015603006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374919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499DE6F" w14:textId="77777777" w:rsidR="008E36B1" w:rsidRPr="007E7611" w:rsidRDefault="008E36B1" w:rsidP="008E36B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DF72455" w14:textId="77777777" w:rsidR="008E36B1" w:rsidRPr="007E7611" w:rsidRDefault="008E36B1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D39D32F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E6760C0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747371343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12461337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777E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7AC2B" w14:textId="77777777" w:rsidR="008E36B1" w:rsidRPr="007E7611" w:rsidRDefault="008E36B1" w:rsidP="008E36B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8E36B1" w:rsidRPr="007E7611" w14:paraId="319927A7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B1121F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0EDFA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10280037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44690064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5FA4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66AF0" w14:textId="77777777" w:rsidR="008E36B1" w:rsidRPr="00137F76" w:rsidRDefault="008E36B1" w:rsidP="008E36B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127DE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899520356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2126997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5FA4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34FB5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5A77F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083289681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24372425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5FA4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9DAF" w14:textId="77777777" w:rsidR="008E36B1" w:rsidRPr="00137F76" w:rsidRDefault="008E36B1" w:rsidP="008E36B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6B1" w:rsidRPr="007E7611" w14:paraId="4C97B8C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B930CC8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E29B3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70839724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23960815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761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29816" w14:textId="77777777" w:rsidR="008E36B1" w:rsidRPr="00137F76" w:rsidRDefault="008E36B1" w:rsidP="008E36B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15896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3049985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381329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04F1A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785C4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70879948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866286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38A91" w14:textId="77777777" w:rsidR="008E36B1" w:rsidRPr="007E7611" w:rsidRDefault="008E36B1" w:rsidP="008E36B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6B1" w:rsidRPr="007E7611" w14:paraId="1CE7882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397F3BE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EB73C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94805439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2140060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85256" w14:textId="77777777" w:rsidR="008E36B1" w:rsidRPr="007E7611" w:rsidRDefault="008E36B1" w:rsidP="008E36B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B8967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0835915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66257969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761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1E4B" w14:textId="77777777" w:rsidR="008E36B1" w:rsidRPr="00137F76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DF00C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89189232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363415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EDD2B" w14:textId="77777777" w:rsidR="008E36B1" w:rsidRPr="007E7611" w:rsidRDefault="008E36B1" w:rsidP="008E36B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7E7611" w14:paraId="1D35D22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5FD9BF" w14:textId="77777777" w:rsidR="000F2BE9" w:rsidRPr="007E7611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7E76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7E76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16573" w14:textId="77777777" w:rsidR="000F2BE9" w:rsidRPr="007E7611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DF0BB" w14:textId="77777777" w:rsidR="000F2BE9" w:rsidRPr="007E7611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8E478" w14:textId="77777777" w:rsidR="000F2BE9" w:rsidRPr="007E7611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C17B5B" w14:textId="77777777" w:rsidR="000F2BE9" w:rsidRPr="007E7611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60888" w14:textId="77777777" w:rsidR="000F2BE9" w:rsidRPr="007E7611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A230C5" w14:textId="77777777" w:rsidR="000F2BE9" w:rsidRPr="007E7611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E36B1" w:rsidRPr="007E7611" w14:paraId="5ABD953D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4CCF5AB" w14:textId="77777777" w:rsidR="008E36B1" w:rsidRPr="007E7611" w:rsidRDefault="008E36B1" w:rsidP="008E36B1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6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F97B7C" w14:textId="77777777" w:rsidR="008E36B1" w:rsidRPr="00137F76" w:rsidRDefault="00DF020E" w:rsidP="008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25955957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930941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777E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032022" w14:textId="77777777" w:rsidR="008E36B1" w:rsidRPr="00137F76" w:rsidRDefault="008E36B1" w:rsidP="008E36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F49B41" w14:textId="77777777" w:rsidR="008E36B1" w:rsidRPr="00137F76" w:rsidRDefault="00DF020E" w:rsidP="008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71819055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60240280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777E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F503D3" w14:textId="77777777" w:rsidR="008E36B1" w:rsidRPr="007E7611" w:rsidRDefault="008E36B1" w:rsidP="008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A08F31" w14:textId="77777777" w:rsidR="008E36B1" w:rsidRPr="00137F76" w:rsidRDefault="00DF020E" w:rsidP="008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74946909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488332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A226F7" w14:textId="77777777" w:rsidR="008E36B1" w:rsidRPr="007E7611" w:rsidRDefault="008E36B1" w:rsidP="008E36B1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6B1" w:rsidRPr="007E7611" w14:paraId="7FB55B7D" w14:textId="77777777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6133840" w14:textId="77777777" w:rsidR="008E36B1" w:rsidRPr="007E7611" w:rsidRDefault="008E36B1" w:rsidP="008E36B1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6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A61C917" w14:textId="77777777" w:rsidR="008E36B1" w:rsidRPr="00137F76" w:rsidRDefault="00DF020E" w:rsidP="008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106261961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474687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777E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6C4907" w14:textId="77777777" w:rsidR="008E36B1" w:rsidRPr="00137F76" w:rsidRDefault="008E36B1" w:rsidP="008E36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3A6AEF" w14:textId="77777777" w:rsidR="008E36B1" w:rsidRPr="00137F76" w:rsidRDefault="00DF020E" w:rsidP="008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5612673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72949713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777E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25210D" w14:textId="77777777" w:rsidR="008E36B1" w:rsidRPr="007E7611" w:rsidRDefault="008E36B1" w:rsidP="008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71BB79" w14:textId="77777777" w:rsidR="008E36B1" w:rsidRPr="00137F76" w:rsidRDefault="00DF020E" w:rsidP="008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68249824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904824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32034D" w14:textId="77777777" w:rsidR="008E36B1" w:rsidRPr="007E7611" w:rsidRDefault="008E36B1" w:rsidP="008E36B1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8E36B1" w:rsidRPr="00B043B4" w14:paraId="41D38CA7" w14:textId="77777777" w:rsidTr="00BA2BF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83C54A" w14:textId="77777777" w:rsidR="008E36B1" w:rsidRPr="007E7611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manželstvo, rodičovstvo a 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4A3E4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1851522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530642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02CFB" w14:textId="77777777" w:rsidR="008E36B1" w:rsidRPr="007E7611" w:rsidRDefault="008E36B1" w:rsidP="008E36B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A7A24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276452151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54257398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761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C9290" w14:textId="77777777" w:rsidR="008E36B1" w:rsidRPr="00137F76" w:rsidRDefault="008E36B1" w:rsidP="008E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F9633" w14:textId="77777777" w:rsidR="008E36B1" w:rsidRPr="00137F76" w:rsidRDefault="00DF020E" w:rsidP="008E36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10278175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12101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6B1" w:rsidRPr="00137F76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1EDFC" w14:textId="77777777" w:rsidR="008E36B1" w:rsidRPr="00B043B4" w:rsidRDefault="008E36B1" w:rsidP="008E36B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BC7ADAB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05BA29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65E728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71FDAF8C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67971F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5C16EFC5" w14:textId="77777777" w:rsidR="001B23B7" w:rsidRDefault="001B23B7" w:rsidP="005138B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76F931E1" w14:textId="1C63A4F9" w:rsidR="00C51631" w:rsidRDefault="00F5301A" w:rsidP="000E6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celkovej výmery </w:t>
            </w:r>
            <w:r w:rsidR="009003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372D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16E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 majú najvyšší podiel trvalé trávne porasty (</w:t>
            </w:r>
            <w:r w:rsidR="009003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372D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003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ha)</w:t>
            </w:r>
            <w:r w:rsidR="00ED20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výskytom kosných lúk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ktoré sú z EÚ hľadiska </w:t>
            </w:r>
            <w:r w:rsid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cenným </w:t>
            </w:r>
            <w:r w:rsidR="00ED20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biotopom európskeho významu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Na Slovensku sa zachovali vďaka ich nepretržité</w:t>
            </w:r>
            <w:r w:rsidR="00ED20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obhospodarovaniu zo strany vlastníkov či užívateľov pozemkov. Zaraden</w:t>
            </w:r>
            <w:r w:rsidR="00C516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ÚEV </w:t>
            </w:r>
            <w:r w:rsidR="00C516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 predpokladom pre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pokračovanie pasenia či kosenia </w:t>
            </w:r>
            <w:r w:rsidR="00C516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týchto pozemkoch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 do budúcnosti. Lesné pozemky tvoria 1</w:t>
            </w:r>
            <w:r w:rsidR="00824E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1256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ha, tu je rovnako prioritou zachovani</w:t>
            </w:r>
            <w:r w:rsid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súčasného využívania pozemkov s tým, že </w:t>
            </w:r>
            <w:r w:rsidR="00C516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zmena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bezzásah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(5. stupeň ochrany) bol navrhnutý na výmere</w:t>
            </w:r>
            <w:r w:rsid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D0E42" w:rsidRP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</w:t>
            </w:r>
            <w:r w:rsidRP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  <w:r w:rsid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</w:t>
            </w:r>
            <w:r w:rsidR="00CD0E42" w:rsidRPr="001256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výmere 8 ha boli</w:t>
            </w:r>
            <w:r w:rsid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navrhnuté jemnejšie spôsoby starostlivosti o les (4. stupeň ochrany)</w:t>
            </w:r>
            <w:r w:rsidR="003B5BEB" w:rsidRP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3B5B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Vodné plochy s celkovou výmerou 1 2</w:t>
            </w:r>
            <w:r w:rsidR="00951D8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</w:t>
            </w:r>
            <w:r w:rsidR="003B5B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 boli navrhnuté predovšetkým na úsekoch riek </w:t>
            </w:r>
            <w:r w:rsidR="00CD0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 dobrými podmienkami </w:t>
            </w:r>
            <w:r w:rsidR="003F4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 druhy rýb a </w:t>
            </w:r>
            <w:proofErr w:type="spellStart"/>
            <w:r w:rsidR="003F4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mihúľ</w:t>
            </w:r>
            <w:proofErr w:type="spellEnd"/>
            <w:r w:rsidR="003F4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európskeho významu</w:t>
            </w:r>
            <w:r w:rsidR="00CB48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3F4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B48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3F4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akoľko nie sú súčasťou národnej sústavy chránených území, došlo tu k zvýšeniu stupňa ochrany, prevažuje </w:t>
            </w:r>
            <w:r w:rsidR="00ED20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najnižší </w:t>
            </w:r>
            <w:r w:rsidR="003326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možný - </w:t>
            </w:r>
            <w:r w:rsidR="003F4E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stupeň.</w:t>
            </w:r>
          </w:p>
          <w:p w14:paraId="50FB725C" w14:textId="77777777" w:rsidR="00175FA4" w:rsidRDefault="00175FA4" w:rsidP="000E6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5F035F" w14:textId="77777777" w:rsidR="001A3A93" w:rsidRDefault="001A3A93" w:rsidP="000E6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Predpokladané vplyvy boli posúdené s ohľadom na súčasné využívanie pozemkov a navrhovanú zmenu, ako aj vlastníctvo pozemkov (štátne, neštátne).</w:t>
            </w:r>
          </w:p>
          <w:p w14:paraId="2D112616" w14:textId="77777777" w:rsidR="00175FA4" w:rsidRDefault="00175FA4" w:rsidP="000E6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ED3EA" w14:textId="77777777" w:rsidR="0095760E" w:rsidRDefault="00ED2092" w:rsidP="000E6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Zaradením pozemkov do ÚEV môže dôjsť k obmedzeniu bežného obhospodarovania pozemkov, ktorého odhady sú spresnené v </w:t>
            </w:r>
            <w:r w:rsidR="005138B6" w:rsidRPr="00F53C16">
              <w:rPr>
                <w:rFonts w:ascii="Times New Roman" w:eastAsia="Calibri" w:hAnsi="Times New Roman" w:cs="Times New Roman"/>
                <w:sz w:val="20"/>
                <w:szCs w:val="20"/>
              </w:rPr>
              <w:t>analýze vplyvov na rozpočet verejnej správy</w:t>
            </w:r>
            <w:r w:rsidR="00C51631">
              <w:rPr>
                <w:rFonts w:ascii="Times New Roman" w:eastAsia="Calibri" w:hAnsi="Times New Roman" w:cs="Times New Roman"/>
                <w:sz w:val="20"/>
                <w:szCs w:val="20"/>
              </w:rPr>
              <w:t>, ide o negatívne vplyvy na rozpočet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0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Podrobnosti k procesu prerokovani</w:t>
            </w:r>
            <w:r w:rsidR="001A3A93">
              <w:rPr>
                <w:rFonts w:ascii="Times New Roman" w:eastAsia="Calibri" w:hAnsi="Times New Roman" w:cs="Times New Roman"/>
                <w:sz w:val="20"/>
                <w:szCs w:val="20"/>
              </w:rPr>
              <w:t>a, zapojeniu dotknutých subjektov a k očakávaným pozitívnym a negatívnym vplyvom</w:t>
            </w:r>
            <w:r w:rsidR="0095760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A3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0F11">
              <w:rPr>
                <w:rFonts w:ascii="Times New Roman" w:eastAsia="Calibri" w:hAnsi="Times New Roman" w:cs="Times New Roman"/>
                <w:sz w:val="20"/>
                <w:szCs w:val="20"/>
              </w:rPr>
              <w:t>sú uvedené v analýze vplyvov na podnikateľské prostredie.</w:t>
            </w:r>
          </w:p>
          <w:p w14:paraId="36447B25" w14:textId="77777777" w:rsidR="0095760E" w:rsidRDefault="0095760E" w:rsidP="000E6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350AB0" w14:textId="35BCA86B" w:rsidR="00CD0E42" w:rsidRDefault="0095760E" w:rsidP="000E63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Predkladateľ predpokladá pozitívne i negatívne sociálne vplyvy, </w:t>
            </w:r>
            <w:r w:rsidR="00DB7752">
              <w:rPr>
                <w:rFonts w:ascii="Times New Roman" w:eastAsia="Calibri" w:hAnsi="Times New Roman" w:cs="Times New Roman"/>
                <w:sz w:val="20"/>
                <w:szCs w:val="20"/>
              </w:rPr>
              <w:t>ako aj vplyvy na podnikateľské prostredie. N</w:t>
            </w:r>
            <w:r w:rsidR="00CD0E42">
              <w:rPr>
                <w:rFonts w:ascii="Times New Roman" w:eastAsia="Calibri" w:hAnsi="Times New Roman" w:cs="Times New Roman"/>
                <w:sz w:val="20"/>
                <w:szCs w:val="20"/>
              </w:rPr>
              <w:t>epredpokladá vplyvy na manželstvo, rodičovstvo a</w:t>
            </w:r>
            <w:r w:rsidR="00175FA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D0E42">
              <w:rPr>
                <w:rFonts w:ascii="Times New Roman" w:eastAsia="Calibri" w:hAnsi="Times New Roman" w:cs="Times New Roman"/>
                <w:sz w:val="20"/>
                <w:szCs w:val="20"/>
              </w:rPr>
              <w:t>rod</w:t>
            </w:r>
            <w:r w:rsidR="00BF6B2D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="00CD0E42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175F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D0E42">
              <w:rPr>
                <w:rFonts w:ascii="Times New Roman" w:eastAsia="Calibri" w:hAnsi="Times New Roman" w:cs="Times New Roman"/>
                <w:sz w:val="20"/>
                <w:szCs w:val="20"/>
              </w:rPr>
              <w:t> na služby verejnej správy pre občana</w:t>
            </w:r>
            <w:r w:rsidR="00A74479">
              <w:rPr>
                <w:rFonts w:ascii="Times New Roman" w:eastAsia="Calibri" w:hAnsi="Times New Roman" w:cs="Times New Roman"/>
                <w:sz w:val="20"/>
                <w:szCs w:val="20"/>
              </w:rPr>
              <w:t>, na informatizáciu spoločnosti</w:t>
            </w:r>
            <w:r w:rsidR="00CD0E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 naopak predpokladá pozitívne vplyvy na životné prostredie.</w:t>
            </w:r>
          </w:p>
          <w:p w14:paraId="19E7F062" w14:textId="77777777" w:rsidR="00300F11" w:rsidRPr="00F53C16" w:rsidRDefault="00300F11" w:rsidP="00CD0E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3B7" w:rsidRPr="00B043B4" w14:paraId="5BF3FA2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C4486C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6E898EA1" w14:textId="77777777" w:rsidTr="00FE0B0D">
        <w:trPr>
          <w:trHeight w:val="984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87C9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3652F207" w14:textId="77777777" w:rsidR="005138B6" w:rsidRDefault="005138B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71BBF60" w14:textId="77777777" w:rsidR="005138B6" w:rsidRPr="005138B6" w:rsidRDefault="005138B6" w:rsidP="0084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38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Jana Durkošová, sekcia ochrany prírody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Pr="005138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biodiverzity Ministerstva životného prostredia Slovenskej republiky (</w:t>
            </w:r>
            <w:hyperlink r:id="rId9" w:history="1">
              <w:r w:rsidRPr="0091539B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jana.durkosova@enviro.gov.sk</w:t>
              </w:r>
            </w:hyperlink>
            <w:r w:rsidRPr="005138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1B23B7" w:rsidRPr="00B043B4" w14:paraId="409FBFA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E319E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4DA43C3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A3AF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9F57C0" w14:textId="77777777" w:rsidR="001B23B7" w:rsidRPr="005138B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4F63F29" w14:textId="2195E10C" w:rsidR="001B23B7" w:rsidRDefault="00300F11" w:rsidP="0084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Odborné podklady Š</w:t>
            </w:r>
            <w:r w:rsidR="00DB77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 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výročná správa Lesov SR, </w:t>
            </w:r>
            <w:r w:rsidR="00BF6B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š. p.</w:t>
            </w:r>
            <w:r w:rsidR="00175F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 rozvoja vidieka 2014 – 2020, evidencia katastra nehnuteľností.</w:t>
            </w:r>
          </w:p>
          <w:p w14:paraId="05E1DCA4" w14:textId="77777777" w:rsidR="00300F11" w:rsidRPr="00B043B4" w:rsidRDefault="00300F11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257081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46674E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</w:t>
            </w:r>
          </w:p>
          <w:p w14:paraId="69A0367B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662EC16" w14:textId="77777777" w:rsidTr="00C51631">
        <w:trPr>
          <w:trHeight w:val="41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3A6A" w14:textId="77777777" w:rsidR="00001825" w:rsidRPr="00586D4D" w:rsidRDefault="00001825" w:rsidP="00B939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8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na posudzovanie vybraných vplyvov z PPK zaslala Ministerstvu životného prostredia Slovenskej republiky (M</w:t>
            </w:r>
            <w:r w:rsidRPr="00586D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ŽP SR) listom č. 280/2021 z 3. januára 2022 stanovisko, ktoré uvádzame nižšie spolu s vyjadrením MŽP SR k spôsobu zapracovania pripomienok.</w:t>
            </w:r>
          </w:p>
          <w:p w14:paraId="2B73C91A" w14:textId="77777777" w:rsidR="00001825" w:rsidRPr="00001825" w:rsidRDefault="00001825" w:rsidP="000018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F6C70F" w14:textId="77777777" w:rsidR="00001825" w:rsidRPr="00001825" w:rsidRDefault="00001825" w:rsidP="0000182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Úvod: </w:t>
            </w:r>
            <w:r w:rsidRPr="000018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životného prostredia Slovenskej republiky dňa 22. decembra 2021 predložilo na PPK materiál </w:t>
            </w:r>
            <w:r w:rsidRPr="000018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</w:t>
            </w:r>
            <w:r w:rsidRPr="00001825">
              <w:rPr>
                <w:rFonts w:ascii="Times New Roman" w:hAnsi="Times New Roman" w:cs="Times New Roman"/>
                <w:i/>
                <w:sz w:val="20"/>
                <w:szCs w:val="20"/>
              </w:rPr>
              <w:t>Nariadenie vlády Slovenskej republiky, ktorým sa ustanovuje doplnok národného zoznamu území európskeho významu</w:t>
            </w:r>
            <w:r w:rsidRPr="00001825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“</w:t>
            </w:r>
            <w:r w:rsidRPr="000018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Materiál predpokladá negatívne vplyvy na rozpočet verejnej správy, ktoré sú rozpočtovo zabezpečené, pozitívno-negatívne vplyvy na podnikateľské prostredie, vrátane pozitívno-negatívnych vplyvov na malé a stredné podniky, pozitívno-negatívne sociálne vplyvy a pozitívne vplyvy na životné prostredie.</w:t>
            </w:r>
          </w:p>
          <w:p w14:paraId="7D3F5167" w14:textId="77777777" w:rsidR="00001825" w:rsidRPr="00001825" w:rsidRDefault="00001825" w:rsidP="000018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22DD26" w14:textId="77777777" w:rsidR="00001825" w:rsidRPr="00001825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00182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01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001825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001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001825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14:paraId="318AB0AE" w14:textId="77777777" w:rsidR="00001825" w:rsidRPr="00001825" w:rsidRDefault="00001825" w:rsidP="00001825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A8CDB1" w14:textId="77777777" w:rsidR="00001825" w:rsidRPr="00001825" w:rsidRDefault="00001825" w:rsidP="00001825">
            <w:pPr>
              <w:pStyle w:val="norm00e1lny"/>
              <w:spacing w:line="240" w:lineRule="atLeast"/>
              <w:jc w:val="both"/>
              <w:rPr>
                <w:b/>
                <w:lang w:eastAsia="ar-SA"/>
              </w:rPr>
            </w:pPr>
            <w:r w:rsidRPr="00001825">
              <w:rPr>
                <w:b/>
                <w:lang w:eastAsia="ar-SA"/>
              </w:rPr>
              <w:t>K doložke vybraných vplyvov</w:t>
            </w:r>
          </w:p>
          <w:p w14:paraId="56E7D368" w14:textId="77777777" w:rsidR="00001825" w:rsidRDefault="00001825" w:rsidP="00001825">
            <w:pPr>
              <w:pStyle w:val="norm00e1lny"/>
              <w:spacing w:line="240" w:lineRule="atLeast"/>
              <w:jc w:val="both"/>
            </w:pPr>
            <w:r w:rsidRPr="00001825">
              <w:t xml:space="preserve">V doložke vybraných vplyvov predkladateľ deklaruje existenciu pozitívnych aj negatívnych sociálnych vplyvov predloženého materiálu, avšak vo všeobecnej časti dôvodovej správy predkladateľ konštatuje „sociálne vplyvy“ </w:t>
            </w:r>
            <w:r w:rsidRPr="00001825">
              <w:lastRenderedPageBreak/>
              <w:t>a zároveň „bez vplyvov na sociálne prostredie“. Komisia odporúča konštatovania týkajúce sa sociálnych vplyvov uvádzané v dôvodovej správe zosúladiť s údajmi uvádzanými v doložke vybraných vplyvov.</w:t>
            </w:r>
          </w:p>
          <w:p w14:paraId="16A625A5" w14:textId="77777777" w:rsidR="00001825" w:rsidRDefault="00001825" w:rsidP="00001825">
            <w:pPr>
              <w:pStyle w:val="norm00e1lny"/>
              <w:spacing w:line="240" w:lineRule="atLeast"/>
              <w:jc w:val="both"/>
            </w:pPr>
          </w:p>
          <w:p w14:paraId="7EFEF976" w14:textId="77777777" w:rsidR="00001825" w:rsidRPr="00001825" w:rsidRDefault="00001825" w:rsidP="00001825">
            <w:pPr>
              <w:pStyle w:val="norm00e1lny"/>
              <w:spacing w:line="240" w:lineRule="atLeast"/>
              <w:jc w:val="both"/>
              <w:rPr>
                <w:i/>
                <w:lang w:eastAsia="ar-SA"/>
              </w:rPr>
            </w:pPr>
            <w:r>
              <w:rPr>
                <w:b/>
                <w:u w:val="single"/>
              </w:rPr>
              <w:t xml:space="preserve">Stanovisko MŽP SR: </w:t>
            </w:r>
            <w:r>
              <w:t xml:space="preserve">Pripomienka bola akceptovaná a spôsob hodnotenia sociálnych vplyvov bol zjednotený (v 2. vete v predposlednom odseku všeobecnej časti dôvodovej správy bol odstránený nadbytočný text </w:t>
            </w:r>
            <w:r w:rsidRPr="00001825">
              <w:rPr>
                <w:i/>
              </w:rPr>
              <w:t>„na sociálne prostredie“).</w:t>
            </w:r>
          </w:p>
          <w:p w14:paraId="16B531DC" w14:textId="77777777" w:rsidR="00001825" w:rsidRPr="00001825" w:rsidRDefault="00001825" w:rsidP="00001825">
            <w:pPr>
              <w:pStyle w:val="norm00e1lny"/>
              <w:spacing w:line="240" w:lineRule="atLeast"/>
              <w:jc w:val="both"/>
              <w:rPr>
                <w:lang w:eastAsia="ar-SA"/>
              </w:rPr>
            </w:pPr>
          </w:p>
          <w:p w14:paraId="4046807D" w14:textId="77777777" w:rsidR="00001825" w:rsidRPr="00001825" w:rsidRDefault="00001825" w:rsidP="00001825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lang w:eastAsia="ar-SA"/>
              </w:rPr>
            </w:pPr>
            <w:r w:rsidRPr="00001825">
              <w:rPr>
                <w:rStyle w:val="norm00e1lnychar1"/>
                <w:b/>
                <w:bCs/>
                <w:color w:val="000000"/>
                <w:lang w:eastAsia="ar-SA"/>
              </w:rPr>
              <w:t>K vplyvom na podnikateľské prostredie</w:t>
            </w:r>
          </w:p>
          <w:p w14:paraId="6BBC24C2" w14:textId="77777777" w:rsidR="00001825" w:rsidRPr="00001825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sz w:val="20"/>
                <w:szCs w:val="20"/>
              </w:rPr>
              <w:t>V prípade, že ide o transpozíciu práva EÚ, Komisia žiada túto skutočnosť uviesť v Doložke vybraných vplyvov. V opačnom prípade žiada Komisia označiť, že Mechanizmus znižovania byrokracie sa uplatňuje.</w:t>
            </w:r>
          </w:p>
          <w:p w14:paraId="2BDB0F27" w14:textId="77777777" w:rsidR="00001825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sz w:val="20"/>
                <w:szCs w:val="20"/>
              </w:rPr>
              <w:t>Na transpozíciu práva EÚ do slovenskej legislatívy s dopadom na podnikateľské prostredie sa nevzťahuje uplatňovanie Mechanizmu znižovania byrokracie. V prípade, že nejde o transpozíciu práva EÚ, k uplatňovaniu Mechanizmu znižovania byrokracie dochádza.</w:t>
            </w:r>
          </w:p>
          <w:p w14:paraId="0DE11B92" w14:textId="77777777" w:rsidR="00682F42" w:rsidRDefault="00682F42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B5FB2" w14:textId="0DE74A7A" w:rsidR="00682F42" w:rsidRDefault="00682F42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Stanovisko MŽP SR: </w:t>
            </w:r>
            <w:r w:rsidR="00201B3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základe pripomienky bol text v časti 7 doložky vplyvov upravený nasledovne:</w:t>
            </w:r>
          </w:p>
          <w:p w14:paraId="53C2F738" w14:textId="0D3B77AF" w:rsidR="00682F42" w:rsidRPr="003D6EB4" w:rsidRDefault="00682F42" w:rsidP="0000182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„Predkladaný materiál nie je nad rámec požiadaviek EÚ, naopak prispieva k transpozícii práva EÚ, menovite článku 4 vyššie uvedenej smernice o</w:t>
            </w:r>
            <w:r w:rsidR="00B93981" w:rsidRPr="003D6E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3D6E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biotopoch“.</w:t>
            </w:r>
          </w:p>
          <w:p w14:paraId="79930B16" w14:textId="77777777" w:rsidR="00001825" w:rsidRPr="003D6EB4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B4">
              <w:rPr>
                <w:rFonts w:ascii="Times New Roman" w:hAnsi="Times New Roman" w:cs="Times New Roman"/>
                <w:sz w:val="20"/>
                <w:szCs w:val="20"/>
              </w:rPr>
              <w:br/>
              <w:t>Komisia žiada predkladateľa o vypracovanie Kalkulačky nákladov a jej priloženie k materiálu. Podľa aktuálnej Jednotnej metodiky na posudzovanie vybraných vplyvov je Kalkulačka nákladov povinnou súčasťou Analýzy vplyvov na podnikateľské prostredie.</w:t>
            </w:r>
          </w:p>
          <w:p w14:paraId="191D52D7" w14:textId="32BEC511" w:rsidR="00D119B1" w:rsidRPr="003D6EB4" w:rsidRDefault="00001825" w:rsidP="00F70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6EB4">
              <w:rPr>
                <w:rFonts w:ascii="Times New Roman" w:hAnsi="Times New Roman" w:cs="Times New Roman"/>
                <w:sz w:val="20"/>
                <w:szCs w:val="20"/>
              </w:rPr>
              <w:br/>
              <w:t>Komisia žiada predkladateľa o identifikovanie a kvantifikáciu administratívnych  nákladov. Zároveň žiada Komisia o odhad dotknutých subjektov alebo ak to nie je možné, použiť na kvantifikáciu modelový príklad.</w:t>
            </w:r>
            <w:r w:rsidRPr="003D6EB4">
              <w:rPr>
                <w:rFonts w:ascii="Times New Roman" w:hAnsi="Times New Roman" w:cs="Times New Roman"/>
                <w:sz w:val="20"/>
                <w:szCs w:val="20"/>
              </w:rPr>
              <w:br/>
              <w:t>Komisia žiada predkladateľa o jednoznačný popis pozitívneho vplyvu v Analýze vplyvov na podnikateľské prostredie, ktorý vyznačil v Doložke vybraných vplyvov.</w:t>
            </w:r>
          </w:p>
          <w:p w14:paraId="14FFC1B9" w14:textId="77777777" w:rsidR="00D119B1" w:rsidRPr="003D6EB4" w:rsidRDefault="00D119B1" w:rsidP="00F70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791DA" w14:textId="0315ED21" w:rsidR="00001825" w:rsidRPr="00001825" w:rsidRDefault="00D119B1" w:rsidP="00001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B4">
              <w:rPr>
                <w:rFonts w:ascii="Times New Roman" w:hAnsi="Times New Roman" w:cs="Times New Roman"/>
                <w:b/>
                <w:sz w:val="20"/>
                <w:szCs w:val="20"/>
              </w:rPr>
              <w:t>Stanovisko MŽP SR:</w:t>
            </w:r>
            <w:r w:rsidR="00B93981" w:rsidRPr="003D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3981" w:rsidRPr="003D6EB4">
              <w:rPr>
                <w:rFonts w:ascii="Times New Roman" w:hAnsi="Times New Roman" w:cs="Times New Roman"/>
                <w:sz w:val="20"/>
                <w:szCs w:val="20"/>
              </w:rPr>
              <w:t xml:space="preserve"> V rámci konzultácií s členmi Komisie boli v analýze na podnikateľské prostredie lepšie</w:t>
            </w:r>
            <w:r w:rsidR="00F703A5" w:rsidRPr="003D6EB4">
              <w:rPr>
                <w:rFonts w:ascii="Times New Roman" w:hAnsi="Times New Roman" w:cs="Times New Roman"/>
                <w:sz w:val="20"/>
                <w:szCs w:val="20"/>
              </w:rPr>
              <w:t xml:space="preserve"> špecifikované pozitívne a negatívne vplyvy na podnikateľské prostredie a text z časti 3.1 analýzy bol presunutý do časti 3.4.</w:t>
            </w:r>
            <w:r w:rsidR="00001825" w:rsidRPr="000018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7632226" w14:textId="77777777" w:rsidR="00001825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sz w:val="20"/>
                <w:szCs w:val="20"/>
              </w:rPr>
              <w:t xml:space="preserve">Komisia žiada v Analýze vplyvov na podnikateľské prostredie časť 3.2 “Vyhodnotenie konzultácií s podnikateľskými subjektmi pred predbežným pripomienkovým konaním“ uviesť  hlavné témy, ktoré sa na stretnutiach </w:t>
            </w:r>
            <w:proofErr w:type="spellStart"/>
            <w:r w:rsidRPr="00001825">
              <w:rPr>
                <w:rFonts w:ascii="Times New Roman" w:hAnsi="Times New Roman" w:cs="Times New Roman"/>
                <w:sz w:val="20"/>
                <w:szCs w:val="20"/>
              </w:rPr>
              <w:t>prejednávali</w:t>
            </w:r>
            <w:proofErr w:type="spellEnd"/>
            <w:r w:rsidRPr="00001825">
              <w:rPr>
                <w:rFonts w:ascii="Times New Roman" w:hAnsi="Times New Roman" w:cs="Times New Roman"/>
                <w:sz w:val="20"/>
                <w:szCs w:val="20"/>
              </w:rPr>
              <w:t xml:space="preserve"> a najmä k akým záverom sa dospelo. </w:t>
            </w:r>
          </w:p>
          <w:p w14:paraId="4121F05C" w14:textId="77777777" w:rsidR="00586D4D" w:rsidRDefault="00586D4D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ECA1E" w14:textId="77777777" w:rsidR="00001825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sz w:val="20"/>
                <w:szCs w:val="20"/>
              </w:rPr>
              <w:t>V správe o účasti verejnosti sa uvádza, že</w:t>
            </w:r>
            <w:r w:rsidRPr="00001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01825">
              <w:rPr>
                <w:rFonts w:ascii="Times New Roman" w:hAnsi="Times New Roman" w:cs="Times New Roman"/>
                <w:sz w:val="20"/>
                <w:szCs w:val="20"/>
              </w:rPr>
              <w:t>zapracované boli predovšetkým požiadavky na spresnenie hraníc s ohľadom na už schválené územné plány obcí. Prevažná časť pripomienok však bola vyjadrením všeobecného nesúhlasu a to aj v prípade, že v lokalitách nebola navrhnutá zmena stupňa ochrany.</w:t>
            </w:r>
          </w:p>
          <w:p w14:paraId="286CD2CB" w14:textId="77777777" w:rsidR="00586D4D" w:rsidRDefault="00586D4D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6CD1" w14:textId="3D6B35D6" w:rsidR="00586D4D" w:rsidRDefault="00586D4D" w:rsidP="00586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Stanovisko MŽP SR: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zmysle pripomienky Komisie bol text v časti 3.2 </w:t>
            </w:r>
            <w:r w:rsidR="009A4FD6">
              <w:rPr>
                <w:rFonts w:ascii="Times New Roman" w:hAnsi="Times New Roman" w:cs="Times New Roman"/>
                <w:sz w:val="20"/>
                <w:szCs w:val="20"/>
              </w:rPr>
              <w:t>analýzy vplyvov na podnikateľské prostredie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doplnený nasledovne.</w:t>
            </w:r>
          </w:p>
          <w:p w14:paraId="235E7B2C" w14:textId="77777777" w:rsidR="00586D4D" w:rsidRPr="00F703A5" w:rsidRDefault="00586D4D" w:rsidP="00586D4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 závere 1. odseku boli zdôraznené prerokúvané témy</w:t>
            </w:r>
            <w:r w:rsidRPr="00F703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D7BB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Pozvánky na rokovania, ako aj oznámenia Ministerstva životného prostredia Slovenskej republiky (MŽP SR), obsahovali odkaz na uvedené ustanovenie § 27 ods. 3 zákona č. 543/2002 Z. z., resp. jeho jednotlivé body (t. j. predmetom prerokovaní bolo odôvodnenie zaradenia lokality, vymedzenie činností, ktorých výkon bude zakázaný alebo obmedzený a spôsob náhrady za obmedzenie bežného obhospodarovania)“.</w:t>
            </w:r>
            <w:r w:rsidRPr="00F7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A81A87" w14:textId="77777777" w:rsidR="00D119B1" w:rsidRPr="007D7BB9" w:rsidRDefault="00586D4D" w:rsidP="00D11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3A5">
              <w:rPr>
                <w:rFonts w:ascii="Times New Roman" w:eastAsia="Calibri" w:hAnsi="Times New Roman" w:cs="Times New Roman"/>
                <w:sz w:val="20"/>
                <w:szCs w:val="20"/>
              </w:rPr>
              <w:t>- V závere 2. odseku bol doplnený text „</w:t>
            </w:r>
            <w:r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Zo všetkých prerokovaní boli vyhotovené písomné záznamy“, </w:t>
            </w:r>
            <w:r w:rsidRPr="007D7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 ktorého vyplýva, že </w:t>
            </w:r>
            <w:r w:rsidR="00D119B1" w:rsidRPr="007D7BB9">
              <w:rPr>
                <w:rFonts w:ascii="Times New Roman" w:eastAsia="Calibri" w:hAnsi="Times New Roman" w:cs="Times New Roman"/>
                <w:sz w:val="20"/>
                <w:szCs w:val="20"/>
              </w:rPr>
              <w:t>prítomné strešné inštitúcie – správcovia či užívatelia dotknutých pozemkov - mali aj písomné závery zo vzájomných rokovaní.</w:t>
            </w:r>
          </w:p>
          <w:p w14:paraId="1E0E9B31" w14:textId="2D269001" w:rsidR="00D119B1" w:rsidRDefault="00D119B1" w:rsidP="00D11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B9">
              <w:rPr>
                <w:rFonts w:ascii="Times New Roman" w:eastAsia="Calibri" w:hAnsi="Times New Roman" w:cs="Times New Roman"/>
                <w:sz w:val="20"/>
                <w:szCs w:val="20"/>
              </w:rPr>
              <w:t>- v závere 3. odseku bol doplnený text „</w:t>
            </w:r>
            <w:r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Zapracované boli predovšetkým požiadavky na </w:t>
            </w:r>
            <w:r w:rsidR="00E420AD"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vymedzenie </w:t>
            </w:r>
            <w:r w:rsidR="00945D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lokalít </w:t>
            </w:r>
            <w:r w:rsidR="00E420AD"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 </w:t>
            </w:r>
            <w:r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spresnenie </w:t>
            </w:r>
            <w:r w:rsidR="00945D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ich </w:t>
            </w:r>
            <w:r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hraníc s ohľadom na už schválené územné plány obcí</w:t>
            </w:r>
            <w:r w:rsidRPr="00F7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“, </w:t>
            </w:r>
            <w:r w:rsidRPr="00F7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čím došlo aj k zosúladeniu informácie </w:t>
            </w:r>
            <w:r w:rsidR="007D7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 </w:t>
            </w:r>
            <w:r w:rsidRPr="00F703A5">
              <w:rPr>
                <w:rFonts w:ascii="Times New Roman" w:eastAsia="Calibri" w:hAnsi="Times New Roman" w:cs="Times New Roman"/>
                <w:sz w:val="20"/>
                <w:szCs w:val="20"/>
              </w:rPr>
              <w:t>správ</w:t>
            </w:r>
            <w:r w:rsidR="007D7BB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F7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 účasti verejnosti</w:t>
            </w:r>
            <w:r w:rsidRPr="00F70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645AE1" w14:textId="77777777" w:rsidR="00001825" w:rsidRPr="00001825" w:rsidRDefault="00586D4D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D4D"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  <w:p w14:paraId="71FF266D" w14:textId="77777777" w:rsidR="00001825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sz w:val="20"/>
                <w:szCs w:val="20"/>
              </w:rPr>
              <w:t>Komisia žiada dopracovať v Analýze vplyvov na podnikateľské prostredie časť 3.4 Iné vplyvy na podnikateľské prostredie a konkrétne objasniť pozitívne a negatívne vplyvy na podnikateľské prostredie, výšku finančných náhrad v prípade, že dôjde v niektorých lokalitách k zvýšeniu stupňa ochrany prírody a k obmedzeniu bežného obhospodarovania. Rovnako žiada Komisia uviesť výšku finančného príspevku v prípade bez zásahu na lesných pozemkoch.</w:t>
            </w:r>
          </w:p>
          <w:p w14:paraId="647228BE" w14:textId="77777777" w:rsidR="00D119B1" w:rsidRDefault="00D119B1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EA095" w14:textId="781AA715" w:rsidR="008E215D" w:rsidRPr="008D6EAC" w:rsidRDefault="00D119B1" w:rsidP="006E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Stanovisko MŽP SR:</w:t>
            </w:r>
            <w:r w:rsidR="00C36656" w:rsidRPr="006E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6656" w:rsidRPr="007D6ADF">
              <w:rPr>
                <w:rFonts w:ascii="Times New Roman" w:hAnsi="Times New Roman" w:cs="Times New Roman"/>
                <w:sz w:val="20"/>
                <w:szCs w:val="20"/>
              </w:rPr>
              <w:t xml:space="preserve">MŽP SR </w:t>
            </w:r>
            <w:r w:rsidR="000C559C" w:rsidRPr="007D6ADF">
              <w:rPr>
                <w:rFonts w:ascii="Times New Roman" w:hAnsi="Times New Roman" w:cs="Times New Roman"/>
                <w:sz w:val="20"/>
                <w:szCs w:val="20"/>
              </w:rPr>
              <w:t>po konzultácii s MH SR text z</w:t>
            </w:r>
            <w:r w:rsidR="00C36656" w:rsidRPr="007D6ADF">
              <w:rPr>
                <w:rFonts w:ascii="Times New Roman" w:hAnsi="Times New Roman" w:cs="Times New Roman"/>
                <w:sz w:val="20"/>
                <w:szCs w:val="20"/>
              </w:rPr>
              <w:t> časti 3.</w:t>
            </w:r>
            <w:r w:rsidR="000C559C" w:rsidRPr="007D6ADF">
              <w:rPr>
                <w:rFonts w:ascii="Times New Roman" w:hAnsi="Times New Roman" w:cs="Times New Roman"/>
                <w:sz w:val="20"/>
                <w:szCs w:val="20"/>
              </w:rPr>
              <w:t>1 presunulo do časti 3.</w:t>
            </w:r>
            <w:r w:rsidR="00C36656" w:rsidRPr="007D6AD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0C559C" w:rsidRPr="007D6ADF">
              <w:rPr>
                <w:rFonts w:ascii="Times New Roman" w:hAnsi="Times New Roman" w:cs="Times New Roman"/>
                <w:sz w:val="20"/>
                <w:szCs w:val="20"/>
              </w:rPr>
              <w:t>a to z dôvodu, že predkladaným materiálom nedochádza k vytvorenie nového regulatívu.</w:t>
            </w:r>
            <w:r w:rsidR="00C36656" w:rsidRPr="007D6AD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0C559C" w:rsidRPr="007D6ADF">
              <w:rPr>
                <w:rFonts w:ascii="Times New Roman" w:hAnsi="Times New Roman" w:cs="Times New Roman"/>
                <w:sz w:val="20"/>
                <w:szCs w:val="20"/>
              </w:rPr>
              <w:t xml:space="preserve">predmetného textu </w:t>
            </w:r>
            <w:r w:rsidR="00C36656" w:rsidRPr="007D6ADF">
              <w:rPr>
                <w:rFonts w:ascii="Times New Roman" w:hAnsi="Times New Roman" w:cs="Times New Roman"/>
                <w:sz w:val="20"/>
                <w:szCs w:val="20"/>
              </w:rPr>
              <w:t xml:space="preserve">bolo kvôli lepšej </w:t>
            </w:r>
            <w:r w:rsidR="00C36656" w:rsidRPr="008D6EAC">
              <w:rPr>
                <w:rFonts w:ascii="Times New Roman" w:hAnsi="Times New Roman" w:cs="Times New Roman"/>
                <w:sz w:val="20"/>
                <w:szCs w:val="20"/>
              </w:rPr>
              <w:t>zrozumiteľnosti odkazu na analýzu vplyvov na rozpočet doplnené</w:t>
            </w:r>
            <w:r w:rsidR="009D3322" w:rsidRPr="008D6EAC">
              <w:rPr>
                <w:rFonts w:ascii="Times New Roman" w:hAnsi="Times New Roman" w:cs="Times New Roman"/>
                <w:sz w:val="20"/>
                <w:szCs w:val="20"/>
              </w:rPr>
              <w:t>/spresnené</w:t>
            </w:r>
            <w:r w:rsidR="00C36656" w:rsidRPr="008D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382BE9" w14:textId="22E840EC" w:rsidR="008E215D" w:rsidRPr="008D6EAC" w:rsidRDefault="006E7E07" w:rsidP="006E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E215D" w:rsidRPr="008D6E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D6EAC" w:rsidRPr="008D6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215D" w:rsidRPr="008D6EAC">
              <w:rPr>
                <w:rFonts w:ascii="Times New Roman" w:hAnsi="Times New Roman" w:cs="Times New Roman"/>
                <w:sz w:val="20"/>
                <w:szCs w:val="20"/>
              </w:rPr>
              <w:t xml:space="preserve">. odseku na str. </w:t>
            </w:r>
            <w:r w:rsidR="008D6EAC" w:rsidRPr="008D6E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0F94" w:rsidRPr="008D6E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215D" w:rsidRPr="008D6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99D9DC" w14:textId="7FA89D29" w:rsidR="008E215D" w:rsidRPr="00500998" w:rsidRDefault="00B90F94" w:rsidP="006E7E0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6E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8E215D" w:rsidRPr="008D6E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„Vo väčšine lokalít</w:t>
            </w:r>
            <w:r w:rsidR="008E215D" w:rsidRPr="006271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 nepredpokladá zmena súčasného spôsobu využívania, nakoľko ide o obhospodarované pozemky, kde je kosenie a pasenie podmienkou zachovania </w:t>
            </w:r>
            <w:r w:rsidR="008E215D" w:rsidRPr="005009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biotopov európskeho významu a na </w:t>
            </w:r>
            <w:proofErr w:type="spellStart"/>
            <w:r w:rsidR="008E215D" w:rsidRPr="005009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</w:t>
            </w:r>
            <w:proofErr w:type="spellEnd"/>
            <w:r w:rsidR="008E215D" w:rsidRPr="005009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viazaných druhov</w:t>
            </w:r>
            <w:r w:rsidR="00E75A30" w:rsidRPr="005009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V prípade obmedzenia bežného obhospodarovania vzniká právny nárok na náhradu</w:t>
            </w:r>
            <w:r w:rsidR="008E215D" w:rsidRPr="005009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“.</w:t>
            </w:r>
          </w:p>
          <w:p w14:paraId="0A91F8B0" w14:textId="61281666" w:rsidR="006E7E07" w:rsidRPr="00500998" w:rsidRDefault="00B90F94" w:rsidP="006E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998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500998" w:rsidRPr="00500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E07" w:rsidRPr="00500998">
              <w:rPr>
                <w:rFonts w:ascii="Times New Roman" w:hAnsi="Times New Roman" w:cs="Times New Roman"/>
                <w:sz w:val="20"/>
                <w:szCs w:val="20"/>
              </w:rPr>
              <w:t xml:space="preserve">. odseku na str. </w:t>
            </w:r>
            <w:r w:rsidR="00500998" w:rsidRPr="00500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09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A86E70" w14:textId="499A9780" w:rsidR="0010667D" w:rsidRDefault="006E7E07" w:rsidP="006E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667D" w:rsidRPr="007D6A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Uplatnenie uvedených finančných nástrojov sa vykonáva/realizuje za účelom kompenzácie potenciálnych negatívnych vplyvov na podnikateľské prostredie z hľadiska obmedzenia bežného obhospodarovania v zmysle platn</w:t>
            </w:r>
            <w:r w:rsidR="0010667D"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ej legislatívy</w:t>
            </w:r>
            <w:r w:rsidR="00E972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10667D" w:rsidRPr="007D7B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“ </w:t>
            </w:r>
            <w:r w:rsidR="0010667D" w:rsidRPr="007D7B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10667D" w:rsidRPr="007D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FE2E7D" w14:textId="338A8A53" w:rsidR="006E7E07" w:rsidRPr="00C63CA1" w:rsidRDefault="0010667D" w:rsidP="006E7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C63CA1">
              <w:rPr>
                <w:rFonts w:ascii="Times New Roman" w:hAnsi="Times New Roman" w:cs="Times New Roman"/>
                <w:i/>
                <w:sz w:val="20"/>
                <w:szCs w:val="20"/>
              </w:rPr>
              <w:t>Podrobnosti</w:t>
            </w:r>
            <w:r w:rsidR="00C36656" w:rsidRPr="00C63CA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36656" w:rsidRPr="00C63C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vrátane</w:t>
            </w:r>
            <w:proofErr w:type="spellEnd"/>
            <w:r w:rsidR="00C36656" w:rsidRPr="00C63C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odhadovanej výšky finančnej náhrady</w:t>
            </w:r>
            <w:r w:rsidRPr="00C63C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sú uvedené v analýze vplyvu na rozpočet..</w:t>
            </w:r>
            <w:r w:rsidR="00C36656" w:rsidRPr="00C63CA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7D6ADF" w:rsidRPr="00C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D73521" w14:textId="54FD3499" w:rsidR="00441189" w:rsidRDefault="006E7E07" w:rsidP="009B3E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>v </w:t>
            </w:r>
            <w:r w:rsidR="00C63CA1"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odseku na str. </w:t>
            </w:r>
            <w:r w:rsidR="004411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text</w:t>
            </w:r>
            <w:r w:rsidR="00FB5512"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7289DAC" w14:textId="7A4FABD2" w:rsidR="00441189" w:rsidRDefault="00B90F94" w:rsidP="009B3E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E7E07" w:rsidRPr="00FF5A41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9B3E6B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  <w:r w:rsidR="006E7E07" w:rsidRPr="00FF5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čo predstavuje pozitívny vplyv pre budúce programové obdobie 202</w:t>
            </w:r>
            <w:r w:rsidR="004411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6E7E07" w:rsidRPr="00FF5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- 2027. P</w:t>
            </w:r>
            <w:r w:rsidR="004411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otenciálny p</w:t>
            </w:r>
            <w:r w:rsidR="006E7E07" w:rsidRPr="00FF5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ozitívny vplyv </w:t>
            </w:r>
            <w:r w:rsidR="009B3E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</w:t>
            </w:r>
            <w:r w:rsidR="006E7E07" w:rsidRPr="00FF5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podnikateľské prostredie </w:t>
            </w:r>
            <w:r w:rsidR="00441189" w:rsidRPr="009B3E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 nasledujúcich rokoch prestavuje značka „Natura 2000“, ktorá sa v niektorých členských štátoch EÚ používa na propagáciu výrobkov a  služieb, či pri zlepšenie potenciálu pre niektoré formy</w:t>
            </w:r>
            <w:r w:rsidR="009B3E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41189" w:rsidRPr="009B3E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cestovného ruchu. V podmienkach Slovenska tieto možnosti nie je značka „Natura 2000“ zatiaľ zavedená</w:t>
            </w:r>
            <w:r w:rsidR="004411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“</w:t>
            </w:r>
            <w:r w:rsidR="004411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F7FEE3" w14:textId="4A4132FC" w:rsidR="009D3322" w:rsidRDefault="009D3322" w:rsidP="009D33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C63CA1"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poslednom </w:t>
            </w:r>
            <w:r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odseku na str. </w:t>
            </w:r>
            <w:r w:rsidR="00C63CA1"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6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text: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0E9FC1" w14:textId="0FDFF5D2" w:rsidR="009D3322" w:rsidRPr="009D3322" w:rsidRDefault="009D3322" w:rsidP="009D3322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„</w:t>
            </w:r>
            <w:r w:rsidR="00BB28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 </w:t>
            </w:r>
            <w:r w:rsidRPr="009D33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 postup, ktorý vyplýva z platnej EÚ a národnej legislatívy.  V novo navrhovaných ÚEV sa uplatň</w:t>
            </w:r>
            <w:r w:rsidR="00BB28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uje už teraz, </w:t>
            </w:r>
            <w:r w:rsidRPr="009D33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="00BB28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</w:t>
            </w:r>
            <w:r w:rsidRPr="009D33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ide </w:t>
            </w:r>
            <w:r w:rsidR="00BB28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D33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 lokality, ktoré sú rozširovaním schválených ÚEV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“</w:t>
            </w:r>
            <w:r w:rsidRPr="009D33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40A5BCFC" w14:textId="77777777" w:rsidR="006E7E07" w:rsidRDefault="006E7E07" w:rsidP="006E7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4FE45E" w14:textId="54EA2640" w:rsidR="00001825" w:rsidRDefault="00FF5A41" w:rsidP="001D5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 pripomienke týkajúcej sa f</w:t>
            </w:r>
            <w:r w:rsidR="001D5495" w:rsidRPr="00FF5A41">
              <w:rPr>
                <w:rFonts w:ascii="Times New Roman" w:hAnsi="Times New Roman" w:cs="Times New Roman"/>
                <w:sz w:val="20"/>
                <w:szCs w:val="20"/>
              </w:rPr>
              <w:t>inančn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ého </w:t>
            </w:r>
            <w:r w:rsidR="001D5495" w:rsidRPr="00FF5A41">
              <w:rPr>
                <w:rFonts w:ascii="Times New Roman" w:hAnsi="Times New Roman" w:cs="Times New Roman"/>
                <w:sz w:val="20"/>
                <w:szCs w:val="20"/>
              </w:rPr>
              <w:t>príspevk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D5495" w:rsidRPr="00FF5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BB9">
              <w:rPr>
                <w:rFonts w:ascii="Times New Roman" w:hAnsi="Times New Roman" w:cs="Times New Roman"/>
                <w:sz w:val="20"/>
                <w:szCs w:val="20"/>
              </w:rPr>
              <w:t xml:space="preserve">MŽP SR uvádza, že tento </w:t>
            </w:r>
            <w:r w:rsidR="001D5495" w:rsidRPr="00FF5A41">
              <w:rPr>
                <w:rFonts w:ascii="Times New Roman" w:hAnsi="Times New Roman" w:cs="Times New Roman"/>
                <w:sz w:val="20"/>
                <w:szCs w:val="20"/>
              </w:rPr>
              <w:t>predstavuje len formu ekonomického nástroja ochrany prírody, pričom odhad výšky finančných prostriedkov je rovnaký. MŽP SR k pripomienke Komisie uvádza, že z celkovej výmery 10 </w:t>
            </w:r>
            <w:r w:rsidR="009B3E6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1D5495" w:rsidRPr="00FF5A41">
              <w:rPr>
                <w:rFonts w:ascii="Times New Roman" w:hAnsi="Times New Roman" w:cs="Times New Roman"/>
                <w:sz w:val="20"/>
                <w:szCs w:val="20"/>
              </w:rPr>
              <w:t xml:space="preserve"> ha novo navrhovaných lokalít je v 2. stupni ochrany </w:t>
            </w:r>
            <w:r w:rsidR="009B3E6B">
              <w:rPr>
                <w:rFonts w:ascii="Times New Roman" w:hAnsi="Times New Roman" w:cs="Times New Roman"/>
                <w:sz w:val="20"/>
                <w:szCs w:val="20"/>
              </w:rPr>
              <w:t>8 344</w:t>
            </w:r>
            <w:r w:rsidR="001D5495" w:rsidRPr="00FF5A41">
              <w:rPr>
                <w:rFonts w:ascii="Times New Roman" w:hAnsi="Times New Roman" w:cs="Times New Roman"/>
                <w:sz w:val="20"/>
                <w:szCs w:val="20"/>
              </w:rPr>
              <w:t xml:space="preserve"> ha, t. j. režim bežného obhospodarovania sa mení len na malej časti, kde bol navrhnutý vyšší stupeň ochrany v záujme zabezpečenia priaznivého stavu biotopov a druhov európskeho významu v týchto lokalitách.</w:t>
            </w:r>
            <w:r w:rsidR="001D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F8B54D" w14:textId="77777777" w:rsidR="001D5495" w:rsidRPr="00001825" w:rsidRDefault="001D549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02BEE" w14:textId="77777777" w:rsidR="00001825" w:rsidRPr="00001825" w:rsidRDefault="00001825" w:rsidP="00001825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lang w:eastAsia="ar-SA"/>
              </w:rPr>
            </w:pPr>
            <w:r w:rsidRPr="00001825">
              <w:rPr>
                <w:rStyle w:val="norm00e1lnychar1"/>
                <w:b/>
                <w:bCs/>
                <w:color w:val="000000"/>
                <w:lang w:eastAsia="ar-SA"/>
              </w:rPr>
              <w:t>K vplyvom na rozpočet verejnej správy</w:t>
            </w:r>
          </w:p>
          <w:p w14:paraId="5EB224F2" w14:textId="77777777" w:rsidR="00001825" w:rsidRPr="00001825" w:rsidRDefault="00001825" w:rsidP="00001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825">
              <w:rPr>
                <w:rFonts w:ascii="Times New Roman" w:hAnsi="Times New Roman" w:cs="Times New Roman"/>
                <w:sz w:val="20"/>
                <w:szCs w:val="20"/>
              </w:rPr>
              <w:t>Vo vypracovanej analýze vplyvov na rozpočet verejnej správy žiada Komisia zosúladiť uvádzanie rokov v záhlaví všetkých tabuliek.</w:t>
            </w:r>
          </w:p>
          <w:p w14:paraId="73404FCC" w14:textId="77777777" w:rsidR="00001825" w:rsidRDefault="00001825" w:rsidP="00001825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lang w:eastAsia="ar-SA"/>
              </w:rPr>
            </w:pPr>
          </w:p>
          <w:p w14:paraId="054236EE" w14:textId="77777777" w:rsidR="00E003D9" w:rsidRPr="00001825" w:rsidRDefault="00E003D9" w:rsidP="00E003D9">
            <w:pPr>
              <w:pStyle w:val="norm00e1lny"/>
              <w:spacing w:line="240" w:lineRule="atLeast"/>
              <w:jc w:val="both"/>
              <w:rPr>
                <w:i/>
                <w:lang w:eastAsia="ar-SA"/>
              </w:rPr>
            </w:pPr>
            <w:r>
              <w:rPr>
                <w:b/>
                <w:u w:val="single"/>
              </w:rPr>
              <w:t xml:space="preserve">Stanovisko MŽP SR: </w:t>
            </w:r>
            <w:r>
              <w:t>Pripomienka bola akceptovaná a formálny nedostatok v tabuľke č. 4 na str. 7 a 8 bol odstránený</w:t>
            </w:r>
            <w:r w:rsidRPr="00001825">
              <w:rPr>
                <w:i/>
              </w:rPr>
              <w:t>.</w:t>
            </w:r>
          </w:p>
          <w:p w14:paraId="5841F8A4" w14:textId="77777777" w:rsidR="00E003D9" w:rsidRPr="00001825" w:rsidRDefault="00E003D9" w:rsidP="00001825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lang w:eastAsia="ar-SA"/>
              </w:rPr>
            </w:pPr>
          </w:p>
          <w:p w14:paraId="75EC7D8C" w14:textId="77777777" w:rsidR="00001825" w:rsidRPr="00001825" w:rsidRDefault="00001825" w:rsidP="00001825">
            <w:pPr>
              <w:pStyle w:val="norm00e1lny"/>
              <w:spacing w:line="240" w:lineRule="atLeast"/>
              <w:jc w:val="both"/>
            </w:pPr>
            <w:r w:rsidRPr="00001825">
              <w:rPr>
                <w:rStyle w:val="norm00e1lnychar1"/>
                <w:b/>
                <w:bCs/>
                <w:color w:val="000000"/>
                <w:lang w:eastAsia="ar-SA"/>
              </w:rPr>
              <w:t>I</w:t>
            </w:r>
            <w:r w:rsidRPr="00001825">
              <w:rPr>
                <w:rStyle w:val="norm00e1lnychar1"/>
                <w:b/>
                <w:bCs/>
              </w:rPr>
              <w:t xml:space="preserve">II. Záver: </w:t>
            </w:r>
            <w:r w:rsidRPr="00001825">
              <w:rPr>
                <w:rStyle w:val="norm00e1lnychar1"/>
              </w:rPr>
              <w:t xml:space="preserve">Stála pracovná komisia na posudzovanie vybraných vplyvov vyjadruje </w:t>
            </w:r>
            <w:r w:rsidRPr="00001825">
              <w:rPr>
                <w:rStyle w:val="norm00e1lnychar1"/>
                <w:b/>
                <w:bCs/>
              </w:rPr>
              <w:t>nesúhlasné stanovisko</w:t>
            </w:r>
            <w:r>
              <w:rPr>
                <w:rStyle w:val="norm00e1lnychar1"/>
                <w:b/>
                <w:bCs/>
              </w:rPr>
              <w:t xml:space="preserve"> </w:t>
            </w:r>
            <w:r w:rsidRPr="00001825">
              <w:rPr>
                <w:rStyle w:val="norm00e1lnychar1"/>
              </w:rPr>
              <w:t>s materiálom predloženým na predbežné pripomienkové konanie s odporúčaním na jeho dopracovanie podľa pripomienok v bode II.</w:t>
            </w:r>
          </w:p>
          <w:p w14:paraId="0C995920" w14:textId="77777777" w:rsidR="00001825" w:rsidRPr="00001825" w:rsidRDefault="00001825" w:rsidP="00001825">
            <w:pPr>
              <w:pStyle w:val="norm00e1lny"/>
            </w:pPr>
          </w:p>
          <w:p w14:paraId="71FCDE70" w14:textId="77777777" w:rsidR="00001825" w:rsidRPr="00001825" w:rsidRDefault="00001825" w:rsidP="00001825">
            <w:pPr>
              <w:pStyle w:val="norm00e1lny"/>
              <w:spacing w:line="240" w:lineRule="atLeast"/>
              <w:jc w:val="both"/>
              <w:rPr>
                <w:b/>
                <w:bCs/>
              </w:rPr>
            </w:pPr>
            <w:r w:rsidRPr="00001825">
              <w:rPr>
                <w:rStyle w:val="norm00e1lnychar1"/>
                <w:b/>
                <w:bCs/>
              </w:rPr>
              <w:t>IV. Poznámka:</w:t>
            </w:r>
            <w:r w:rsidRPr="00001825">
              <w:rPr>
                <w:rStyle w:val="norm00e1lnychar1"/>
              </w:rPr>
              <w:t xml:space="preserve"> Predkladateľ zapracuje pripomienky a odporúčania na úpravu uvedené v bode II a uvedie stanovisko Komisie do doložky vybraných vplyvov spolu s vyhodnotením pripomienok.</w:t>
            </w:r>
            <w:r>
              <w:rPr>
                <w:rStyle w:val="norm00e1lnychar1"/>
              </w:rPr>
              <w:t xml:space="preserve"> </w:t>
            </w:r>
            <w:r w:rsidRPr="00001825">
              <w:rPr>
                <w:rStyle w:val="z00e1kladn00fd0020textchar1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0CEE6946" w14:textId="4D9B9011" w:rsidR="00001825" w:rsidRDefault="0000182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AC4D533" w14:textId="781AE43B" w:rsidR="00001825" w:rsidRDefault="00185938" w:rsidP="00185938">
            <w:pPr>
              <w:pStyle w:val="norm00e1lny"/>
              <w:spacing w:line="240" w:lineRule="atLeast"/>
              <w:jc w:val="both"/>
            </w:pPr>
            <w:r>
              <w:rPr>
                <w:b/>
                <w:u w:val="single"/>
              </w:rPr>
              <w:t xml:space="preserve">Stanovisko MŽP SR: </w:t>
            </w:r>
            <w:r>
              <w:t>Odporúčania Komisie boli aj po konzultáciách s MH SR zohľadnené. Materiál s vyššie uvedenými úpravami predkladá MŽP SR do medzirezortného pripomienkového konania.</w:t>
            </w:r>
            <w:r w:rsidR="009B3E6B">
              <w:t xml:space="preserve"> V rámci medzirezortného pripomienkového konania boli vykonané niektoré spresnenia formulácií a údajov.</w:t>
            </w:r>
          </w:p>
          <w:p w14:paraId="31495C33" w14:textId="1529AC54" w:rsidR="00185938" w:rsidRPr="00001825" w:rsidRDefault="00185938" w:rsidP="00185938">
            <w:pPr>
              <w:pStyle w:val="norm00e1lny"/>
              <w:spacing w:line="240" w:lineRule="atLeast"/>
              <w:jc w:val="both"/>
            </w:pPr>
          </w:p>
        </w:tc>
      </w:tr>
      <w:tr w:rsidR="001B23B7" w:rsidRPr="00B043B4" w14:paraId="5AFB7A2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C0806D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9350A48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C8A741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E55C64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694D0ED" w14:textId="77777777" w:rsidR="001B23B7" w:rsidRPr="00B043B4" w:rsidRDefault="00DF020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761FF906" w14:textId="77777777" w:rsidR="001B23B7" w:rsidRPr="00B043B4" w:rsidRDefault="00DF020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14:paraId="43A14EB8" w14:textId="77777777" w:rsidR="001B23B7" w:rsidRPr="00B043B4" w:rsidRDefault="00DF020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5BA47F0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0AA760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67ECAC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2D84087" w14:textId="77777777" w:rsidR="00274130" w:rsidRDefault="00DF020E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59ED" w14:textId="77777777" w:rsidR="00DF020E" w:rsidRDefault="00DF020E" w:rsidP="001B23B7">
      <w:pPr>
        <w:spacing w:after="0" w:line="240" w:lineRule="auto"/>
      </w:pPr>
      <w:r>
        <w:separator/>
      </w:r>
    </w:p>
  </w:endnote>
  <w:endnote w:type="continuationSeparator" w:id="0">
    <w:p w14:paraId="1E24A7ED" w14:textId="77777777" w:rsidR="00DF020E" w:rsidRDefault="00DF020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6A0645" w14:textId="27BF88AA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68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7F66EC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8056" w14:textId="77777777" w:rsidR="00DF020E" w:rsidRDefault="00DF020E" w:rsidP="001B23B7">
      <w:pPr>
        <w:spacing w:after="0" w:line="240" w:lineRule="auto"/>
      </w:pPr>
      <w:r>
        <w:separator/>
      </w:r>
    </w:p>
  </w:footnote>
  <w:footnote w:type="continuationSeparator" w:id="0">
    <w:p w14:paraId="0EB1CF7F" w14:textId="77777777" w:rsidR="00DF020E" w:rsidRDefault="00DF020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1BD3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4AB443BF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C19"/>
    <w:multiLevelType w:val="hybridMultilevel"/>
    <w:tmpl w:val="0386657A"/>
    <w:lvl w:ilvl="0" w:tplc="57D29F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CFA"/>
    <w:multiLevelType w:val="hybridMultilevel"/>
    <w:tmpl w:val="673288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825"/>
    <w:rsid w:val="00016014"/>
    <w:rsid w:val="00036A3B"/>
    <w:rsid w:val="00043706"/>
    <w:rsid w:val="00051002"/>
    <w:rsid w:val="00097069"/>
    <w:rsid w:val="000A261C"/>
    <w:rsid w:val="000C5325"/>
    <w:rsid w:val="000C559C"/>
    <w:rsid w:val="000D57BC"/>
    <w:rsid w:val="000E6325"/>
    <w:rsid w:val="000F2BE9"/>
    <w:rsid w:val="0010667D"/>
    <w:rsid w:val="0011682A"/>
    <w:rsid w:val="00116EF8"/>
    <w:rsid w:val="00125658"/>
    <w:rsid w:val="00137F76"/>
    <w:rsid w:val="00175FA4"/>
    <w:rsid w:val="001762B4"/>
    <w:rsid w:val="00185938"/>
    <w:rsid w:val="00185D6A"/>
    <w:rsid w:val="00194B8C"/>
    <w:rsid w:val="001A3A93"/>
    <w:rsid w:val="001B23B7"/>
    <w:rsid w:val="001C0118"/>
    <w:rsid w:val="001D5495"/>
    <w:rsid w:val="001E3562"/>
    <w:rsid w:val="00201B3D"/>
    <w:rsid w:val="00236E64"/>
    <w:rsid w:val="00243652"/>
    <w:rsid w:val="00256A3E"/>
    <w:rsid w:val="0026777E"/>
    <w:rsid w:val="0028296F"/>
    <w:rsid w:val="002A6E16"/>
    <w:rsid w:val="00300F11"/>
    <w:rsid w:val="00307878"/>
    <w:rsid w:val="0031002B"/>
    <w:rsid w:val="00315B83"/>
    <w:rsid w:val="0032040B"/>
    <w:rsid w:val="003326CA"/>
    <w:rsid w:val="00335E4B"/>
    <w:rsid w:val="0034219A"/>
    <w:rsid w:val="00363224"/>
    <w:rsid w:val="00372DED"/>
    <w:rsid w:val="003A057B"/>
    <w:rsid w:val="003B39E9"/>
    <w:rsid w:val="003B5BEB"/>
    <w:rsid w:val="003C013E"/>
    <w:rsid w:val="003C64CD"/>
    <w:rsid w:val="003C6DFC"/>
    <w:rsid w:val="003D6EB4"/>
    <w:rsid w:val="003E59A8"/>
    <w:rsid w:val="003F4E42"/>
    <w:rsid w:val="00421906"/>
    <w:rsid w:val="004264D3"/>
    <w:rsid w:val="00441189"/>
    <w:rsid w:val="00443A44"/>
    <w:rsid w:val="00471528"/>
    <w:rsid w:val="00484CA2"/>
    <w:rsid w:val="0049476D"/>
    <w:rsid w:val="004A4383"/>
    <w:rsid w:val="004A43A0"/>
    <w:rsid w:val="004A7A6D"/>
    <w:rsid w:val="004F1A0F"/>
    <w:rsid w:val="00500998"/>
    <w:rsid w:val="00502E07"/>
    <w:rsid w:val="005138B6"/>
    <w:rsid w:val="00524200"/>
    <w:rsid w:val="00565D04"/>
    <w:rsid w:val="00574232"/>
    <w:rsid w:val="00586D4D"/>
    <w:rsid w:val="00591EC6"/>
    <w:rsid w:val="00593C75"/>
    <w:rsid w:val="005D27AC"/>
    <w:rsid w:val="00606497"/>
    <w:rsid w:val="006200A0"/>
    <w:rsid w:val="0062714F"/>
    <w:rsid w:val="00627965"/>
    <w:rsid w:val="00654F47"/>
    <w:rsid w:val="00674628"/>
    <w:rsid w:val="00682F42"/>
    <w:rsid w:val="006E3019"/>
    <w:rsid w:val="006E7E07"/>
    <w:rsid w:val="006F678E"/>
    <w:rsid w:val="00706A53"/>
    <w:rsid w:val="007075D9"/>
    <w:rsid w:val="00711CB5"/>
    <w:rsid w:val="00720322"/>
    <w:rsid w:val="007359EB"/>
    <w:rsid w:val="0074044B"/>
    <w:rsid w:val="007626DE"/>
    <w:rsid w:val="00764586"/>
    <w:rsid w:val="00777BAD"/>
    <w:rsid w:val="007B2B66"/>
    <w:rsid w:val="007B40C1"/>
    <w:rsid w:val="007D6ADF"/>
    <w:rsid w:val="007D7BB9"/>
    <w:rsid w:val="007E7611"/>
    <w:rsid w:val="00806D43"/>
    <w:rsid w:val="00823EC4"/>
    <w:rsid w:val="00824E38"/>
    <w:rsid w:val="008277DB"/>
    <w:rsid w:val="00846647"/>
    <w:rsid w:val="00865E81"/>
    <w:rsid w:val="0087625D"/>
    <w:rsid w:val="008801B5"/>
    <w:rsid w:val="0088589D"/>
    <w:rsid w:val="008B222D"/>
    <w:rsid w:val="008B39D0"/>
    <w:rsid w:val="008C5CF6"/>
    <w:rsid w:val="008C79B7"/>
    <w:rsid w:val="008D04C6"/>
    <w:rsid w:val="008D6EAC"/>
    <w:rsid w:val="008E215D"/>
    <w:rsid w:val="008E36B1"/>
    <w:rsid w:val="008F471C"/>
    <w:rsid w:val="0090032A"/>
    <w:rsid w:val="00910558"/>
    <w:rsid w:val="009431E3"/>
    <w:rsid w:val="00945DFD"/>
    <w:rsid w:val="009475F5"/>
    <w:rsid w:val="00951D83"/>
    <w:rsid w:val="0095760E"/>
    <w:rsid w:val="009717F5"/>
    <w:rsid w:val="00983230"/>
    <w:rsid w:val="00994D1F"/>
    <w:rsid w:val="0099779F"/>
    <w:rsid w:val="009A4FD6"/>
    <w:rsid w:val="009B3B31"/>
    <w:rsid w:val="009B3E6B"/>
    <w:rsid w:val="009C424C"/>
    <w:rsid w:val="009D3322"/>
    <w:rsid w:val="009E09F7"/>
    <w:rsid w:val="009F4832"/>
    <w:rsid w:val="00A1756F"/>
    <w:rsid w:val="00A2019C"/>
    <w:rsid w:val="00A340BB"/>
    <w:rsid w:val="00A74479"/>
    <w:rsid w:val="00AA6042"/>
    <w:rsid w:val="00AD3F88"/>
    <w:rsid w:val="00AD5BF9"/>
    <w:rsid w:val="00AE7857"/>
    <w:rsid w:val="00AF2BC9"/>
    <w:rsid w:val="00B05DB2"/>
    <w:rsid w:val="00B05F78"/>
    <w:rsid w:val="00B84F87"/>
    <w:rsid w:val="00B85A76"/>
    <w:rsid w:val="00B90F94"/>
    <w:rsid w:val="00B926FC"/>
    <w:rsid w:val="00B93981"/>
    <w:rsid w:val="00BA2BF4"/>
    <w:rsid w:val="00BB2847"/>
    <w:rsid w:val="00BD5BF4"/>
    <w:rsid w:val="00BF38DC"/>
    <w:rsid w:val="00BF6B2D"/>
    <w:rsid w:val="00C0532F"/>
    <w:rsid w:val="00C2358B"/>
    <w:rsid w:val="00C26928"/>
    <w:rsid w:val="00C36656"/>
    <w:rsid w:val="00C45245"/>
    <w:rsid w:val="00C51631"/>
    <w:rsid w:val="00C63527"/>
    <w:rsid w:val="00C63CA1"/>
    <w:rsid w:val="00C94D18"/>
    <w:rsid w:val="00CB489E"/>
    <w:rsid w:val="00CD0E42"/>
    <w:rsid w:val="00CE5CF8"/>
    <w:rsid w:val="00CE6AAE"/>
    <w:rsid w:val="00CF1A25"/>
    <w:rsid w:val="00D119B1"/>
    <w:rsid w:val="00D2313B"/>
    <w:rsid w:val="00D35A45"/>
    <w:rsid w:val="00D52B51"/>
    <w:rsid w:val="00D84C4F"/>
    <w:rsid w:val="00DA38C0"/>
    <w:rsid w:val="00DA6BD3"/>
    <w:rsid w:val="00DB7752"/>
    <w:rsid w:val="00DE0931"/>
    <w:rsid w:val="00DE6499"/>
    <w:rsid w:val="00DE6D76"/>
    <w:rsid w:val="00DF020E"/>
    <w:rsid w:val="00DF357C"/>
    <w:rsid w:val="00E003D9"/>
    <w:rsid w:val="00E21949"/>
    <w:rsid w:val="00E2532A"/>
    <w:rsid w:val="00E34C82"/>
    <w:rsid w:val="00E420AD"/>
    <w:rsid w:val="00E75A30"/>
    <w:rsid w:val="00E972D3"/>
    <w:rsid w:val="00EB4D46"/>
    <w:rsid w:val="00EC6A51"/>
    <w:rsid w:val="00ED2092"/>
    <w:rsid w:val="00EE14BD"/>
    <w:rsid w:val="00F10044"/>
    <w:rsid w:val="00F46139"/>
    <w:rsid w:val="00F5301A"/>
    <w:rsid w:val="00F53C16"/>
    <w:rsid w:val="00F703A5"/>
    <w:rsid w:val="00F85FAC"/>
    <w:rsid w:val="00F87681"/>
    <w:rsid w:val="00FA0440"/>
    <w:rsid w:val="00FA1FFC"/>
    <w:rsid w:val="00FA2F46"/>
    <w:rsid w:val="00FB5512"/>
    <w:rsid w:val="00FB62D9"/>
    <w:rsid w:val="00FE0B0D"/>
    <w:rsid w:val="00FE287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159C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532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C53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3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3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53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5325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138B6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3C6DFC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3E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E59A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rm00e1lnychar1">
    <w:name w:val="norm_00e1lny__char1"/>
    <w:rsid w:val="00001825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001825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001825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001825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3981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3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a.durkosova@enviro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A061573-EF5F-4F76-BF93-E43ECA647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Silvia Lojková</cp:lastModifiedBy>
  <cp:revision>2</cp:revision>
  <cp:lastPrinted>2022-03-23T17:52:00Z</cp:lastPrinted>
  <dcterms:created xsi:type="dcterms:W3CDTF">2022-03-24T09:56:00Z</dcterms:created>
  <dcterms:modified xsi:type="dcterms:W3CDTF">2022-03-24T09:56:00Z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