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978"/>
        <w:gridCol w:w="5361"/>
        <w:gridCol w:w="733"/>
        <w:gridCol w:w="826"/>
        <w:gridCol w:w="783"/>
        <w:gridCol w:w="4897"/>
        <w:gridCol w:w="597"/>
        <w:gridCol w:w="931"/>
      </w:tblGrid>
      <w:tr w:rsidR="008C54C3" w:rsidRPr="00171531" w:rsidTr="001F6363">
        <w:tc>
          <w:tcPr>
            <w:tcW w:w="0" w:type="auto"/>
            <w:gridSpan w:val="8"/>
            <w:tcBorders>
              <w:top w:val="single" w:sz="12" w:space="0" w:color="auto"/>
              <w:left w:val="single" w:sz="12" w:space="0" w:color="auto"/>
              <w:bottom w:val="single" w:sz="4" w:space="0" w:color="auto"/>
              <w:right w:val="single" w:sz="12" w:space="0" w:color="auto"/>
            </w:tcBorders>
          </w:tcPr>
          <w:p w:rsidR="008C54C3" w:rsidRPr="007753ED" w:rsidRDefault="008C54C3">
            <w:pPr>
              <w:pStyle w:val="Nadpis1"/>
              <w:rPr>
                <w:sz w:val="20"/>
                <w:szCs w:val="20"/>
              </w:rPr>
            </w:pPr>
            <w:r w:rsidRPr="007753ED">
              <w:rPr>
                <w:sz w:val="20"/>
                <w:szCs w:val="20"/>
              </w:rPr>
              <w:t>TABUĽKA  ZHODY</w:t>
            </w:r>
          </w:p>
          <w:p w:rsidR="001C6ED8" w:rsidRPr="007753ED" w:rsidRDefault="001C6ED8" w:rsidP="001C6ED8">
            <w:pPr>
              <w:rPr>
                <w:b/>
              </w:rPr>
            </w:pPr>
          </w:p>
          <w:p w:rsidR="008C54C3" w:rsidRPr="007753ED" w:rsidRDefault="001C6ED8" w:rsidP="001C6ED8">
            <w:pPr>
              <w:pStyle w:val="Nadpis1"/>
              <w:spacing w:after="120"/>
              <w:rPr>
                <w:bCs w:val="0"/>
                <w:sz w:val="20"/>
                <w:szCs w:val="20"/>
              </w:rPr>
            </w:pPr>
            <w:r>
              <w:rPr>
                <w:sz w:val="20"/>
                <w:szCs w:val="20"/>
              </w:rPr>
              <w:t xml:space="preserve">návrhu právneho predpisu </w:t>
            </w:r>
            <w:r w:rsidRPr="007753ED">
              <w:rPr>
                <w:sz w:val="20"/>
                <w:szCs w:val="20"/>
              </w:rPr>
              <w:t>s právom Európskej únie</w:t>
            </w:r>
          </w:p>
        </w:tc>
      </w:tr>
      <w:tr w:rsidR="00CF1C4E" w:rsidRPr="00171531" w:rsidTr="001F6363">
        <w:tc>
          <w:tcPr>
            <w:tcW w:w="0" w:type="auto"/>
            <w:gridSpan w:val="3"/>
            <w:tcBorders>
              <w:top w:val="single" w:sz="4" w:space="0" w:color="auto"/>
              <w:left w:val="single" w:sz="12" w:space="0" w:color="auto"/>
              <w:bottom w:val="single" w:sz="4" w:space="0" w:color="auto"/>
              <w:right w:val="single" w:sz="12" w:space="0" w:color="auto"/>
            </w:tcBorders>
          </w:tcPr>
          <w:p w:rsidR="00672E54" w:rsidRPr="00171531" w:rsidRDefault="00755FDB" w:rsidP="00CD0DAC">
            <w:pPr>
              <w:pStyle w:val="Zkladntext3"/>
              <w:spacing w:line="240" w:lineRule="exact"/>
              <w:jc w:val="center"/>
              <w:rPr>
                <w:sz w:val="20"/>
                <w:szCs w:val="20"/>
              </w:rPr>
            </w:pPr>
            <w:r w:rsidRPr="00171531">
              <w:rPr>
                <w:b/>
                <w:sz w:val="20"/>
                <w:szCs w:val="20"/>
              </w:rPr>
              <w:t>Smernica Rady 91/676/EHS týkajúca sa ochrany vôd pred znečistením spôsobenom dusičnanmi z poľnohospodárskych zdrojov</w:t>
            </w:r>
          </w:p>
        </w:tc>
        <w:tc>
          <w:tcPr>
            <w:tcW w:w="0" w:type="auto"/>
            <w:gridSpan w:val="5"/>
            <w:tcBorders>
              <w:top w:val="single" w:sz="4" w:space="0" w:color="auto"/>
              <w:left w:val="nil"/>
              <w:bottom w:val="single" w:sz="4" w:space="0" w:color="auto"/>
              <w:right w:val="single" w:sz="12" w:space="0" w:color="auto"/>
            </w:tcBorders>
            <w:vAlign w:val="center"/>
          </w:tcPr>
          <w:p w:rsidR="00AA7F3E" w:rsidRDefault="00AA7F3E" w:rsidP="0062624F">
            <w:pPr>
              <w:pStyle w:val="Zkladntext3"/>
              <w:spacing w:line="240" w:lineRule="exact"/>
              <w:rPr>
                <w:b/>
                <w:sz w:val="20"/>
                <w:szCs w:val="20"/>
              </w:rPr>
            </w:pPr>
            <w:r>
              <w:rPr>
                <w:b/>
                <w:sz w:val="20"/>
                <w:szCs w:val="20"/>
              </w:rPr>
              <w:t>Návrh z</w:t>
            </w:r>
            <w:r w:rsidRPr="00171531">
              <w:rPr>
                <w:b/>
                <w:sz w:val="20"/>
                <w:szCs w:val="20"/>
              </w:rPr>
              <w:t>ákon</w:t>
            </w:r>
            <w:r>
              <w:rPr>
                <w:b/>
                <w:sz w:val="20"/>
                <w:szCs w:val="20"/>
              </w:rPr>
              <w:t>a</w:t>
            </w:r>
            <w:r w:rsidRPr="00171531">
              <w:rPr>
                <w:b/>
                <w:sz w:val="20"/>
                <w:szCs w:val="20"/>
              </w:rPr>
              <w:t xml:space="preserve"> z ... </w:t>
            </w:r>
            <w:r>
              <w:rPr>
                <w:b/>
                <w:sz w:val="20"/>
                <w:szCs w:val="20"/>
              </w:rPr>
              <w:t>2022</w:t>
            </w:r>
            <w:r w:rsidRPr="00171531">
              <w:rPr>
                <w:b/>
                <w:sz w:val="20"/>
                <w:szCs w:val="20"/>
              </w:rPr>
              <w:t xml:space="preserve">, ktorým sa mení a dopĺňa zákon č. 136/2000 Z. z. o hnojivách v znení neskorších predpisov </w:t>
            </w:r>
            <w:r>
              <w:rPr>
                <w:b/>
                <w:sz w:val="20"/>
                <w:szCs w:val="20"/>
              </w:rPr>
              <w:t xml:space="preserve">(ďalej len „návrh zákona“) </w:t>
            </w:r>
          </w:p>
          <w:p w:rsidR="0062624F" w:rsidRPr="00AA7F3E" w:rsidRDefault="0062624F" w:rsidP="0062624F">
            <w:pPr>
              <w:pStyle w:val="Zkladntext3"/>
              <w:spacing w:line="240" w:lineRule="exact"/>
              <w:rPr>
                <w:sz w:val="20"/>
                <w:szCs w:val="20"/>
              </w:rPr>
            </w:pPr>
            <w:r w:rsidRPr="00AA7F3E">
              <w:rPr>
                <w:sz w:val="20"/>
                <w:szCs w:val="20"/>
              </w:rPr>
              <w:t>Zákon č. 136/2000 Z. z. o hnojivách v znení neskorších predpisov</w:t>
            </w:r>
            <w:r w:rsidR="00AA7F3E">
              <w:rPr>
                <w:sz w:val="20"/>
                <w:szCs w:val="20"/>
              </w:rPr>
              <w:t xml:space="preserve"> (ďalej len „zákon“)</w:t>
            </w:r>
            <w:r w:rsidRPr="00AA7F3E">
              <w:rPr>
                <w:sz w:val="20"/>
                <w:szCs w:val="20"/>
              </w:rPr>
              <w:t xml:space="preserve"> </w:t>
            </w:r>
          </w:p>
          <w:p w:rsidR="00672E54" w:rsidRPr="00171531" w:rsidRDefault="00672E54" w:rsidP="00785411">
            <w:pPr>
              <w:pStyle w:val="Zkladntext3"/>
              <w:spacing w:line="240" w:lineRule="exact"/>
              <w:rPr>
                <w:b/>
                <w:sz w:val="20"/>
                <w:szCs w:val="20"/>
              </w:rPr>
            </w:pPr>
          </w:p>
        </w:tc>
      </w:tr>
      <w:tr w:rsidR="00FB3D93" w:rsidRPr="00171531" w:rsidTr="001F6363">
        <w:tc>
          <w:tcPr>
            <w:tcW w:w="0" w:type="auto"/>
            <w:tcBorders>
              <w:top w:val="single" w:sz="4" w:space="0" w:color="auto"/>
              <w:left w:val="single" w:sz="12"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2</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jc w:val="center"/>
              <w:rPr>
                <w:sz w:val="20"/>
                <w:szCs w:val="20"/>
              </w:rPr>
            </w:pPr>
            <w:r w:rsidRPr="00171531">
              <w:rPr>
                <w:sz w:val="20"/>
                <w:szCs w:val="20"/>
              </w:rPr>
              <w:t>3</w:t>
            </w:r>
          </w:p>
        </w:tc>
        <w:tc>
          <w:tcPr>
            <w:tcW w:w="0" w:type="auto"/>
            <w:tcBorders>
              <w:top w:val="single" w:sz="4" w:space="0" w:color="auto"/>
              <w:left w:val="nil"/>
              <w:bottom w:val="single" w:sz="4" w:space="0" w:color="auto"/>
              <w:right w:val="single" w:sz="4" w:space="0" w:color="auto"/>
            </w:tcBorders>
          </w:tcPr>
          <w:p w:rsidR="00672E54" w:rsidRPr="00171531" w:rsidRDefault="00672E54">
            <w:pPr>
              <w:jc w:val="center"/>
              <w:rPr>
                <w:sz w:val="20"/>
                <w:szCs w:val="20"/>
              </w:rPr>
            </w:pPr>
            <w:r w:rsidRPr="00171531">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Zkladntext2"/>
              <w:spacing w:line="240" w:lineRule="exact"/>
            </w:pPr>
            <w:r w:rsidRPr="00171531">
              <w:t>5</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Zkladntext2"/>
              <w:spacing w:line="240" w:lineRule="exact"/>
            </w:pPr>
            <w:r w:rsidRPr="00171531">
              <w:t>6</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7</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jc w:val="center"/>
              <w:rPr>
                <w:sz w:val="20"/>
                <w:szCs w:val="20"/>
              </w:rPr>
            </w:pPr>
            <w:r w:rsidRPr="00171531">
              <w:rPr>
                <w:sz w:val="20"/>
                <w:szCs w:val="20"/>
              </w:rPr>
              <w:t>8</w:t>
            </w:r>
          </w:p>
        </w:tc>
      </w:tr>
      <w:tr w:rsidR="00FB3D93" w:rsidRPr="00171531" w:rsidTr="001F6363">
        <w:tc>
          <w:tcPr>
            <w:tcW w:w="0" w:type="auto"/>
            <w:tcBorders>
              <w:top w:val="single" w:sz="4" w:space="0" w:color="auto"/>
              <w:left w:val="single" w:sz="12" w:space="0" w:color="auto"/>
              <w:bottom w:val="single" w:sz="4" w:space="0" w:color="auto"/>
              <w:right w:val="single" w:sz="4" w:space="0" w:color="auto"/>
            </w:tcBorders>
          </w:tcPr>
          <w:p w:rsidR="00672E54" w:rsidRPr="00171531" w:rsidRDefault="00672E54">
            <w:pPr>
              <w:pStyle w:val="Normlny0"/>
              <w:jc w:val="center"/>
            </w:pPr>
            <w:r w:rsidRPr="00171531">
              <w:t>Článok</w:t>
            </w:r>
          </w:p>
          <w:p w:rsidR="00672E54" w:rsidRPr="00171531" w:rsidRDefault="00672E54">
            <w:pPr>
              <w:pStyle w:val="Normlny0"/>
              <w:jc w:val="center"/>
            </w:pPr>
            <w:r w:rsidRPr="00171531">
              <w:t>(Č, O,</w:t>
            </w:r>
          </w:p>
          <w:p w:rsidR="00672E54" w:rsidRPr="00171531" w:rsidRDefault="00672E54">
            <w:pPr>
              <w:pStyle w:val="Normlny0"/>
              <w:jc w:val="center"/>
            </w:pPr>
            <w:r w:rsidRPr="00171531">
              <w:t>V, P)</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Text</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pStyle w:val="Normlny0"/>
              <w:jc w:val="center"/>
            </w:pPr>
            <w:r w:rsidRPr="00171531">
              <w:t>Spôsob transp.</w:t>
            </w:r>
          </w:p>
          <w:p w:rsidR="00672E54" w:rsidRPr="00171531" w:rsidRDefault="00672E54">
            <w:pPr>
              <w:pStyle w:val="Normlny0"/>
              <w:jc w:val="center"/>
            </w:pPr>
            <w:r w:rsidRPr="00171531">
              <w:t>(N, O, D, n.a.)</w:t>
            </w:r>
          </w:p>
        </w:tc>
        <w:tc>
          <w:tcPr>
            <w:tcW w:w="0" w:type="auto"/>
            <w:tcBorders>
              <w:top w:val="single" w:sz="4" w:space="0" w:color="auto"/>
              <w:left w:val="nil"/>
              <w:bottom w:val="single" w:sz="4" w:space="0" w:color="auto"/>
              <w:right w:val="single" w:sz="4" w:space="0" w:color="auto"/>
            </w:tcBorders>
          </w:tcPr>
          <w:p w:rsidR="00672E54" w:rsidRPr="00171531" w:rsidRDefault="00672E54">
            <w:pPr>
              <w:pStyle w:val="Normlny0"/>
              <w:jc w:val="center"/>
            </w:pPr>
            <w:r w:rsidRPr="00171531">
              <w:t>Číslo</w:t>
            </w:r>
          </w:p>
          <w:p w:rsidR="00672E54" w:rsidRPr="00171531" w:rsidRDefault="00672E54">
            <w:pPr>
              <w:pStyle w:val="Normlny0"/>
              <w:jc w:val="center"/>
            </w:pPr>
            <w:r w:rsidRPr="00171531">
              <w:t>predpisu</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Článok (Č, §, O, V, P)</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Text</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Zhoda</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pStyle w:val="Normlny0"/>
              <w:jc w:val="center"/>
            </w:pPr>
            <w:r w:rsidRPr="00171531">
              <w:t>Poznámky</w:t>
            </w: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20223B" w:rsidRDefault="0020223B" w:rsidP="009C4F67">
            <w:pPr>
              <w:autoSpaceDE/>
              <w:autoSpaceDN/>
              <w:rPr>
                <w:rFonts w:eastAsia="EUAlbertina-Italic-Identity-H"/>
                <w:iCs/>
                <w:sz w:val="20"/>
                <w:szCs w:val="20"/>
              </w:rPr>
            </w:pPr>
            <w:r w:rsidRPr="00AA7F3E">
              <w:rPr>
                <w:rFonts w:eastAsia="EUAlbertina-Italic-Identity-H"/>
                <w:iCs/>
                <w:sz w:val="20"/>
                <w:szCs w:val="20"/>
              </w:rPr>
              <w:t>PRÍLOHA III</w:t>
            </w:r>
          </w:p>
          <w:p w:rsidR="00F62F5A" w:rsidRDefault="00F62F5A" w:rsidP="009C4F67">
            <w:pPr>
              <w:autoSpaceDE/>
              <w:autoSpaceDN/>
              <w:rPr>
                <w:rFonts w:eastAsia="EUAlbertina-Italic-Identity-H"/>
                <w:iCs/>
                <w:sz w:val="20"/>
                <w:szCs w:val="20"/>
              </w:rPr>
            </w:pPr>
            <w:r>
              <w:rPr>
                <w:rFonts w:eastAsia="EUAlbertina-Italic-Identity-H"/>
                <w:iCs/>
                <w:sz w:val="20"/>
                <w:szCs w:val="20"/>
              </w:rPr>
              <w:t xml:space="preserve">Č: 1 </w:t>
            </w:r>
          </w:p>
          <w:p w:rsidR="00F62F5A" w:rsidRPr="00AA7F3E" w:rsidRDefault="00F62F5A" w:rsidP="009C4F67">
            <w:pPr>
              <w:autoSpaceDE/>
              <w:autoSpaceDN/>
              <w:rPr>
                <w:rFonts w:eastAsia="EUAlbertina-Italic-Identity-H"/>
                <w:iCs/>
                <w:sz w:val="20"/>
                <w:szCs w:val="20"/>
              </w:rPr>
            </w:pPr>
            <w:r>
              <w:rPr>
                <w:rFonts w:eastAsia="EUAlbertina-Italic-Identity-H"/>
                <w:iCs/>
                <w:sz w:val="20"/>
                <w:szCs w:val="20"/>
              </w:rPr>
              <w:t>O: 1</w:t>
            </w:r>
          </w:p>
          <w:p w:rsidR="0020223B" w:rsidRPr="00171531" w:rsidRDefault="0020223B" w:rsidP="00AA7F3E">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rsidP="009C4F67">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20223B" w:rsidRDefault="0020223B" w:rsidP="000F1FF0">
            <w:pPr>
              <w:numPr>
                <w:ilvl w:val="0"/>
                <w:numId w:val="19"/>
              </w:numPr>
              <w:autoSpaceDE/>
              <w:autoSpaceDN/>
              <w:rPr>
                <w:rFonts w:eastAsia="EUAlbertina-Regular-Identity-H"/>
                <w:sz w:val="20"/>
                <w:szCs w:val="20"/>
              </w:rPr>
            </w:pPr>
            <w:r w:rsidRPr="00171531">
              <w:rPr>
                <w:rFonts w:eastAsia="EUAlbertina-Regular-Identity-H"/>
                <w:sz w:val="20"/>
                <w:szCs w:val="20"/>
              </w:rPr>
              <w:t>Súčasťou týchto opatrení sú pravidlá týkajúce sa:</w:t>
            </w:r>
          </w:p>
          <w:p w:rsidR="000F1FF0" w:rsidRPr="00171531" w:rsidRDefault="000F1FF0" w:rsidP="000F1FF0">
            <w:pPr>
              <w:autoSpaceDE/>
              <w:autoSpaceDN/>
              <w:ind w:left="720"/>
              <w:rPr>
                <w:rFonts w:eastAsia="EUAlbertina-Regular-Identity-H"/>
                <w:sz w:val="20"/>
                <w:szCs w:val="20"/>
              </w:rPr>
            </w:pP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(1) období, keď je zakázaná aplikácia určitých typov hnojív na pôdu;</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Pr="00171531" w:rsidRDefault="0062624F">
            <w:pPr>
              <w:pStyle w:val="Normlny0"/>
              <w:jc w:val="center"/>
            </w:pPr>
            <w:r>
              <w:t>Zákon</w:t>
            </w:r>
            <w:r w:rsidR="0020223B" w:rsidRPr="00171531">
              <w:t xml:space="preserve"> </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62624F">
            <w:pPr>
              <w:pStyle w:val="Normlny0"/>
            </w:pPr>
          </w:p>
          <w:p w:rsidR="00AA7F3E" w:rsidRDefault="00AA7F3E">
            <w:pPr>
              <w:pStyle w:val="Normlny0"/>
              <w:jc w:val="center"/>
            </w:pPr>
          </w:p>
          <w:p w:rsidR="00AA7F3E" w:rsidRDefault="00AA7F3E">
            <w:pPr>
              <w:pStyle w:val="Normlny0"/>
              <w:jc w:val="center"/>
            </w:pPr>
          </w:p>
          <w:p w:rsidR="0020223B" w:rsidRPr="00AA7F3E" w:rsidRDefault="0062624F">
            <w:pPr>
              <w:pStyle w:val="Normlny0"/>
              <w:jc w:val="center"/>
              <w:rPr>
                <w:b/>
              </w:rPr>
            </w:pPr>
            <w:r w:rsidRPr="00AA7F3E">
              <w:rPr>
                <w:b/>
              </w:rPr>
              <w:t>Návrh zákona</w:t>
            </w:r>
          </w:p>
          <w:p w:rsidR="0020223B" w:rsidRPr="00AA7F3E" w:rsidRDefault="0020223B">
            <w:pPr>
              <w:pStyle w:val="Normlny0"/>
              <w:jc w:val="center"/>
              <w:rPr>
                <w:b/>
              </w:rP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36026D">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t xml:space="preserve">§: 10c </w:t>
            </w:r>
          </w:p>
          <w:p w:rsidR="0020223B" w:rsidRPr="00171531" w:rsidRDefault="0020223B">
            <w:pPr>
              <w:pStyle w:val="Normlny0"/>
              <w:jc w:val="center"/>
            </w:pPr>
            <w:r w:rsidRPr="00171531">
              <w:t>O: 1</w:t>
            </w: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62624F">
            <w:pPr>
              <w:pStyle w:val="Normlny0"/>
            </w:pPr>
          </w:p>
          <w:p w:rsidR="00AA7F3E" w:rsidRDefault="00AA7F3E">
            <w:pPr>
              <w:pStyle w:val="Normlny0"/>
              <w:jc w:val="center"/>
            </w:pPr>
          </w:p>
          <w:p w:rsidR="00AA7F3E" w:rsidRDefault="00AA7F3E">
            <w:pPr>
              <w:pStyle w:val="Normlny0"/>
              <w:jc w:val="center"/>
            </w:pPr>
          </w:p>
          <w:p w:rsidR="0020223B" w:rsidRPr="00CE4313" w:rsidRDefault="0020223B">
            <w:pPr>
              <w:pStyle w:val="Normlny0"/>
              <w:jc w:val="center"/>
            </w:pPr>
            <w:r w:rsidRPr="00CE4313">
              <w:t xml:space="preserve">§: 10c </w:t>
            </w:r>
          </w:p>
          <w:p w:rsidR="0020223B" w:rsidRPr="00CE4313" w:rsidRDefault="0020223B" w:rsidP="003A652B">
            <w:pPr>
              <w:pStyle w:val="Normlny0"/>
              <w:jc w:val="center"/>
            </w:pPr>
            <w:r w:rsidRPr="00CE4313">
              <w:t>O:2</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2C0DAB">
            <w:pPr>
              <w:pStyle w:val="Normlny0"/>
            </w:pPr>
          </w:p>
        </w:tc>
        <w:tc>
          <w:tcPr>
            <w:tcW w:w="0" w:type="auto"/>
            <w:tcBorders>
              <w:top w:val="single" w:sz="4" w:space="0" w:color="auto"/>
              <w:left w:val="single" w:sz="4" w:space="0" w:color="auto"/>
              <w:bottom w:val="single" w:sz="4" w:space="0" w:color="auto"/>
              <w:right w:val="single" w:sz="4" w:space="0" w:color="auto"/>
            </w:tcBorders>
          </w:tcPr>
          <w:p w:rsidR="007753ED" w:rsidRPr="00171531" w:rsidRDefault="00001BB6" w:rsidP="00253AFC">
            <w:pPr>
              <w:pStyle w:val="Normlny0"/>
            </w:pPr>
            <w:r w:rsidRPr="00001BB6">
              <w:t>Obhospodarovateľ je povinný dodržiavať zakázané obdobia uvedené v </w:t>
            </w:r>
            <w:hyperlink r:id="rId8" w:anchor="prilohy.priloha-priloha_c_1_az_8_k_zakonu_c_136_2000_z_z.oznacenie" w:tooltip="Odkaz na predpis alebo ustanovenie" w:history="1">
              <w:r w:rsidRPr="00001BB6">
                <w:t>prílohe č. 2</w:t>
              </w:r>
            </w:hyperlink>
            <w:r w:rsidRPr="00001BB6">
              <w:t>, ak odseky 2 až 11 neustanovujú inak. Zakázané obdobia sa nevzťahujú na výkaly a moč pasúcich sa zvierat a pri hnojení zakrytých plôch v skleníkoch a fóliovníkoch.</w:t>
            </w:r>
          </w:p>
          <w:p w:rsidR="00F62F5A" w:rsidRDefault="00F62F5A" w:rsidP="00F62F5A">
            <w:pPr>
              <w:pStyle w:val="Normlny0"/>
              <w:jc w:val="both"/>
            </w:pPr>
          </w:p>
          <w:p w:rsidR="00001BB6" w:rsidRDefault="00001BB6" w:rsidP="00F62F5A">
            <w:pPr>
              <w:pStyle w:val="Normlny0"/>
              <w:jc w:val="both"/>
              <w:rPr>
                <w:highlight w:val="yellow"/>
              </w:rPr>
            </w:pPr>
          </w:p>
          <w:p w:rsidR="0062624F" w:rsidRDefault="0020223B" w:rsidP="00F62F5A">
            <w:pPr>
              <w:pStyle w:val="Normlny0"/>
              <w:jc w:val="both"/>
            </w:pPr>
            <w:r w:rsidRPr="004C4FD7">
              <w:t>Obhospodarovateľ môže požiadať kontrolný ústav o udelenie výnimky zo zákazu podľa odseku 1. Kontrolný ústav môže udeliť výnimku zo zákazu podľa odseku 1 len na poľnohospodárskej pôde v zraniteľných oblastiach so svahovitosťou do 5° na obdobie 14 dní od začiatku zakázaného obdobia alebo 14 dní pred koncom zakázaného</w:t>
            </w:r>
            <w:r w:rsidR="001C6ED8" w:rsidRPr="004C4FD7">
              <w:t xml:space="preserve"> obdobia </w:t>
            </w:r>
            <w:r w:rsidR="001C6ED8" w:rsidRPr="004C4FD7">
              <w:rPr>
                <w:b/>
              </w:rPr>
              <w:t>alebo, ak ide o ornú pôdu zaradenú do nízkeho stupňa obmedzenia alebo stredného stupňa obmedzenia, na obdobie 28 dní od začiatku zakázaného obdobia alebo 14 dní pred koncom zakázaného obdobia pre aplikáciu kvapalných hospodárskych hnojív, akýchkoľvek hnojív z chovu hydiny a drobných hospodárskych zvierat, kvapalných hnojivých látok s organicky viazaným dusíkom a priemyselných hnojív s obsahom dusíka</w:t>
            </w:r>
            <w:r w:rsidR="001C6ED8" w:rsidRPr="004C4FD7">
              <w:t>,</w:t>
            </w:r>
            <w:r w:rsidRPr="004C4FD7">
              <w:t xml:space="preserve"> ak v tomto období nastane priaznivý vývoj klimatických podmienok a priemerná denná teplota vzduchu je na základe meteorologických predpovedí Slovenského hydrometeorologického ústavu vyššia ako 5° C s prognózou jej dlhšieho trvania. Žiadosť obhospodarovateľa o udelenie výnimky zo zákazu podľa odseku 1 sa eviduje v registračnom a informačnom systéme, ktorý vedie </w:t>
            </w:r>
            <w:r w:rsidR="00785411" w:rsidRPr="004C4FD7">
              <w:t xml:space="preserve">organizácia, </w:t>
            </w:r>
            <w:bookmarkStart w:id="0" w:name="_GoBack"/>
            <w:r w:rsidR="00785411" w:rsidRPr="004C4FD7">
              <w:t xml:space="preserve">ktorej </w:t>
            </w:r>
            <w:bookmarkEnd w:id="0"/>
            <w:r w:rsidR="00785411" w:rsidRPr="004C4FD7">
              <w:t>zriaďovateľom je ministerstvo.</w:t>
            </w:r>
            <w:r w:rsidR="00785411">
              <w:t xml:space="preserve"> </w:t>
            </w:r>
          </w:p>
          <w:p w:rsidR="00F62F5A" w:rsidRPr="00171531" w:rsidRDefault="00F62F5A" w:rsidP="00F62F5A">
            <w:pPr>
              <w:pStyle w:val="Normlny0"/>
              <w:jc w:val="both"/>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t>Ú</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AA7F3E" w:rsidRPr="00AA7F3E" w:rsidRDefault="00AA7F3E" w:rsidP="00AA7F3E">
            <w:pPr>
              <w:autoSpaceDE/>
              <w:autoSpaceDN/>
              <w:rPr>
                <w:rFonts w:eastAsia="EUAlbertina-Italic-Identity-H"/>
                <w:iCs/>
                <w:sz w:val="20"/>
                <w:szCs w:val="20"/>
              </w:rPr>
            </w:pPr>
            <w:r w:rsidRPr="00AA7F3E">
              <w:rPr>
                <w:rFonts w:eastAsia="EUAlbertina-Italic-Identity-H"/>
                <w:iCs/>
                <w:sz w:val="20"/>
                <w:szCs w:val="20"/>
              </w:rPr>
              <w:lastRenderedPageBreak/>
              <w:t>PRÍLOHA III</w:t>
            </w:r>
          </w:p>
          <w:p w:rsidR="0020223B" w:rsidRDefault="00F62F5A" w:rsidP="00AA7F3E">
            <w:pPr>
              <w:pStyle w:val="Normlny0"/>
            </w:pPr>
            <w:r>
              <w:t xml:space="preserve">Č: 1 </w:t>
            </w:r>
          </w:p>
          <w:p w:rsidR="00F62F5A" w:rsidRPr="00171531" w:rsidRDefault="00F62F5A" w:rsidP="00AA7F3E">
            <w:pPr>
              <w:pStyle w:val="Normlny0"/>
            </w:pPr>
            <w:r>
              <w:t xml:space="preserve">O: 2 </w:t>
            </w:r>
          </w:p>
        </w:tc>
        <w:tc>
          <w:tcPr>
            <w:tcW w:w="0" w:type="auto"/>
            <w:tcBorders>
              <w:top w:val="single" w:sz="4" w:space="0" w:color="auto"/>
              <w:left w:val="single" w:sz="4" w:space="0" w:color="auto"/>
              <w:bottom w:val="single" w:sz="4" w:space="0" w:color="auto"/>
              <w:right w:val="single" w:sz="4" w:space="0" w:color="auto"/>
            </w:tcBorders>
          </w:tcPr>
          <w:p w:rsidR="00F62F5A" w:rsidRPr="00171531" w:rsidRDefault="00F62F5A" w:rsidP="00F62F5A">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F62F5A" w:rsidRDefault="00F62F5A" w:rsidP="008B3077">
            <w:pPr>
              <w:numPr>
                <w:ilvl w:val="0"/>
                <w:numId w:val="18"/>
              </w:numPr>
              <w:autoSpaceDE/>
              <w:autoSpaceDN/>
              <w:rPr>
                <w:rFonts w:eastAsia="EUAlbertina-Regular-Identity-H"/>
                <w:sz w:val="20"/>
                <w:szCs w:val="20"/>
              </w:rPr>
            </w:pPr>
            <w:r w:rsidRPr="00171531">
              <w:rPr>
                <w:rFonts w:eastAsia="EUAlbertina-Regular-Identity-H"/>
                <w:sz w:val="20"/>
                <w:szCs w:val="20"/>
              </w:rPr>
              <w:t>Súčasťou týchto opatrení sú pravidlá týkajúce sa:</w:t>
            </w:r>
          </w:p>
          <w:p w:rsidR="008B3077" w:rsidRDefault="008B3077" w:rsidP="008B3077">
            <w:pPr>
              <w:autoSpaceDE/>
              <w:autoSpaceDN/>
              <w:rPr>
                <w:rFonts w:eastAsia="EUAlbertina-Regular-Identity-H"/>
                <w:sz w:val="20"/>
                <w:szCs w:val="20"/>
              </w:rPr>
            </w:pPr>
          </w:p>
          <w:p w:rsidR="0020223B" w:rsidRPr="00171531" w:rsidRDefault="000F1FF0" w:rsidP="007E2F20">
            <w:pPr>
              <w:autoSpaceDE/>
              <w:autoSpaceDN/>
              <w:rPr>
                <w:rFonts w:eastAsia="EUAlbertina-Regular-Identity-H"/>
                <w:sz w:val="20"/>
                <w:szCs w:val="20"/>
              </w:rPr>
            </w:pPr>
            <w:r>
              <w:rPr>
                <w:rFonts w:eastAsia="EUAlbertina-Regular-Identity-H"/>
                <w:sz w:val="20"/>
                <w:szCs w:val="20"/>
              </w:rPr>
              <w:t>(</w:t>
            </w:r>
            <w:r w:rsidR="0020223B" w:rsidRPr="00171531">
              <w:rPr>
                <w:rFonts w:eastAsia="EUAlbertina-Regular-Identity-H"/>
                <w:sz w:val="20"/>
                <w:szCs w:val="20"/>
              </w:rPr>
              <w:t>2) kapacity zásobníkov na skladovanie maštaľného hnoja; táto kapacita musí byť väčšia ako kapacita požadovaná</w:t>
            </w:r>
            <w:r w:rsidR="0020223B" w:rsidRPr="00171531">
              <w:rPr>
                <w:sz w:val="20"/>
                <w:szCs w:val="20"/>
              </w:rPr>
              <w:t xml:space="preserve"> </w:t>
            </w:r>
            <w:r w:rsidR="0020223B" w:rsidRPr="00171531">
              <w:rPr>
                <w:rFonts w:eastAsia="EUAlbertina-Regular-Identity-H"/>
                <w:sz w:val="20"/>
                <w:szCs w:val="20"/>
              </w:rPr>
              <w:t>na skladovanie počas najdlhšieho obdobia, v ktorom je aplikácia na pôdu v ochranných pásmach zakázaná,</w:t>
            </w:r>
            <w:r w:rsidR="0020223B" w:rsidRPr="00171531">
              <w:rPr>
                <w:sz w:val="20"/>
                <w:szCs w:val="20"/>
              </w:rPr>
              <w:t xml:space="preserve"> </w:t>
            </w:r>
            <w:r w:rsidR="0020223B" w:rsidRPr="00171531">
              <w:rPr>
                <w:rFonts w:eastAsia="EUAlbertina-Regular-Identity-H"/>
                <w:sz w:val="20"/>
                <w:szCs w:val="20"/>
              </w:rPr>
              <w:t>s výnimkou prípadov, keď sa dá príslušnému orgánu preukázať, že akékoľvek množstvo hnoja prevyšujúce</w:t>
            </w:r>
            <w:r w:rsidR="0020223B" w:rsidRPr="00171531">
              <w:rPr>
                <w:sz w:val="20"/>
                <w:szCs w:val="20"/>
              </w:rPr>
              <w:t xml:space="preserve"> </w:t>
            </w:r>
            <w:r w:rsidR="0020223B" w:rsidRPr="00171531">
              <w:rPr>
                <w:rFonts w:eastAsia="EUAlbertina-Regular-Identity-H"/>
                <w:sz w:val="20"/>
                <w:szCs w:val="20"/>
              </w:rPr>
              <w:t>skutočnú skladovaciu kapacitu sa bude likvidovať spôsobom, ktorý nepoškodí životné prostredie;</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Default="00785411">
            <w:pPr>
              <w:pStyle w:val="Normlny0"/>
              <w:jc w:val="center"/>
            </w:pPr>
            <w:r>
              <w:t>Zákon</w:t>
            </w: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F62F5A" w:rsidRPr="00171531" w:rsidRDefault="00F62F5A">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 xml:space="preserve">§: 10b </w:t>
            </w:r>
          </w:p>
          <w:p w:rsidR="0020223B" w:rsidRPr="00171531" w:rsidRDefault="0020223B">
            <w:pPr>
              <w:pStyle w:val="Normlny0"/>
              <w:jc w:val="center"/>
            </w:pPr>
            <w:r w:rsidRPr="00171531">
              <w:t>O: 1</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F62F5A" w:rsidRDefault="00F62F5A" w:rsidP="005A09DB">
            <w:pPr>
              <w:pStyle w:val="Normlny0"/>
            </w:pPr>
          </w:p>
          <w:p w:rsidR="00F62F5A" w:rsidRDefault="00F62F5A" w:rsidP="005A09DB">
            <w:pPr>
              <w:pStyle w:val="Normlny0"/>
            </w:pPr>
          </w:p>
          <w:p w:rsidR="0020223B" w:rsidRPr="00171531" w:rsidRDefault="0020223B" w:rsidP="005A09DB">
            <w:pPr>
              <w:pStyle w:val="Normlny0"/>
            </w:pPr>
            <w:r w:rsidRPr="00171531">
              <w:t>§: 10b O:2</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8B3077">
            <w:pPr>
              <w:pStyle w:val="Normlny0"/>
            </w:pPr>
            <w:r w:rsidRPr="00171531">
              <w:t>§: 10b O:3</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F62F5A" w:rsidRDefault="00F62F5A">
            <w:pPr>
              <w:pStyle w:val="Normlny0"/>
              <w:jc w:val="center"/>
            </w:pPr>
          </w:p>
          <w:p w:rsidR="0020223B" w:rsidRPr="00171531" w:rsidRDefault="0020223B" w:rsidP="008B3077">
            <w:pPr>
              <w:pStyle w:val="Normlny0"/>
            </w:pPr>
            <w:r w:rsidRPr="00171531">
              <w:t>§: 10b O:4</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20223B" w:rsidRPr="00171531" w:rsidRDefault="0020223B" w:rsidP="008B3077">
            <w:pPr>
              <w:pStyle w:val="Normlny0"/>
            </w:pPr>
            <w:r w:rsidRPr="00171531">
              <w:t>§: 10b O:5</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C20DD5">
            <w:pPr>
              <w:pStyle w:val="Normlny0"/>
            </w:pPr>
            <w:r w:rsidRPr="00171531">
              <w:t xml:space="preserve"> </w:t>
            </w:r>
          </w:p>
        </w:tc>
        <w:tc>
          <w:tcPr>
            <w:tcW w:w="0" w:type="auto"/>
            <w:tcBorders>
              <w:top w:val="single" w:sz="4" w:space="0" w:color="auto"/>
              <w:left w:val="single" w:sz="4" w:space="0" w:color="auto"/>
              <w:bottom w:val="single" w:sz="4" w:space="0" w:color="auto"/>
              <w:right w:val="single" w:sz="4" w:space="0" w:color="auto"/>
            </w:tcBorders>
          </w:tcPr>
          <w:p w:rsidR="00F62F5A" w:rsidRPr="00200752" w:rsidRDefault="00001BB6" w:rsidP="008B3077">
            <w:pPr>
              <w:shd w:val="clear" w:color="auto" w:fill="FFFFFF"/>
              <w:autoSpaceDE/>
              <w:autoSpaceDN/>
              <w:jc w:val="both"/>
              <w:rPr>
                <w:sz w:val="20"/>
                <w:szCs w:val="20"/>
                <w:lang w:eastAsia="en-US"/>
              </w:rPr>
            </w:pPr>
            <w:r w:rsidRPr="00001BB6">
              <w:rPr>
                <w:sz w:val="20"/>
                <w:szCs w:val="20"/>
                <w:lang w:eastAsia="en-US"/>
              </w:rPr>
              <w:lastRenderedPageBreak/>
              <w:t>Fyzická osoba – podnikateľ a právnická osoba, ktorá obhospodaruje poľnohospodársku pôdu podľa </w:t>
            </w:r>
            <w:hyperlink r:id="rId9" w:anchor="paragraf-2.odsek-1.pismeno-u" w:tooltip="Odkaz na predpis alebo ustanovenie" w:history="1">
              <w:r w:rsidRPr="00001BB6">
                <w:rPr>
                  <w:sz w:val="20"/>
                  <w:szCs w:val="20"/>
                  <w:lang w:eastAsia="en-US"/>
                </w:rPr>
                <w:t>§ 2 písm. u)</w:t>
              </w:r>
            </w:hyperlink>
            <w:r w:rsidRPr="00001BB6">
              <w:rPr>
                <w:sz w:val="20"/>
                <w:szCs w:val="20"/>
                <w:lang w:eastAsia="en-US"/>
              </w:rPr>
              <w:t>, alebo fyzická osoba – podnikateľ a právnická osoba, ktorá obhospodaruje poľnohospodársku pôdu podľa </w:t>
            </w:r>
            <w:hyperlink r:id="rId10" w:anchor="paragraf-2.odsek-1.pismeno-u" w:tooltip="Odkaz na predpis alebo ustanovenie" w:history="1">
              <w:r w:rsidRPr="00001BB6">
                <w:rPr>
                  <w:sz w:val="20"/>
                  <w:szCs w:val="20"/>
                  <w:lang w:eastAsia="en-US"/>
                </w:rPr>
                <w:t>§ 2 písm. u)</w:t>
              </w:r>
            </w:hyperlink>
            <w:r w:rsidRPr="00001BB6">
              <w:rPr>
                <w:sz w:val="20"/>
                <w:szCs w:val="20"/>
                <w:lang w:eastAsia="en-US"/>
              </w:rPr>
              <w:t> a chová zvieratá, (ďalej len „obhospodarovateľ“) je povinná mať vybudované skladovacie kapacity nádrží na kvapalné hospodárske hnojivá a na skladovanie maštaľného hnoja na technicky spevnených plochách</w:t>
            </w:r>
            <w:hyperlink r:id="rId11" w:anchor="poznamky.poznamka-7c" w:tooltip="Odkaz na predpis alebo ustanovenie" w:history="1">
              <w:r w:rsidRPr="00001BB6">
                <w:rPr>
                  <w:sz w:val="20"/>
                  <w:szCs w:val="20"/>
                  <w:lang w:eastAsia="en-US"/>
                </w:rPr>
                <w:t>7c)</w:t>
              </w:r>
            </w:hyperlink>
            <w:r w:rsidRPr="00001BB6">
              <w:rPr>
                <w:sz w:val="20"/>
                <w:szCs w:val="20"/>
                <w:lang w:eastAsia="en-US"/>
              </w:rPr>
              <w:t> v zraniteľných oblastiach najmenej na šesťmesačnú produkciu. Potreba skladovacích nádrží na maštaľný hnoj, močovku a hnojovicu na šesť mesiacov pre jedno zviera je uvedená v </w:t>
            </w:r>
            <w:hyperlink r:id="rId12" w:anchor="prilohy.priloha-priloha_c_1_az_8_k_zakonu_c_136_2000_z_z.oznacenie" w:tooltip="Odkaz na predpis alebo ustanovenie" w:history="1">
              <w:r w:rsidRPr="00001BB6">
                <w:rPr>
                  <w:sz w:val="20"/>
                  <w:szCs w:val="20"/>
                  <w:lang w:eastAsia="en-US"/>
                </w:rPr>
                <w:t>prílohe č. 1</w:t>
              </w:r>
            </w:hyperlink>
            <w:r w:rsidRPr="00001BB6">
              <w:rPr>
                <w:sz w:val="20"/>
                <w:szCs w:val="20"/>
                <w:lang w:eastAsia="en-US"/>
              </w:rPr>
              <w:t>. Ak obhospodarovateľ nemá vybudované skladovacie kapacity podľa prvej vety, môže zabezpečiť uskladnenie kvapalných hospodárskych hnojív a maštaľného hnoja v skladovacích nádržiach alebo na spevnených plochách u inej osoby alebo ich odovzdať na iné využitie, najviac však v objeme zodpovedajúcom trojmesačnej skladovacej kapacite. Obhospodarovateľ je povinný spôsob nakladania s kvapalnými hospodárskymi hnojivami a maštaľným hnojom preukázať a oznámiť kontrolnému ústavu do 15 dní na tlačive, ktorého vzor je zverejnený na webovom sídle kontrolného ústavu.</w:t>
            </w:r>
          </w:p>
          <w:p w:rsidR="00F62F5A" w:rsidRPr="00200752" w:rsidRDefault="00F62F5A" w:rsidP="008B3077">
            <w:pPr>
              <w:shd w:val="clear" w:color="auto" w:fill="FFFFFF"/>
              <w:autoSpaceDE/>
              <w:autoSpaceDN/>
              <w:jc w:val="both"/>
              <w:rPr>
                <w:sz w:val="20"/>
                <w:szCs w:val="20"/>
                <w:lang w:eastAsia="en-US"/>
              </w:rPr>
            </w:pPr>
          </w:p>
          <w:p w:rsidR="00001BB6" w:rsidRDefault="00001BB6"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je povinný zabezpečiť, aby skladovacie nádrže kvapalných hospodárskych hnojív boli nepriepustné a vybavené bezpečnostným mechanizmom proti preplneniu a zabezpečené proti prítoku povrchových vôd.</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môže tuhé hospodárske hnojivá a kompost voľne skladovať na poľnohospodárskej pôde v zraniteľných oblastiach (ďalej len „voľná skládka“) len vtedy, ak</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a) poľnohospodárska pôda je zaradená v nízkom stupni alebo strednom stupni obmedzenia,</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b) vzdialenosť voľnej skládky od povrchového vodného zdroja je najmenej 100 m pri svahovitosti parcely do 3°.</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je pri skladovaní tuhých hospodárskych hnojív a kompostu na voľnej skládke povinný</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a) zabezpečiť, aby nedošlo k znečisteniu povrchových vôd alebo podzemných vôd,</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lastRenderedPageBreak/>
              <w:t>b) uskutočniť vývoz maštaľného hnoja z pevnej podložky na voľnú skládku najskôr po troch mesiacoch od poslednej navážky; to sa nevzťahuje na tuhé hospodárske hnojivá z hlbokých podstielok, pri stelivových prevádzkach s kanalizáciou na oddelenie močovky od maštaľného hnoja a z chovu zvierat bez produkcie močovky pri dennej spotrebe steliva vyššej ako 6 kg na dobytčiu jednotku na deň, o ktorej sa vedie evidencia o spotrebe podstielky a o počte chovaných zvierat a ktoré môžu byť uložené na poľnohospodárskej pôde bez nutnosti predchádzajúceho uskladnenia na pevných hnojiskách, pričom vývoz na voľnú skládku sa nesmie uskutočniť v období, v ktorom je používanie dusíkatých hnojivých látok v zraniteľných oblastiach zakázané podľa </w:t>
            </w:r>
            <w:hyperlink r:id="rId13" w:anchor="prilohy.priloha-priloha_c_1_az_8_k_zakonu_c_136_2000_z_z.text" w:tooltip="Odkaz na predpis alebo ustanovenie" w:history="1">
              <w:r w:rsidRPr="00200752">
                <w:rPr>
                  <w:sz w:val="20"/>
                  <w:szCs w:val="20"/>
                  <w:lang w:eastAsia="en-US"/>
                </w:rPr>
                <w:t>prílohy č. 2</w:t>
              </w:r>
            </w:hyperlink>
            <w:r w:rsidRPr="00200752">
              <w:rPr>
                <w:sz w:val="20"/>
                <w:szCs w:val="20"/>
                <w:lang w:eastAsia="en-US"/>
              </w:rPr>
              <w:t>,</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c)</w:t>
            </w:r>
            <w:r w:rsidR="008B3077" w:rsidRPr="00200752">
              <w:rPr>
                <w:sz w:val="20"/>
                <w:szCs w:val="20"/>
                <w:lang w:eastAsia="en-US"/>
              </w:rPr>
              <w:t xml:space="preserve"> </w:t>
            </w:r>
            <w:r w:rsidRPr="00200752">
              <w:rPr>
                <w:sz w:val="20"/>
                <w:szCs w:val="20"/>
                <w:lang w:eastAsia="en-US"/>
              </w:rPr>
              <w:t>spracovať voľnú skládku do ôsmich mesiacov od prvej navážky najneskôr však do začiatku obdobia, v ktorom je používanie dusíkatých hnojivých látok v zraniteľných oblastiach zakázané podľa </w:t>
            </w:r>
            <w:hyperlink r:id="rId14" w:anchor="prilohy.priloha-priloha_c_1_az_8_k_zakonu_c_136_2000_z_z.text" w:tooltip="Odkaz na predpis alebo ustanovenie" w:history="1">
              <w:r w:rsidRPr="00200752">
                <w:rPr>
                  <w:sz w:val="20"/>
                  <w:szCs w:val="20"/>
                  <w:lang w:eastAsia="en-US"/>
                </w:rPr>
                <w:t>prílohy č. 2</w:t>
              </w:r>
            </w:hyperlink>
            <w:r w:rsidRPr="00200752">
              <w:rPr>
                <w:sz w:val="20"/>
                <w:szCs w:val="20"/>
                <w:lang w:eastAsia="en-US"/>
              </w:rPr>
              <w:t>; opakované zriadenie voľnej skládky na tom istom mieste možno až po štyroch rokoch,</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d)</w:t>
            </w:r>
            <w:r w:rsidR="008B3077" w:rsidRPr="00200752">
              <w:rPr>
                <w:sz w:val="20"/>
                <w:szCs w:val="20"/>
                <w:lang w:eastAsia="en-US"/>
              </w:rPr>
              <w:t xml:space="preserve"> </w:t>
            </w:r>
            <w:r w:rsidRPr="00200752">
              <w:rPr>
                <w:sz w:val="20"/>
                <w:szCs w:val="20"/>
                <w:lang w:eastAsia="en-US"/>
              </w:rPr>
              <w:t>viesť evidenciu o mieste skladovania a prvej navážke hnoja a kompostu na voľnú skládku.</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Voľne skladovať tuhé hospodárske hnojivá bez spevnenej podložky je zakázané v zraniteľných oblastiach na poľnohospodárskej pôde</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a) s vysokým stupňom obmedzenia,</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b) trvalo zamokrenej,</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c)s hladinou podzemnej vody vyššou ako 0,6 m, a to aj dočasne,</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d) na svahu so sklonom väčším ako 3°,</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e)v inundačnom území vodného toku,</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f)na území v okolí odkrytých podzemných vôd, ak to určil orgán štátnej vodnej správy,</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g)na zrnitostne ľahkých pôdach.</w:t>
            </w:r>
          </w:p>
          <w:p w:rsidR="0020223B" w:rsidRPr="00200752" w:rsidRDefault="0020223B" w:rsidP="008B3077">
            <w:pPr>
              <w:shd w:val="clear" w:color="auto" w:fill="FFFFFF"/>
              <w:autoSpaceDE/>
              <w:autoSpaceDN/>
              <w:jc w:val="both"/>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Ú</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8B3077" w:rsidRPr="00AA7F3E" w:rsidRDefault="008B3077" w:rsidP="008B3077">
            <w:pPr>
              <w:autoSpaceDE/>
              <w:autoSpaceDN/>
              <w:rPr>
                <w:rFonts w:eastAsia="EUAlbertina-Italic-Identity-H"/>
                <w:iCs/>
                <w:sz w:val="20"/>
                <w:szCs w:val="20"/>
              </w:rPr>
            </w:pPr>
            <w:r w:rsidRPr="00AA7F3E">
              <w:rPr>
                <w:rFonts w:eastAsia="EUAlbertina-Italic-Identity-H"/>
                <w:iCs/>
                <w:sz w:val="20"/>
                <w:szCs w:val="20"/>
              </w:rPr>
              <w:t>PRÍLOHA III</w:t>
            </w:r>
          </w:p>
          <w:p w:rsidR="008B3077" w:rsidRDefault="008B3077" w:rsidP="008B3077">
            <w:pPr>
              <w:pStyle w:val="Normlny0"/>
            </w:pPr>
            <w:r>
              <w:t xml:space="preserve">Č: 1 </w:t>
            </w:r>
          </w:p>
          <w:p w:rsidR="0020223B" w:rsidRPr="00171531" w:rsidRDefault="008B3077" w:rsidP="008B3077">
            <w:pPr>
              <w:pStyle w:val="Normlny0"/>
            </w:pPr>
            <w:r>
              <w:t>O: 3</w:t>
            </w:r>
          </w:p>
        </w:tc>
        <w:tc>
          <w:tcPr>
            <w:tcW w:w="0" w:type="auto"/>
            <w:tcBorders>
              <w:top w:val="single" w:sz="4" w:space="0" w:color="auto"/>
              <w:left w:val="single" w:sz="4" w:space="0" w:color="auto"/>
              <w:bottom w:val="single" w:sz="4" w:space="0" w:color="auto"/>
              <w:right w:val="single" w:sz="4" w:space="0" w:color="auto"/>
            </w:tcBorders>
          </w:tcPr>
          <w:p w:rsidR="008B3077" w:rsidRPr="00171531" w:rsidRDefault="008B3077" w:rsidP="008B3077">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8B3077" w:rsidRDefault="008B3077" w:rsidP="008B3077">
            <w:pPr>
              <w:autoSpaceDE/>
              <w:autoSpaceDN/>
              <w:rPr>
                <w:rFonts w:eastAsia="EUAlbertina-Regular-Identity-H"/>
                <w:sz w:val="20"/>
                <w:szCs w:val="20"/>
              </w:rPr>
            </w:pPr>
            <w:r w:rsidRPr="00171531">
              <w:rPr>
                <w:rFonts w:eastAsia="EUAlbertina-Regular-Identity-H"/>
                <w:sz w:val="20"/>
                <w:szCs w:val="20"/>
              </w:rPr>
              <w:t>1. Súčasťou týchto opatrení sú pravidlá týkajúce sa:</w:t>
            </w:r>
          </w:p>
          <w:p w:rsidR="008B3077" w:rsidRDefault="0020223B" w:rsidP="009C4F67">
            <w:pPr>
              <w:autoSpaceDE/>
              <w:autoSpaceDN/>
              <w:rPr>
                <w:sz w:val="20"/>
                <w:szCs w:val="20"/>
              </w:rPr>
            </w:pPr>
            <w:r w:rsidRPr="00171531">
              <w:rPr>
                <w:sz w:val="20"/>
                <w:szCs w:val="20"/>
              </w:rPr>
              <w:t xml:space="preserve"> </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lastRenderedPageBreak/>
              <w:t>(3) obmedzenia aplikácie hnojív na pôdu, ktoré zodpovedá vhodným postupom v poľnohospodárstve a berie do úvahy charakteristiky daného ochranného pásma, a to najmä:</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a) pôdne podmienky, typ pôdy a sklon;</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b) klimatické podmienky, dažde a zavlažovanie;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c) využívanie pôdy a poľnohospodárske postupy vrátane systémov striedania plodín;</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pritom je potrebné zachovať rovnováhu medzi:</w:t>
            </w:r>
          </w:p>
          <w:p w:rsidR="0020223B" w:rsidRPr="00171531" w:rsidRDefault="0020223B" w:rsidP="0036026D">
            <w:pPr>
              <w:numPr>
                <w:ilvl w:val="0"/>
                <w:numId w:val="16"/>
              </w:numPr>
              <w:autoSpaceDE/>
              <w:autoSpaceDN/>
              <w:rPr>
                <w:rFonts w:eastAsia="EUAlbertina-Regular-Identity-H"/>
                <w:sz w:val="20"/>
                <w:szCs w:val="20"/>
              </w:rPr>
            </w:pPr>
            <w:r w:rsidRPr="00171531">
              <w:rPr>
                <w:rFonts w:eastAsia="EUAlbertina-Regular-Identity-H"/>
                <w:sz w:val="20"/>
                <w:szCs w:val="20"/>
              </w:rPr>
              <w:t>predpokladaným množstvom dusíka potrebným pre plodiny a</w:t>
            </w:r>
          </w:p>
          <w:p w:rsidR="0020223B" w:rsidRPr="00171531" w:rsidRDefault="0020223B" w:rsidP="009C4F67">
            <w:pPr>
              <w:numPr>
                <w:ilvl w:val="0"/>
                <w:numId w:val="16"/>
              </w:numPr>
              <w:autoSpaceDE/>
              <w:autoSpaceDN/>
              <w:rPr>
                <w:rFonts w:eastAsia="EUAlbertina-Regular-Identity-H"/>
                <w:sz w:val="20"/>
                <w:szCs w:val="20"/>
              </w:rPr>
            </w:pPr>
            <w:r w:rsidRPr="00171531">
              <w:rPr>
                <w:rFonts w:eastAsia="EUAlbertina-Regular-Identity-H"/>
                <w:sz w:val="20"/>
                <w:szCs w:val="20"/>
              </w:rPr>
              <w:t>zásobovaním plodín dusíkom získaným z pôdy a hnojenia, pričom úroveň tohto prísunu dusíka sa rovná:</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množstvu dusíka prítomnému v pôde v okamihu, keď ho plodina začína využívať v značnej miere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(prebytočné množstvá na konci zimy),</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prísunu dusíka prostredníctvom čistej mineralizácie zásob organického dusíka v pôde,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prísunu dusíkatých zlúčenín z maštaľného hnoja,</w:t>
            </w: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 prísunu dusíkatých zlúčenín z chemických a iných hnojív.</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lastRenderedPageBreak/>
              <w:t>N</w:t>
            </w:r>
          </w:p>
        </w:tc>
        <w:tc>
          <w:tcPr>
            <w:tcW w:w="0" w:type="auto"/>
            <w:tcBorders>
              <w:top w:val="single" w:sz="4" w:space="0" w:color="auto"/>
              <w:left w:val="nil"/>
              <w:bottom w:val="single" w:sz="4" w:space="0" w:color="auto"/>
              <w:right w:val="single" w:sz="4" w:space="0" w:color="auto"/>
            </w:tcBorders>
          </w:tcPr>
          <w:p w:rsidR="0020223B" w:rsidRDefault="00785411">
            <w:pPr>
              <w:pStyle w:val="Normlny0"/>
              <w:jc w:val="center"/>
            </w:pPr>
            <w:r>
              <w:t>Zákon</w:t>
            </w: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5C77FF" w:rsidRDefault="006D77D3">
            <w:pPr>
              <w:pStyle w:val="Normlny0"/>
              <w:jc w:val="center"/>
            </w:pPr>
            <w:r>
              <w:t>Zákon</w:t>
            </w: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6D77D3" w:rsidRPr="00171531" w:rsidRDefault="005C77FF">
            <w:pPr>
              <w:pStyle w:val="Normlny0"/>
              <w:jc w:val="center"/>
            </w:pPr>
            <w:r>
              <w:t>Zákon</w:t>
            </w:r>
            <w:r w:rsidR="006D77D3">
              <w:t xml:space="preserve"> </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§:10c O:3</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Default="006D77D3">
            <w:pPr>
              <w:pStyle w:val="Normlny0"/>
              <w:jc w:val="center"/>
            </w:pPr>
            <w:r>
              <w:t>§ 10c</w:t>
            </w:r>
          </w:p>
          <w:p w:rsidR="006D77D3" w:rsidRPr="00171531" w:rsidRDefault="006D77D3">
            <w:pPr>
              <w:pStyle w:val="Normlny0"/>
              <w:jc w:val="center"/>
            </w:pPr>
            <w:r>
              <w:t>O:4</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1F1775">
            <w:pPr>
              <w:pStyle w:val="Normlny0"/>
            </w:pPr>
            <w:r w:rsidRPr="00171531">
              <w:t>§: 10c O: 6</w:t>
            </w: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rsidP="00253AFC">
            <w:pPr>
              <w:pStyle w:val="Normlny0"/>
            </w:pPr>
            <w:r w:rsidRPr="00171531">
              <w:lastRenderedPageBreak/>
              <w:t xml:space="preserve">Obhospodarovateľ môže použiť dusíkaté hnojivé látky </w:t>
            </w:r>
          </w:p>
          <w:p w:rsidR="0020223B" w:rsidRPr="00171531" w:rsidRDefault="0020223B" w:rsidP="00253AFC">
            <w:pPr>
              <w:pStyle w:val="Normlny0"/>
            </w:pPr>
            <w:r w:rsidRPr="00171531">
              <w:t xml:space="preserve">a) na pôde bez vegetačného krytu bezprostredným zaoraním, ak ide o tuhé hnojivá, a podpovrchovou aplikáciou, ak ide o kvapalné hnojivá, pri hospodárení na odvodnených územiach s funkčným melioračným </w:t>
            </w:r>
            <w:r w:rsidRPr="00171531">
              <w:lastRenderedPageBreak/>
              <w:t>systémom spôsobom, ktorý zodpovedá vysokému stupňu obmedzenia,</w:t>
            </w:r>
          </w:p>
          <w:p w:rsidR="0020223B" w:rsidRDefault="0020223B" w:rsidP="00253AFC">
            <w:pPr>
              <w:pStyle w:val="Normlny0"/>
            </w:pPr>
            <w:r w:rsidRPr="00171531">
              <w:t>b) ak dodrží dávky dusíka pre jednotlivé plodiny</w:t>
            </w:r>
            <w:r w:rsidR="008B3077">
              <w:t xml:space="preserve"> </w:t>
            </w:r>
            <w:r w:rsidR="008B3077" w:rsidRPr="008B3077">
              <w:t>podľa ich potreby živín, ktorá je uvedená</w:t>
            </w:r>
            <w:r w:rsidRPr="00171531">
              <w:t>, v prílohe č. 3.</w:t>
            </w:r>
          </w:p>
          <w:p w:rsidR="006D77D3" w:rsidRPr="00171531" w:rsidRDefault="006D77D3" w:rsidP="00253AFC">
            <w:pPr>
              <w:pStyle w:val="Normlny0"/>
            </w:pPr>
          </w:p>
          <w:p w:rsidR="0020223B" w:rsidRPr="00171531" w:rsidRDefault="0020223B" w:rsidP="00253AFC">
            <w:pPr>
              <w:pStyle w:val="Normlny0"/>
            </w:pPr>
            <w:r w:rsidRPr="00171531">
              <w:t>Obhospodarovateľ je povinný dodržiavať celkové dávky dusíka v minerálnych hnojivách pri zohľadnení množstva využiteľného dusíka z použitých hospodárskych hnojív a hnojivých látok s organick</w:t>
            </w:r>
            <w:r w:rsidR="006D77D3">
              <w:t>y viazaným dusíkom podľa príloh</w:t>
            </w:r>
            <w:r w:rsidRPr="00171531">
              <w:t xml:space="preserve"> č. 4 až 6.</w:t>
            </w:r>
          </w:p>
          <w:p w:rsidR="0020223B" w:rsidRPr="00171531" w:rsidRDefault="0020223B" w:rsidP="00253AFC">
            <w:pPr>
              <w:rPr>
                <w:sz w:val="20"/>
                <w:szCs w:val="20"/>
                <w:lang w:eastAsia="en-US"/>
              </w:rPr>
            </w:pP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Obhospodarovateľ môže</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a) použiť najviac 40 kg/ha dusíka vo forme kvapalných a tuhých minerálnych hnojív a 80 kg/ha dusíka vo forme kvapalných hospodárskych hnojív a kvapalných hnojivých látok s organicky viazaným dusíkom s prihliadnutím na príjmovú kapacitu plodín v jesennom období a zníženie rizika strát dusíka do vodných zdrojov v čase po zbere plodín do začiatku zakázaného obdobia; to sa nevzťahuje na maštaľný hnoj a iné tuhé hnojivá s organicky viazaným dusíkom, ktoré možno použiť aj pod jarné plodiny,</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b) použiť v jarnom období najvyššiu jednorazovú dávku dusíka z kvapalných a tuhých minerálnych hnojív 60 kg/ha na poľnohospodárskej pôde v nízkom a strednom stupni obmedzenia a 40 kg/ha na poľnohospodárskej pôde vo vysokom stupni obmedzenia; pri plodinách náročných na dusík, najmä kukurici na zrno, repke olejnej alebo hlúbovej zelenine, pestovaných na pozemkoch so svahovitosťou do 5° možno jednorazovú dávku dusíka zvýšiť o 50 % okrem poľnohospodárskej pôdy vo vysokom stupni obmedzenia,</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c) aplikovať vyzretý kompostovaný hnoj, najmä rozdrvený hnoj od oviec na povrch trávneho porastu plošným rozmetaním v jarnom období.</w:t>
            </w:r>
          </w:p>
          <w:p w:rsidR="0020223B" w:rsidRPr="00171531" w:rsidRDefault="0020223B" w:rsidP="001F1775">
            <w:pP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6D77D3" w:rsidRPr="00AA7F3E" w:rsidRDefault="006D77D3" w:rsidP="006D77D3">
            <w:pPr>
              <w:autoSpaceDE/>
              <w:autoSpaceDN/>
              <w:rPr>
                <w:rFonts w:eastAsia="EUAlbertina-Italic-Identity-H"/>
                <w:iCs/>
                <w:sz w:val="20"/>
                <w:szCs w:val="20"/>
              </w:rPr>
            </w:pPr>
            <w:r w:rsidRPr="00AA7F3E">
              <w:rPr>
                <w:rFonts w:eastAsia="EUAlbertina-Italic-Identity-H"/>
                <w:iCs/>
                <w:sz w:val="20"/>
                <w:szCs w:val="20"/>
              </w:rPr>
              <w:t>PRÍLOHA III</w:t>
            </w:r>
          </w:p>
          <w:p w:rsidR="006D77D3" w:rsidRDefault="006D77D3" w:rsidP="006D77D3">
            <w:pPr>
              <w:pStyle w:val="Normlny0"/>
            </w:pPr>
            <w:r>
              <w:t>Č: 2</w:t>
            </w:r>
          </w:p>
          <w:p w:rsidR="0020223B" w:rsidRPr="00171531" w:rsidRDefault="0020223B" w:rsidP="006D77D3">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575F69" w:rsidRPr="00171531" w:rsidRDefault="00575F69" w:rsidP="00575F69">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575F69" w:rsidRDefault="00575F69" w:rsidP="009C4F67">
            <w:pPr>
              <w:autoSpaceDE/>
              <w:autoSpaceDN/>
              <w:rPr>
                <w:rFonts w:eastAsia="EUAlbertina-Regular-Identity-H"/>
                <w:sz w:val="20"/>
                <w:szCs w:val="20"/>
              </w:rPr>
            </w:pP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2. Cieľom týchto opatrení je zabezpečiť vo vzťahu ku každému poľnohospodárskemu podniku alebo k určitému množstvu dobytka, aby množstvo maštaľného hnojiva aplikovaného každoročne na pôdu, vrátane toho, ktoré sa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na ňu dostane priamo od zvierat, neprekročilo množstvo stanovené na hektár.</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lastRenderedPageBreak/>
              <w:t>Množstvom stanoveným na hektár je množstvo hnoja obsahujúce 170 kg dusíka. Avšak:</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a) v prvom štvorročnom akčnom programe môžu členské štáty povoliť množstvo hnoja obsahujúceho do</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210 kg dusíka;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b) počas a po skončení prvého štvorročného akčného programu môžu členské štáty stanoviť iné množstvá ako tie, ktoré sú uvedené vyššie. Tieto množstvá musia byť stanovené tak, aby to nemalo vplyv na dosiahnutie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cieľov špecifikovaných v článku 1, pričom musia byť zdôvodnené na základe objektívnych kritérií, napríklad:</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dlhé obdobia rastu,</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plodiny s vysokou absorpciou dusíka,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vysoká čistá zrážkovosť daného ohrozeného pásma,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pôdy s mimoriadne vysokou schopnosťou denitrifikácie.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V prípade, že členský štát povolí iné množstvo podľa písm. b), informuje o tom Komisiu, ktorá preskúma</w:t>
            </w: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oprávnenosť tohto povolenia v súlade s postupom stanoveným v článku 9.</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lastRenderedPageBreak/>
              <w:t>N</w:t>
            </w:r>
          </w:p>
        </w:tc>
        <w:tc>
          <w:tcPr>
            <w:tcW w:w="0" w:type="auto"/>
            <w:tcBorders>
              <w:top w:val="single" w:sz="4" w:space="0" w:color="auto"/>
              <w:left w:val="nil"/>
              <w:bottom w:val="single" w:sz="4" w:space="0" w:color="auto"/>
              <w:right w:val="single" w:sz="4" w:space="0" w:color="auto"/>
            </w:tcBorders>
          </w:tcPr>
          <w:p w:rsidR="0020223B" w:rsidRPr="00171531" w:rsidRDefault="00785411">
            <w:pPr>
              <w:pStyle w:val="Normlny0"/>
              <w:jc w:val="center"/>
            </w:pPr>
            <w:r>
              <w:t>Zákon</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B26687">
            <w:pPr>
              <w:pStyle w:val="Normlny0"/>
            </w:pPr>
          </w:p>
          <w:p w:rsidR="0020223B" w:rsidRPr="00171531" w:rsidRDefault="0020223B" w:rsidP="00C06FDF">
            <w:pPr>
              <w:pStyle w:val="Normlny0"/>
              <w:jc w:val="center"/>
            </w:pPr>
            <w:r w:rsidRPr="00171531">
              <w:t>§: 10c O:7</w:t>
            </w:r>
          </w:p>
          <w:p w:rsidR="0020223B" w:rsidRPr="00171531" w:rsidRDefault="0020223B" w:rsidP="00C06FDF">
            <w:pPr>
              <w:pStyle w:val="Normlny0"/>
              <w:jc w:val="center"/>
            </w:pPr>
            <w:r w:rsidRPr="00171531">
              <w:t>P: e)</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575F69">
            <w:pPr>
              <w:pStyle w:val="Normlny0"/>
            </w:pPr>
            <w:r>
              <w:t xml:space="preserve">Obhospodarovateľ je povinný </w:t>
            </w:r>
          </w:p>
          <w:p w:rsidR="0020223B" w:rsidRPr="00171531" w:rsidRDefault="00B26687" w:rsidP="00575F69">
            <w:pPr>
              <w:pStyle w:val="Normlny0"/>
            </w:pPr>
            <w:r>
              <w:t xml:space="preserve">e) </w:t>
            </w:r>
            <w:r w:rsidR="005C77FF" w:rsidRPr="005C77FF">
              <w:t>dodržiavať dávky dusíka aplikovaného vo forme hospodárskych hnojív tak, aby neprevýšili dávku dusíka 170 kg/ha za hospodársky rok, pričom do tohto limitu sa započítavajú aj exkrementy zvierat na pasienku a nezapočítava sa dusík pozberových zvyškov rastlín alebo vedľajších produktov plodín, ak boli zaorané do poľnohospodárskej pôdy; produkcia dusíka jedným zvieraťom za kalendárny rok je uvedená v </w:t>
            </w:r>
            <w:hyperlink r:id="rId15" w:anchor="prilohy.priloha-priloha_c_1_az_8_k_zakonu_c_136_2000_z_z.oznacenie" w:tooltip="Odkaz na predpis alebo ustanovenie" w:history="1">
              <w:r w:rsidR="005C77FF" w:rsidRPr="005C77FF">
                <w:t>prílohe č. 4</w:t>
              </w:r>
            </w:hyperlink>
            <w:r w:rsidR="005C77FF" w:rsidRPr="005C77FF">
              <w:t xml:space="preserve">, obsah živín v hospodárskych hnojivách je uvedený </w:t>
            </w:r>
            <w:r w:rsidR="005C77FF" w:rsidRPr="005C77FF">
              <w:lastRenderedPageBreak/>
              <w:t>v </w:t>
            </w:r>
            <w:hyperlink r:id="rId16" w:anchor="prilohy.priloha-priloha_c_1_az_8_k_zakonu_c_136_2000_z_z.oznacenie" w:tooltip="Odkaz na predpis alebo ustanovenie" w:history="1">
              <w:r w:rsidR="005C77FF" w:rsidRPr="005C77FF">
                <w:t>prílohe č. 5</w:t>
              </w:r>
            </w:hyperlink>
            <w:r w:rsidR="005C77FF" w:rsidRPr="005C77FF">
              <w:t>, pričom hodnoty v nej uvedené platia, ak analytický rozbor vykonaný akreditovanou osobou</w:t>
            </w:r>
            <w:hyperlink r:id="rId17" w:anchor="poznamky.poznamka-7d" w:tooltip="Odkaz na predpis alebo ustanovenie" w:history="1">
              <w:r w:rsidR="005C77FF" w:rsidRPr="005C77FF">
                <w:t>7d)</w:t>
              </w:r>
            </w:hyperlink>
            <w:r w:rsidR="005C77FF" w:rsidRPr="005C77FF">
              <w:t> nepreukáže iné hodnoty obsahu dusíka v hospodárskom hnojive, a limitné dávky dusíka pri jednotlivých plodinách sú uvedené v </w:t>
            </w:r>
            <w:hyperlink r:id="rId18" w:anchor="prilohy.priloha-priloha_c_1_az_8_k_zakonu_c_136_2000_z_z.oznacenie" w:tooltip="Odkaz na predpis alebo ustanovenie" w:history="1">
              <w:r w:rsidR="005C77FF" w:rsidRPr="005C77FF">
                <w:t>prílohe č. 7</w:t>
              </w:r>
            </w:hyperlink>
            <w:r w:rsidR="00575F69">
              <w:t>,</w:t>
            </w:r>
            <w:r w:rsidR="00575F69" w:rsidRPr="00171531">
              <w:t xml:space="preserve"> </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5C77FF" w:rsidRPr="00AA7F3E" w:rsidRDefault="005C77FF" w:rsidP="005C77FF">
            <w:pPr>
              <w:autoSpaceDE/>
              <w:autoSpaceDN/>
              <w:rPr>
                <w:rFonts w:eastAsia="EUAlbertina-Italic-Identity-H"/>
                <w:iCs/>
                <w:sz w:val="20"/>
                <w:szCs w:val="20"/>
              </w:rPr>
            </w:pPr>
            <w:r w:rsidRPr="00AA7F3E">
              <w:rPr>
                <w:rFonts w:eastAsia="EUAlbertina-Italic-Identity-H"/>
                <w:iCs/>
                <w:sz w:val="20"/>
                <w:szCs w:val="20"/>
              </w:rPr>
              <w:t>PRÍLOHA III</w:t>
            </w:r>
          </w:p>
          <w:p w:rsidR="005C77FF" w:rsidRDefault="00575F69" w:rsidP="005C77FF">
            <w:pPr>
              <w:pStyle w:val="Normlny0"/>
            </w:pPr>
            <w:r>
              <w:t>Č: 3</w:t>
            </w:r>
          </w:p>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575F69" w:rsidRPr="00171531" w:rsidRDefault="00575F69" w:rsidP="00575F69">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575F69" w:rsidRDefault="00575F69" w:rsidP="007E2F20">
            <w:pPr>
              <w:autoSpaceDE/>
              <w:autoSpaceDN/>
              <w:rPr>
                <w:rFonts w:eastAsia="EUAlbertina-Regular-Identity-H"/>
                <w:sz w:val="20"/>
                <w:szCs w:val="20"/>
              </w:rPr>
            </w:pP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3. Členské štáty môžu vypočítať množstvá uvedené v odseku 2 na základe počtu zvierat.</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Pr="00872D05" w:rsidRDefault="00785411">
            <w:pPr>
              <w:pStyle w:val="Normlny0"/>
              <w:jc w:val="center"/>
            </w:pPr>
            <w:r w:rsidRPr="00872D05">
              <w:t>Zákon</w:t>
            </w:r>
          </w:p>
        </w:tc>
        <w:tc>
          <w:tcPr>
            <w:tcW w:w="0" w:type="auto"/>
            <w:tcBorders>
              <w:top w:val="single" w:sz="4" w:space="0" w:color="auto"/>
              <w:left w:val="single" w:sz="4" w:space="0" w:color="auto"/>
              <w:bottom w:val="single" w:sz="4" w:space="0" w:color="auto"/>
              <w:right w:val="single" w:sz="4" w:space="0" w:color="auto"/>
            </w:tcBorders>
          </w:tcPr>
          <w:p w:rsidR="00B26687" w:rsidRDefault="00B26687">
            <w:pPr>
              <w:pStyle w:val="Normlny0"/>
              <w:jc w:val="center"/>
            </w:pPr>
          </w:p>
          <w:p w:rsidR="0020223B" w:rsidRPr="00872D05" w:rsidRDefault="0020223B">
            <w:pPr>
              <w:pStyle w:val="Normlny0"/>
              <w:jc w:val="center"/>
            </w:pPr>
            <w:r w:rsidRPr="00872D05">
              <w:t xml:space="preserve">§:10c O:7 </w:t>
            </w:r>
          </w:p>
          <w:p w:rsidR="0020223B" w:rsidRPr="00872D05" w:rsidRDefault="0020223B" w:rsidP="00C06FDF">
            <w:pPr>
              <w:pStyle w:val="Normlny0"/>
              <w:jc w:val="center"/>
            </w:pPr>
            <w:r w:rsidRPr="00872D05">
              <w:t>P: f)</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575F69">
            <w:pPr>
              <w:pStyle w:val="Normlny0"/>
            </w:pPr>
            <w:r>
              <w:t>Obhospodarovateľ je povinný</w:t>
            </w:r>
          </w:p>
          <w:p w:rsidR="0020223B" w:rsidRPr="00872D05" w:rsidRDefault="00B26687" w:rsidP="00575F69">
            <w:pPr>
              <w:pStyle w:val="Normlny0"/>
            </w:pPr>
            <w:r>
              <w:t xml:space="preserve">f) </w:t>
            </w:r>
            <w:r w:rsidR="00575F69" w:rsidRPr="00872D05">
              <w:t>zabezpečiť, aby sa pri aplikácii dusíkatých hnojivých látok podľa odseku 6 neprekročili limitné dávky pre plodiny uvedené v </w:t>
            </w:r>
            <w:hyperlink r:id="rId19" w:anchor="prilohy.priloha-priloha_c_1_az_8_k_zakonu_c_136_2000_z_z.oznacenie" w:tooltip="Odkaz na predpis alebo ustanovenie" w:history="1">
              <w:r w:rsidR="00575F69" w:rsidRPr="00872D05">
                <w:t>prílohe č. 7</w:t>
              </w:r>
            </w:hyperlink>
            <w:r w:rsidR="00575F69" w:rsidRPr="00872D05">
              <w:t>; to sa vzťahuje aj na aplikáciu len minerálnych dusíkatých hnojív, ak sa neaplikujú hospodárske hnojivá.</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bl>
    <w:p w:rsidR="008C54C3" w:rsidRDefault="008C54C3">
      <w:pPr>
        <w:autoSpaceDE/>
        <w:autoSpaceDN/>
        <w:rPr>
          <w:sz w:val="20"/>
          <w:szCs w:val="20"/>
        </w:rPr>
      </w:pPr>
    </w:p>
    <w:sectPr w:rsidR="008C54C3" w:rsidSect="00A705B0">
      <w:footerReference w:type="default" r:id="rId20"/>
      <w:pgSz w:w="16838" w:h="11906" w:orient="landscape" w:code="9"/>
      <w:pgMar w:top="851" w:right="851" w:bottom="851"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F7" w:rsidRDefault="004C54F7">
      <w:r>
        <w:separator/>
      </w:r>
    </w:p>
  </w:endnote>
  <w:endnote w:type="continuationSeparator" w:id="0">
    <w:p w:rsidR="004C54F7" w:rsidRDefault="004C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6" w:rsidRDefault="00171531" w:rsidP="00171531">
    <w:pPr>
      <w:pStyle w:val="Pta"/>
      <w:jc w:val="center"/>
    </w:pPr>
    <w:r>
      <w:fldChar w:fldCharType="begin"/>
    </w:r>
    <w:r>
      <w:instrText>PAGE   \* MERGEFORMAT</w:instrText>
    </w:r>
    <w:r>
      <w:fldChar w:fldCharType="separate"/>
    </w:r>
    <w:r w:rsidR="00A705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F7" w:rsidRDefault="004C54F7">
      <w:r>
        <w:separator/>
      </w:r>
    </w:p>
  </w:footnote>
  <w:footnote w:type="continuationSeparator" w:id="0">
    <w:p w:rsidR="004C54F7" w:rsidRDefault="004C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2F866AA"/>
    <w:multiLevelType w:val="hybridMultilevel"/>
    <w:tmpl w:val="25C07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C4D7B98"/>
    <w:multiLevelType w:val="hybridMultilevel"/>
    <w:tmpl w:val="AF363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4E77"/>
    <w:multiLevelType w:val="hybridMultilevel"/>
    <w:tmpl w:val="E4CAD986"/>
    <w:lvl w:ilvl="0" w:tplc="78CEF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02688"/>
    <w:multiLevelType w:val="hybridMultilevel"/>
    <w:tmpl w:val="9E3E6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63759"/>
    <w:multiLevelType w:val="hybridMultilevel"/>
    <w:tmpl w:val="31C84366"/>
    <w:lvl w:ilvl="0" w:tplc="2D30006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5"/>
  </w:num>
  <w:num w:numId="6">
    <w:abstractNumId w:val="5"/>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2"/>
  </w:num>
  <w:num w:numId="13">
    <w:abstractNumId w:val="11"/>
  </w:num>
  <w:num w:numId="14">
    <w:abstractNumId w:val="1"/>
  </w:num>
  <w:num w:numId="15">
    <w:abstractNumId w:val="4"/>
  </w:num>
  <w:num w:numId="16">
    <w:abstractNumId w:val="14"/>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B02"/>
    <w:rsid w:val="00001BB6"/>
    <w:rsid w:val="00012207"/>
    <w:rsid w:val="000152D7"/>
    <w:rsid w:val="000456FE"/>
    <w:rsid w:val="000613D6"/>
    <w:rsid w:val="000C40D8"/>
    <w:rsid w:val="000E7F2D"/>
    <w:rsid w:val="000F1FF0"/>
    <w:rsid w:val="00105D92"/>
    <w:rsid w:val="00122B44"/>
    <w:rsid w:val="00123B0A"/>
    <w:rsid w:val="0014128F"/>
    <w:rsid w:val="00160388"/>
    <w:rsid w:val="00171531"/>
    <w:rsid w:val="00186080"/>
    <w:rsid w:val="00195ECE"/>
    <w:rsid w:val="001C3434"/>
    <w:rsid w:val="001C6ED8"/>
    <w:rsid w:val="001C6EF0"/>
    <w:rsid w:val="001C7202"/>
    <w:rsid w:val="001D4E05"/>
    <w:rsid w:val="001E0DE7"/>
    <w:rsid w:val="001E4767"/>
    <w:rsid w:val="001E6180"/>
    <w:rsid w:val="001F1775"/>
    <w:rsid w:val="001F6363"/>
    <w:rsid w:val="00200752"/>
    <w:rsid w:val="0020223B"/>
    <w:rsid w:val="00230949"/>
    <w:rsid w:val="00253AFC"/>
    <w:rsid w:val="00255914"/>
    <w:rsid w:val="00264564"/>
    <w:rsid w:val="00265C0A"/>
    <w:rsid w:val="00273BC9"/>
    <w:rsid w:val="0029148D"/>
    <w:rsid w:val="002A07C3"/>
    <w:rsid w:val="002A10AA"/>
    <w:rsid w:val="002C0DAB"/>
    <w:rsid w:val="002E159B"/>
    <w:rsid w:val="002F01CE"/>
    <w:rsid w:val="002F0F24"/>
    <w:rsid w:val="002F28ED"/>
    <w:rsid w:val="002F464A"/>
    <w:rsid w:val="00302A49"/>
    <w:rsid w:val="0036026D"/>
    <w:rsid w:val="003765D0"/>
    <w:rsid w:val="00391DC5"/>
    <w:rsid w:val="003A1EC9"/>
    <w:rsid w:val="003A383D"/>
    <w:rsid w:val="003A652B"/>
    <w:rsid w:val="003B7BBC"/>
    <w:rsid w:val="003C0290"/>
    <w:rsid w:val="003C66E4"/>
    <w:rsid w:val="004222A4"/>
    <w:rsid w:val="00450771"/>
    <w:rsid w:val="00466C6C"/>
    <w:rsid w:val="00472C53"/>
    <w:rsid w:val="004765AA"/>
    <w:rsid w:val="004962C4"/>
    <w:rsid w:val="004B30A5"/>
    <w:rsid w:val="004C4FD7"/>
    <w:rsid w:val="004C54F7"/>
    <w:rsid w:val="004E3185"/>
    <w:rsid w:val="005170A9"/>
    <w:rsid w:val="005205FF"/>
    <w:rsid w:val="005232C2"/>
    <w:rsid w:val="00525C84"/>
    <w:rsid w:val="00531970"/>
    <w:rsid w:val="0054641F"/>
    <w:rsid w:val="00562FB4"/>
    <w:rsid w:val="00571009"/>
    <w:rsid w:val="00575F69"/>
    <w:rsid w:val="005822DB"/>
    <w:rsid w:val="00582A54"/>
    <w:rsid w:val="005965A9"/>
    <w:rsid w:val="005A09DB"/>
    <w:rsid w:val="005A6FF7"/>
    <w:rsid w:val="005C77FF"/>
    <w:rsid w:val="005E435A"/>
    <w:rsid w:val="006000BD"/>
    <w:rsid w:val="00606127"/>
    <w:rsid w:val="0062624F"/>
    <w:rsid w:val="006512B5"/>
    <w:rsid w:val="00672E54"/>
    <w:rsid w:val="00677438"/>
    <w:rsid w:val="00685882"/>
    <w:rsid w:val="006C6120"/>
    <w:rsid w:val="006D77D3"/>
    <w:rsid w:val="006F049E"/>
    <w:rsid w:val="006F31F7"/>
    <w:rsid w:val="00755FDB"/>
    <w:rsid w:val="00764557"/>
    <w:rsid w:val="007674B6"/>
    <w:rsid w:val="007753ED"/>
    <w:rsid w:val="00785411"/>
    <w:rsid w:val="007A6179"/>
    <w:rsid w:val="007D1837"/>
    <w:rsid w:val="007E2F20"/>
    <w:rsid w:val="007E7AEB"/>
    <w:rsid w:val="00813908"/>
    <w:rsid w:val="00837030"/>
    <w:rsid w:val="00872D05"/>
    <w:rsid w:val="00873DF3"/>
    <w:rsid w:val="008945E6"/>
    <w:rsid w:val="008B3077"/>
    <w:rsid w:val="008B3B8B"/>
    <w:rsid w:val="008B6E2D"/>
    <w:rsid w:val="008B7E6C"/>
    <w:rsid w:val="008C54C3"/>
    <w:rsid w:val="008E369C"/>
    <w:rsid w:val="008F5558"/>
    <w:rsid w:val="008F746D"/>
    <w:rsid w:val="009030F8"/>
    <w:rsid w:val="00992A34"/>
    <w:rsid w:val="009A2E14"/>
    <w:rsid w:val="009B4C6A"/>
    <w:rsid w:val="009C30EE"/>
    <w:rsid w:val="009C4F67"/>
    <w:rsid w:val="009E2A6D"/>
    <w:rsid w:val="00A045C3"/>
    <w:rsid w:val="00A22BF9"/>
    <w:rsid w:val="00A34B5C"/>
    <w:rsid w:val="00A63545"/>
    <w:rsid w:val="00A65DE2"/>
    <w:rsid w:val="00A705B0"/>
    <w:rsid w:val="00A73EA9"/>
    <w:rsid w:val="00A9063F"/>
    <w:rsid w:val="00A96CF6"/>
    <w:rsid w:val="00AA7F3E"/>
    <w:rsid w:val="00AC0E14"/>
    <w:rsid w:val="00AC2662"/>
    <w:rsid w:val="00AD026F"/>
    <w:rsid w:val="00AE7A22"/>
    <w:rsid w:val="00B07F4F"/>
    <w:rsid w:val="00B07FFA"/>
    <w:rsid w:val="00B11965"/>
    <w:rsid w:val="00B26687"/>
    <w:rsid w:val="00B30309"/>
    <w:rsid w:val="00B444ED"/>
    <w:rsid w:val="00B46587"/>
    <w:rsid w:val="00B62789"/>
    <w:rsid w:val="00B66631"/>
    <w:rsid w:val="00B874E6"/>
    <w:rsid w:val="00B93B09"/>
    <w:rsid w:val="00BB79AC"/>
    <w:rsid w:val="00BE14FC"/>
    <w:rsid w:val="00BF01AD"/>
    <w:rsid w:val="00BF6AEB"/>
    <w:rsid w:val="00C0163A"/>
    <w:rsid w:val="00C062D8"/>
    <w:rsid w:val="00C06FDF"/>
    <w:rsid w:val="00C20DD5"/>
    <w:rsid w:val="00C271B6"/>
    <w:rsid w:val="00C45413"/>
    <w:rsid w:val="00C8358F"/>
    <w:rsid w:val="00CC75CA"/>
    <w:rsid w:val="00CD0DAC"/>
    <w:rsid w:val="00CD2D9D"/>
    <w:rsid w:val="00CD3582"/>
    <w:rsid w:val="00CD4BEF"/>
    <w:rsid w:val="00CD777F"/>
    <w:rsid w:val="00CE4313"/>
    <w:rsid w:val="00CF1C4E"/>
    <w:rsid w:val="00D04B69"/>
    <w:rsid w:val="00D13B33"/>
    <w:rsid w:val="00D40ACE"/>
    <w:rsid w:val="00D87C18"/>
    <w:rsid w:val="00DA0F6C"/>
    <w:rsid w:val="00DC0D21"/>
    <w:rsid w:val="00DC5338"/>
    <w:rsid w:val="00DD572C"/>
    <w:rsid w:val="00DE562A"/>
    <w:rsid w:val="00DE56F0"/>
    <w:rsid w:val="00DE5ED3"/>
    <w:rsid w:val="00E31021"/>
    <w:rsid w:val="00E35E21"/>
    <w:rsid w:val="00E47EF3"/>
    <w:rsid w:val="00E75679"/>
    <w:rsid w:val="00EB0387"/>
    <w:rsid w:val="00EB1537"/>
    <w:rsid w:val="00EC29FF"/>
    <w:rsid w:val="00ED0DA1"/>
    <w:rsid w:val="00ED2333"/>
    <w:rsid w:val="00F01787"/>
    <w:rsid w:val="00F25F7F"/>
    <w:rsid w:val="00F2735C"/>
    <w:rsid w:val="00F2737B"/>
    <w:rsid w:val="00F27DBE"/>
    <w:rsid w:val="00F3125C"/>
    <w:rsid w:val="00F3416D"/>
    <w:rsid w:val="00F426D2"/>
    <w:rsid w:val="00F45093"/>
    <w:rsid w:val="00F62F5A"/>
    <w:rsid w:val="00F63279"/>
    <w:rsid w:val="00FA2C35"/>
    <w:rsid w:val="00FB3D93"/>
    <w:rsid w:val="00FC3352"/>
    <w:rsid w:val="00FE2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D062F620-C09A-4707-870D-3C9C3B69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4Char">
    <w:name w:val="Nadpis 4 Char"/>
    <w:link w:val="Nadpis4"/>
    <w:uiPriority w:val="9"/>
    <w:semiHidden/>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rPr>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rPr>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rPr>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rPr>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rPr>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rPr>
      <w:sz w:val="24"/>
      <w:szCs w:val="24"/>
    </w:rPr>
  </w:style>
  <w:style w:type="paragraph" w:styleId="Textbubliny">
    <w:name w:val="Balloon Text"/>
    <w:basedOn w:val="Normlny"/>
    <w:link w:val="TextbublinyChar"/>
    <w:uiPriority w:val="99"/>
    <w:semiHidden/>
    <w:unhideWhenUsed/>
    <w:rsid w:val="00CD3582"/>
    <w:rPr>
      <w:rFonts w:ascii="Tahoma" w:hAnsi="Tahoma" w:cs="Tahoma"/>
      <w:sz w:val="16"/>
      <w:szCs w:val="16"/>
    </w:rPr>
  </w:style>
  <w:style w:type="character" w:customStyle="1" w:styleId="TextbublinyChar">
    <w:name w:val="Text bubliny Char"/>
    <w:link w:val="Textbubliny"/>
    <w:uiPriority w:val="99"/>
    <w:semiHidden/>
    <w:rsid w:val="00CD3582"/>
    <w:rPr>
      <w:rFonts w:ascii="Tahoma" w:hAnsi="Tahoma" w:cs="Tahoma"/>
      <w:sz w:val="16"/>
      <w:szCs w:val="16"/>
    </w:rPr>
  </w:style>
  <w:style w:type="paragraph" w:customStyle="1" w:styleId="odsek">
    <w:name w:val="odsek"/>
    <w:basedOn w:val="Normlny"/>
    <w:rsid w:val="00F45093"/>
    <w:pPr>
      <w:keepNext/>
      <w:autoSpaceDE/>
      <w:autoSpaceDN/>
      <w:spacing w:before="120" w:after="120"/>
      <w:ind w:firstLine="709"/>
      <w:jc w:val="both"/>
    </w:pPr>
    <w:rPr>
      <w:lang w:eastAsia="cs-CZ"/>
    </w:rPr>
  </w:style>
  <w:style w:type="character" w:styleId="Odkaznakomentr">
    <w:name w:val="annotation reference"/>
    <w:uiPriority w:val="99"/>
    <w:semiHidden/>
    <w:unhideWhenUsed/>
    <w:rsid w:val="00E35E21"/>
    <w:rPr>
      <w:sz w:val="16"/>
      <w:szCs w:val="16"/>
    </w:rPr>
  </w:style>
  <w:style w:type="paragraph" w:styleId="Textkomentra">
    <w:name w:val="annotation text"/>
    <w:basedOn w:val="Normlny"/>
    <w:link w:val="TextkomentraChar"/>
    <w:uiPriority w:val="99"/>
    <w:semiHidden/>
    <w:unhideWhenUsed/>
    <w:rsid w:val="00E35E21"/>
    <w:rPr>
      <w:sz w:val="20"/>
      <w:szCs w:val="20"/>
    </w:rPr>
  </w:style>
  <w:style w:type="character" w:customStyle="1" w:styleId="TextkomentraChar">
    <w:name w:val="Text komentára Char"/>
    <w:basedOn w:val="Predvolenpsmoodseku"/>
    <w:link w:val="Textkomentra"/>
    <w:uiPriority w:val="99"/>
    <w:semiHidden/>
    <w:rsid w:val="00E35E21"/>
  </w:style>
  <w:style w:type="paragraph" w:styleId="Predmetkomentra">
    <w:name w:val="annotation subject"/>
    <w:basedOn w:val="Textkomentra"/>
    <w:next w:val="Textkomentra"/>
    <w:link w:val="PredmetkomentraChar"/>
    <w:uiPriority w:val="99"/>
    <w:semiHidden/>
    <w:unhideWhenUsed/>
    <w:rsid w:val="00E35E21"/>
    <w:rPr>
      <w:b/>
      <w:bCs/>
    </w:rPr>
  </w:style>
  <w:style w:type="character" w:customStyle="1" w:styleId="PredmetkomentraChar">
    <w:name w:val="Predmet komentára Char"/>
    <w:link w:val="Predmetkomentra"/>
    <w:uiPriority w:val="99"/>
    <w:semiHidden/>
    <w:rsid w:val="00E35E21"/>
    <w:rPr>
      <w:b/>
      <w:bCs/>
    </w:rPr>
  </w:style>
  <w:style w:type="character" w:styleId="Hypertextovprepojenie">
    <w:name w:val="Hyperlink"/>
    <w:uiPriority w:val="99"/>
    <w:unhideWhenUsed/>
    <w:rsid w:val="0020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16">
      <w:bodyDiv w:val="1"/>
      <w:marLeft w:val="0"/>
      <w:marRight w:val="0"/>
      <w:marTop w:val="0"/>
      <w:marBottom w:val="0"/>
      <w:divBdr>
        <w:top w:val="none" w:sz="0" w:space="0" w:color="auto"/>
        <w:left w:val="none" w:sz="0" w:space="0" w:color="auto"/>
        <w:bottom w:val="none" w:sz="0" w:space="0" w:color="auto"/>
        <w:right w:val="none" w:sz="0" w:space="0" w:color="auto"/>
      </w:divBdr>
      <w:divsChild>
        <w:div w:id="410543521">
          <w:marLeft w:val="75"/>
          <w:marRight w:val="0"/>
          <w:marTop w:val="0"/>
          <w:marBottom w:val="0"/>
          <w:divBdr>
            <w:top w:val="none" w:sz="0" w:space="0" w:color="auto"/>
            <w:left w:val="none" w:sz="0" w:space="0" w:color="auto"/>
            <w:bottom w:val="none" w:sz="0" w:space="0" w:color="auto"/>
            <w:right w:val="none" w:sz="0" w:space="0" w:color="auto"/>
          </w:divBdr>
        </w:div>
        <w:div w:id="753626287">
          <w:marLeft w:val="75"/>
          <w:marRight w:val="0"/>
          <w:marTop w:val="0"/>
          <w:marBottom w:val="0"/>
          <w:divBdr>
            <w:top w:val="none" w:sz="0" w:space="0" w:color="auto"/>
            <w:left w:val="none" w:sz="0" w:space="0" w:color="auto"/>
            <w:bottom w:val="none" w:sz="0" w:space="0" w:color="auto"/>
            <w:right w:val="none" w:sz="0" w:space="0" w:color="auto"/>
          </w:divBdr>
        </w:div>
        <w:div w:id="1875187898">
          <w:marLeft w:val="75"/>
          <w:marRight w:val="0"/>
          <w:marTop w:val="0"/>
          <w:marBottom w:val="0"/>
          <w:divBdr>
            <w:top w:val="none" w:sz="0" w:space="0" w:color="auto"/>
            <w:left w:val="none" w:sz="0" w:space="0" w:color="auto"/>
            <w:bottom w:val="none" w:sz="0" w:space="0" w:color="auto"/>
            <w:right w:val="none" w:sz="0" w:space="0" w:color="auto"/>
          </w:divBdr>
        </w:div>
      </w:divsChild>
    </w:div>
    <w:div w:id="209348591">
      <w:bodyDiv w:val="1"/>
      <w:marLeft w:val="0"/>
      <w:marRight w:val="0"/>
      <w:marTop w:val="0"/>
      <w:marBottom w:val="0"/>
      <w:divBdr>
        <w:top w:val="none" w:sz="0" w:space="0" w:color="auto"/>
        <w:left w:val="none" w:sz="0" w:space="0" w:color="auto"/>
        <w:bottom w:val="none" w:sz="0" w:space="0" w:color="auto"/>
        <w:right w:val="none" w:sz="0" w:space="0" w:color="auto"/>
      </w:divBdr>
      <w:divsChild>
        <w:div w:id="15474407">
          <w:marLeft w:val="75"/>
          <w:marRight w:val="0"/>
          <w:marTop w:val="0"/>
          <w:marBottom w:val="0"/>
          <w:divBdr>
            <w:top w:val="none" w:sz="0" w:space="0" w:color="auto"/>
            <w:left w:val="none" w:sz="0" w:space="0" w:color="auto"/>
            <w:bottom w:val="none" w:sz="0" w:space="0" w:color="auto"/>
            <w:right w:val="none" w:sz="0" w:space="0" w:color="auto"/>
          </w:divBdr>
        </w:div>
        <w:div w:id="523835293">
          <w:marLeft w:val="75"/>
          <w:marRight w:val="0"/>
          <w:marTop w:val="0"/>
          <w:marBottom w:val="0"/>
          <w:divBdr>
            <w:top w:val="none" w:sz="0" w:space="0" w:color="auto"/>
            <w:left w:val="none" w:sz="0" w:space="0" w:color="auto"/>
            <w:bottom w:val="none" w:sz="0" w:space="0" w:color="auto"/>
            <w:right w:val="none" w:sz="0" w:space="0" w:color="auto"/>
          </w:divBdr>
        </w:div>
        <w:div w:id="600258243">
          <w:marLeft w:val="75"/>
          <w:marRight w:val="0"/>
          <w:marTop w:val="0"/>
          <w:marBottom w:val="0"/>
          <w:divBdr>
            <w:top w:val="none" w:sz="0" w:space="0" w:color="auto"/>
            <w:left w:val="none" w:sz="0" w:space="0" w:color="auto"/>
            <w:bottom w:val="none" w:sz="0" w:space="0" w:color="auto"/>
            <w:right w:val="none" w:sz="0" w:space="0" w:color="auto"/>
          </w:divBdr>
        </w:div>
        <w:div w:id="1898516112">
          <w:marLeft w:val="75"/>
          <w:marRight w:val="0"/>
          <w:marTop w:val="0"/>
          <w:marBottom w:val="0"/>
          <w:divBdr>
            <w:top w:val="none" w:sz="0" w:space="0" w:color="auto"/>
            <w:left w:val="none" w:sz="0" w:space="0" w:color="auto"/>
            <w:bottom w:val="none" w:sz="0" w:space="0" w:color="auto"/>
            <w:right w:val="none" w:sz="0" w:space="0" w:color="auto"/>
          </w:divBdr>
        </w:div>
      </w:divsChild>
    </w:div>
    <w:div w:id="396245107">
      <w:bodyDiv w:val="1"/>
      <w:marLeft w:val="0"/>
      <w:marRight w:val="0"/>
      <w:marTop w:val="0"/>
      <w:marBottom w:val="0"/>
      <w:divBdr>
        <w:top w:val="none" w:sz="0" w:space="0" w:color="auto"/>
        <w:left w:val="none" w:sz="0" w:space="0" w:color="auto"/>
        <w:bottom w:val="none" w:sz="0" w:space="0" w:color="auto"/>
        <w:right w:val="none" w:sz="0" w:space="0" w:color="auto"/>
      </w:divBdr>
      <w:divsChild>
        <w:div w:id="804615696">
          <w:marLeft w:val="75"/>
          <w:marRight w:val="0"/>
          <w:marTop w:val="0"/>
          <w:marBottom w:val="0"/>
          <w:divBdr>
            <w:top w:val="none" w:sz="0" w:space="0" w:color="auto"/>
            <w:left w:val="none" w:sz="0" w:space="0" w:color="auto"/>
            <w:bottom w:val="none" w:sz="0" w:space="0" w:color="auto"/>
            <w:right w:val="none" w:sz="0" w:space="0" w:color="auto"/>
          </w:divBdr>
        </w:div>
        <w:div w:id="1303734536">
          <w:marLeft w:val="75"/>
          <w:marRight w:val="0"/>
          <w:marTop w:val="0"/>
          <w:marBottom w:val="0"/>
          <w:divBdr>
            <w:top w:val="none" w:sz="0" w:space="0" w:color="auto"/>
            <w:left w:val="none" w:sz="0" w:space="0" w:color="auto"/>
            <w:bottom w:val="none" w:sz="0" w:space="0" w:color="auto"/>
            <w:right w:val="none" w:sz="0" w:space="0" w:color="auto"/>
          </w:divBdr>
        </w:div>
        <w:div w:id="1431506347">
          <w:marLeft w:val="75"/>
          <w:marRight w:val="0"/>
          <w:marTop w:val="0"/>
          <w:marBottom w:val="0"/>
          <w:divBdr>
            <w:top w:val="none" w:sz="0" w:space="0" w:color="auto"/>
            <w:left w:val="none" w:sz="0" w:space="0" w:color="auto"/>
            <w:bottom w:val="none" w:sz="0" w:space="0" w:color="auto"/>
            <w:right w:val="none" w:sz="0" w:space="0" w:color="auto"/>
          </w:divBdr>
        </w:div>
        <w:div w:id="1551846649">
          <w:marLeft w:val="75"/>
          <w:marRight w:val="0"/>
          <w:marTop w:val="0"/>
          <w:marBottom w:val="0"/>
          <w:divBdr>
            <w:top w:val="none" w:sz="0" w:space="0" w:color="auto"/>
            <w:left w:val="none" w:sz="0" w:space="0" w:color="auto"/>
            <w:bottom w:val="none" w:sz="0" w:space="0" w:color="auto"/>
            <w:right w:val="none" w:sz="0" w:space="0" w:color="auto"/>
          </w:divBdr>
        </w:div>
        <w:div w:id="1777091347">
          <w:marLeft w:val="75"/>
          <w:marRight w:val="0"/>
          <w:marTop w:val="0"/>
          <w:marBottom w:val="0"/>
          <w:divBdr>
            <w:top w:val="none" w:sz="0" w:space="0" w:color="auto"/>
            <w:left w:val="none" w:sz="0" w:space="0" w:color="auto"/>
            <w:bottom w:val="none" w:sz="0" w:space="0" w:color="auto"/>
            <w:right w:val="none" w:sz="0" w:space="0" w:color="auto"/>
          </w:divBdr>
        </w:div>
        <w:div w:id="2100059858">
          <w:marLeft w:val="75"/>
          <w:marRight w:val="0"/>
          <w:marTop w:val="0"/>
          <w:marBottom w:val="0"/>
          <w:divBdr>
            <w:top w:val="none" w:sz="0" w:space="0" w:color="auto"/>
            <w:left w:val="none" w:sz="0" w:space="0" w:color="auto"/>
            <w:bottom w:val="none" w:sz="0" w:space="0" w:color="auto"/>
            <w:right w:val="none" w:sz="0" w:space="0" w:color="auto"/>
          </w:divBdr>
        </w:div>
        <w:div w:id="2136020914">
          <w:marLeft w:val="75"/>
          <w:marRight w:val="0"/>
          <w:marTop w:val="0"/>
          <w:marBottom w:val="0"/>
          <w:divBdr>
            <w:top w:val="none" w:sz="0" w:space="0" w:color="auto"/>
            <w:left w:val="none" w:sz="0" w:space="0" w:color="auto"/>
            <w:bottom w:val="none" w:sz="0" w:space="0" w:color="auto"/>
            <w:right w:val="none" w:sz="0" w:space="0" w:color="auto"/>
          </w:divBdr>
        </w:div>
      </w:divsChild>
    </w:div>
    <w:div w:id="494762129">
      <w:bodyDiv w:val="1"/>
      <w:marLeft w:val="0"/>
      <w:marRight w:val="0"/>
      <w:marTop w:val="0"/>
      <w:marBottom w:val="0"/>
      <w:divBdr>
        <w:top w:val="none" w:sz="0" w:space="0" w:color="auto"/>
        <w:left w:val="none" w:sz="0" w:space="0" w:color="auto"/>
        <w:bottom w:val="none" w:sz="0" w:space="0" w:color="auto"/>
        <w:right w:val="none" w:sz="0" w:space="0" w:color="auto"/>
      </w:divBdr>
      <w:divsChild>
        <w:div w:id="434207934">
          <w:marLeft w:val="75"/>
          <w:marRight w:val="0"/>
          <w:marTop w:val="0"/>
          <w:marBottom w:val="0"/>
          <w:divBdr>
            <w:top w:val="none" w:sz="0" w:space="0" w:color="auto"/>
            <w:left w:val="none" w:sz="0" w:space="0" w:color="auto"/>
            <w:bottom w:val="none" w:sz="0" w:space="0" w:color="auto"/>
            <w:right w:val="none" w:sz="0" w:space="0" w:color="auto"/>
          </w:divBdr>
        </w:div>
        <w:div w:id="626860702">
          <w:marLeft w:val="75"/>
          <w:marRight w:val="0"/>
          <w:marTop w:val="0"/>
          <w:marBottom w:val="0"/>
          <w:divBdr>
            <w:top w:val="none" w:sz="0" w:space="0" w:color="auto"/>
            <w:left w:val="none" w:sz="0" w:space="0" w:color="auto"/>
            <w:bottom w:val="none" w:sz="0" w:space="0" w:color="auto"/>
            <w:right w:val="none" w:sz="0" w:space="0" w:color="auto"/>
          </w:divBdr>
        </w:div>
      </w:divsChild>
    </w:div>
    <w:div w:id="1141389510">
      <w:bodyDiv w:val="1"/>
      <w:marLeft w:val="0"/>
      <w:marRight w:val="0"/>
      <w:marTop w:val="0"/>
      <w:marBottom w:val="0"/>
      <w:divBdr>
        <w:top w:val="none" w:sz="0" w:space="0" w:color="auto"/>
        <w:left w:val="none" w:sz="0" w:space="0" w:color="auto"/>
        <w:bottom w:val="none" w:sz="0" w:space="0" w:color="auto"/>
        <w:right w:val="none" w:sz="0" w:space="0" w:color="auto"/>
      </w:divBdr>
      <w:divsChild>
        <w:div w:id="4338653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136/20190101.html" TargetMode="External"/><Relationship Id="rId13" Type="http://schemas.openxmlformats.org/officeDocument/2006/relationships/hyperlink" Target="https://www.slov-lex.sk/pravne-predpisy/SK/ZZ/2000/136/20190101" TargetMode="External"/><Relationship Id="rId18" Type="http://schemas.openxmlformats.org/officeDocument/2006/relationships/hyperlink" Target="https://www.slov-lex.sk/pravne-predpisy/SK/ZZ/2000/136/20190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00/136/20190101.html" TargetMode="External"/><Relationship Id="rId17" Type="http://schemas.openxmlformats.org/officeDocument/2006/relationships/hyperlink" Target="https://www.slov-lex.sk/pravne-predpisy/SK/ZZ/2000/136/20190101" TargetMode="External"/><Relationship Id="rId2" Type="http://schemas.openxmlformats.org/officeDocument/2006/relationships/numbering" Target="numbering.xml"/><Relationship Id="rId16" Type="http://schemas.openxmlformats.org/officeDocument/2006/relationships/hyperlink" Target="https://www.slov-lex.sk/pravne-predpisy/SK/ZZ/2000/136/2019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0/136/2019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0/136/20190101" TargetMode="External"/><Relationship Id="rId10" Type="http://schemas.openxmlformats.org/officeDocument/2006/relationships/hyperlink" Target="https://www.slov-lex.sk/pravne-predpisy/SK/ZZ/2000/136/20190101.html" TargetMode="External"/><Relationship Id="rId19" Type="http://schemas.openxmlformats.org/officeDocument/2006/relationships/hyperlink" Target="https://www.slov-lex.sk/pravne-predpisy/SK/ZZ/2000/136/20190101" TargetMode="External"/><Relationship Id="rId4" Type="http://schemas.openxmlformats.org/officeDocument/2006/relationships/settings" Target="settings.xml"/><Relationship Id="rId9" Type="http://schemas.openxmlformats.org/officeDocument/2006/relationships/hyperlink" Target="https://www.slov-lex.sk/pravne-predpisy/SK/ZZ/2000/136/20190101.html" TargetMode="External"/><Relationship Id="rId14" Type="http://schemas.openxmlformats.org/officeDocument/2006/relationships/hyperlink" Target="https://www.slov-lex.sk/pravne-predpisy/SK/ZZ/2000/136/20190101"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6F3D-2175-413B-A304-80392790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12410</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14128</CharactersWithSpaces>
  <SharedDoc>false</SharedDoc>
  <HLinks>
    <vt:vector size="72" baseType="variant">
      <vt:variant>
        <vt:i4>65645</vt:i4>
      </vt:variant>
      <vt:variant>
        <vt:i4>33</vt:i4>
      </vt:variant>
      <vt:variant>
        <vt:i4>0</vt:i4>
      </vt:variant>
      <vt:variant>
        <vt:i4>5</vt:i4>
      </vt:variant>
      <vt:variant>
        <vt:lpwstr>https://www.slov-lex.sk/pravne-predpisy/SK/ZZ/2000/136/20190101</vt:lpwstr>
      </vt:variant>
      <vt:variant>
        <vt:lpwstr>prilohy.priloha-priloha_c_1_az_8_k_zakonu_c_136_2000_z_z.oznacenie</vt:lpwstr>
      </vt:variant>
      <vt:variant>
        <vt:i4>65645</vt:i4>
      </vt:variant>
      <vt:variant>
        <vt:i4>30</vt:i4>
      </vt:variant>
      <vt:variant>
        <vt:i4>0</vt:i4>
      </vt:variant>
      <vt:variant>
        <vt:i4>5</vt:i4>
      </vt:variant>
      <vt:variant>
        <vt:lpwstr>https://www.slov-lex.sk/pravne-predpisy/SK/ZZ/2000/136/20190101</vt:lpwstr>
      </vt:variant>
      <vt:variant>
        <vt:lpwstr>prilohy.priloha-priloha_c_1_az_8_k_zakonu_c_136_2000_z_z.oznacenie</vt:lpwstr>
      </vt:variant>
      <vt:variant>
        <vt:i4>2359358</vt:i4>
      </vt:variant>
      <vt:variant>
        <vt:i4>27</vt:i4>
      </vt:variant>
      <vt:variant>
        <vt:i4>0</vt:i4>
      </vt:variant>
      <vt:variant>
        <vt:i4>5</vt:i4>
      </vt:variant>
      <vt:variant>
        <vt:lpwstr>https://www.slov-lex.sk/pravne-predpisy/SK/ZZ/2000/136/20190101</vt:lpwstr>
      </vt:variant>
      <vt:variant>
        <vt:lpwstr>poznamky.poznamka-7d</vt:lpwstr>
      </vt:variant>
      <vt:variant>
        <vt:i4>65645</vt:i4>
      </vt:variant>
      <vt:variant>
        <vt:i4>24</vt:i4>
      </vt:variant>
      <vt:variant>
        <vt:i4>0</vt:i4>
      </vt:variant>
      <vt:variant>
        <vt:i4>5</vt:i4>
      </vt:variant>
      <vt:variant>
        <vt:lpwstr>https://www.slov-lex.sk/pravne-predpisy/SK/ZZ/2000/136/20190101</vt:lpwstr>
      </vt:variant>
      <vt:variant>
        <vt:lpwstr>prilohy.priloha-priloha_c_1_az_8_k_zakonu_c_136_2000_z_z.oznacenie</vt:lpwstr>
      </vt:variant>
      <vt:variant>
        <vt:i4>65645</vt:i4>
      </vt:variant>
      <vt:variant>
        <vt:i4>21</vt:i4>
      </vt:variant>
      <vt:variant>
        <vt:i4>0</vt:i4>
      </vt:variant>
      <vt:variant>
        <vt:i4>5</vt:i4>
      </vt:variant>
      <vt:variant>
        <vt:lpwstr>https://www.slov-lex.sk/pravne-predpisy/SK/ZZ/2000/136/20190101</vt:lpwstr>
      </vt:variant>
      <vt:variant>
        <vt:lpwstr>prilohy.priloha-priloha_c_1_az_8_k_zakonu_c_136_2000_z_z.oznacenie</vt:lpwstr>
      </vt:variant>
      <vt:variant>
        <vt:i4>6553631</vt:i4>
      </vt:variant>
      <vt:variant>
        <vt:i4>18</vt:i4>
      </vt:variant>
      <vt:variant>
        <vt:i4>0</vt:i4>
      </vt:variant>
      <vt:variant>
        <vt:i4>5</vt:i4>
      </vt:variant>
      <vt:variant>
        <vt:lpwstr>https://www.slov-lex.sk/pravne-predpisy/SK/ZZ/2000/136/20190101</vt:lpwstr>
      </vt:variant>
      <vt:variant>
        <vt:lpwstr>prilohy.priloha-priloha_c_1_az_8_k_zakonu_c_136_2000_z_z.text</vt:lpwstr>
      </vt:variant>
      <vt:variant>
        <vt:i4>6553631</vt:i4>
      </vt:variant>
      <vt:variant>
        <vt:i4>15</vt:i4>
      </vt:variant>
      <vt:variant>
        <vt:i4>0</vt:i4>
      </vt:variant>
      <vt:variant>
        <vt:i4>5</vt:i4>
      </vt:variant>
      <vt:variant>
        <vt:lpwstr>https://www.slov-lex.sk/pravne-predpisy/SK/ZZ/2000/136/20190101</vt:lpwstr>
      </vt:variant>
      <vt:variant>
        <vt:lpwstr>prilohy.priloha-priloha_c_1_az_8_k_zakonu_c_136_2000_z_z.text</vt:lpwstr>
      </vt:variant>
      <vt:variant>
        <vt:i4>3604569</vt:i4>
      </vt:variant>
      <vt:variant>
        <vt:i4>12</vt:i4>
      </vt:variant>
      <vt:variant>
        <vt:i4>0</vt:i4>
      </vt:variant>
      <vt:variant>
        <vt:i4>5</vt:i4>
      </vt:variant>
      <vt:variant>
        <vt:lpwstr>https://www.slov-lex.sk/pravne-predpisy/SK/ZZ/2000/136/20190101.html</vt:lpwstr>
      </vt:variant>
      <vt:variant>
        <vt:lpwstr>prilohy.priloha-priloha_c_1_az_8_k_zakonu_c_136_2000_z_z.oznacenie</vt:lpwstr>
      </vt:variant>
      <vt:variant>
        <vt:i4>1376266</vt:i4>
      </vt:variant>
      <vt:variant>
        <vt:i4>9</vt:i4>
      </vt:variant>
      <vt:variant>
        <vt:i4>0</vt:i4>
      </vt:variant>
      <vt:variant>
        <vt:i4>5</vt:i4>
      </vt:variant>
      <vt:variant>
        <vt:lpwstr>https://www.slov-lex.sk/pravne-predpisy/SK/ZZ/2000/136/20190101.html</vt:lpwstr>
      </vt:variant>
      <vt:variant>
        <vt:lpwstr>poznamky.poznamka-7c</vt:lpwstr>
      </vt:variant>
      <vt:variant>
        <vt:i4>5374044</vt:i4>
      </vt:variant>
      <vt:variant>
        <vt:i4>6</vt:i4>
      </vt:variant>
      <vt:variant>
        <vt:i4>0</vt:i4>
      </vt:variant>
      <vt:variant>
        <vt:i4>5</vt:i4>
      </vt:variant>
      <vt:variant>
        <vt:lpwstr>https://www.slov-lex.sk/pravne-predpisy/SK/ZZ/2000/136/20190101.html</vt:lpwstr>
      </vt:variant>
      <vt:variant>
        <vt:lpwstr>paragraf-2.odsek-1.pismeno-u</vt:lpwstr>
      </vt:variant>
      <vt:variant>
        <vt:i4>5374044</vt:i4>
      </vt:variant>
      <vt:variant>
        <vt:i4>3</vt:i4>
      </vt:variant>
      <vt:variant>
        <vt:i4>0</vt:i4>
      </vt:variant>
      <vt:variant>
        <vt:i4>5</vt:i4>
      </vt:variant>
      <vt:variant>
        <vt:lpwstr>https://www.slov-lex.sk/pravne-predpisy/SK/ZZ/2000/136/20190101.html</vt:lpwstr>
      </vt:variant>
      <vt:variant>
        <vt:lpwstr>paragraf-2.odsek-1.pismeno-u</vt:lpwstr>
      </vt:variant>
      <vt:variant>
        <vt:i4>3604569</vt:i4>
      </vt:variant>
      <vt:variant>
        <vt:i4>0</vt:i4>
      </vt:variant>
      <vt:variant>
        <vt:i4>0</vt:i4>
      </vt:variant>
      <vt:variant>
        <vt:i4>5</vt:i4>
      </vt:variant>
      <vt:variant>
        <vt:lpwstr>https://www.slov-lex.sk/pravne-predpisy/SK/ZZ/2000/136/20190101.html</vt:lpwstr>
      </vt:variant>
      <vt:variant>
        <vt:lpwstr>prilohy.priloha-priloha_c_1_az_8_k_zakonu_c_136_2000_z_z.oznacenie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Benová Tímea</cp:lastModifiedBy>
  <cp:revision>3</cp:revision>
  <cp:lastPrinted>2022-03-23T07:06:00Z</cp:lastPrinted>
  <dcterms:created xsi:type="dcterms:W3CDTF">2022-03-23T07:00:00Z</dcterms:created>
  <dcterms:modified xsi:type="dcterms:W3CDTF">2022-03-23T07:06:00Z</dcterms:modified>
</cp:coreProperties>
</file>