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385E" w14:textId="77777777" w:rsidR="007073A2" w:rsidRPr="00FB22F9" w:rsidRDefault="007073A2" w:rsidP="00FB22F9">
      <w:pPr>
        <w:pStyle w:val="Default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FB22F9">
        <w:rPr>
          <w:rFonts w:ascii="Times New Roman" w:hAnsi="Times New Roman" w:cs="Times New Roman"/>
          <w:b/>
          <w:bCs/>
          <w:sz w:val="25"/>
          <w:szCs w:val="25"/>
        </w:rPr>
        <w:t>DOLOŽKA ZLUČITEĽNOSTI</w:t>
      </w:r>
    </w:p>
    <w:p w14:paraId="07D14E96" w14:textId="77777777" w:rsidR="007073A2" w:rsidRPr="00FB22F9" w:rsidRDefault="007073A2" w:rsidP="007073A2">
      <w:pPr>
        <w:pStyle w:val="Default"/>
        <w:ind w:left="42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B22F9">
        <w:rPr>
          <w:rFonts w:ascii="Times New Roman" w:hAnsi="Times New Roman" w:cs="Times New Roman"/>
          <w:b/>
          <w:bCs/>
          <w:sz w:val="25"/>
          <w:szCs w:val="25"/>
        </w:rPr>
        <w:t>návrhu zákona s právom Európskej únie</w:t>
      </w:r>
    </w:p>
    <w:p w14:paraId="03C07B35" w14:textId="77777777" w:rsidR="007073A2" w:rsidRPr="00FB22F9" w:rsidRDefault="007073A2" w:rsidP="007073A2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</w:p>
    <w:p w14:paraId="0A4341E6" w14:textId="6BF39047" w:rsidR="007073A2" w:rsidRPr="00FB22F9" w:rsidRDefault="007073A2" w:rsidP="00FB22F9">
      <w:pPr>
        <w:pStyle w:val="Default"/>
        <w:numPr>
          <w:ilvl w:val="0"/>
          <w:numId w:val="4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FB22F9">
        <w:rPr>
          <w:rFonts w:ascii="Times New Roman" w:hAnsi="Times New Roman" w:cs="Times New Roman"/>
          <w:b/>
          <w:sz w:val="25"/>
          <w:szCs w:val="25"/>
        </w:rPr>
        <w:t>Navrhovateľ zákona:</w:t>
      </w:r>
      <w:r w:rsidRPr="00FB22F9">
        <w:rPr>
          <w:rFonts w:ascii="Times New Roman" w:hAnsi="Times New Roman" w:cs="Times New Roman"/>
          <w:sz w:val="25"/>
          <w:szCs w:val="25"/>
        </w:rPr>
        <w:t xml:space="preserve"> </w:t>
      </w:r>
      <w:r w:rsidR="00E34F2F" w:rsidRPr="00FB22F9">
        <w:rPr>
          <w:rFonts w:ascii="Times New Roman" w:hAnsi="Times New Roman" w:cs="Times New Roman"/>
          <w:sz w:val="25"/>
          <w:szCs w:val="25"/>
        </w:rPr>
        <w:t>Úrad pre normalizáciu, metrológiu a skúšobníctvo Slovenskej republiky</w:t>
      </w:r>
      <w:r w:rsidRPr="00FB22F9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5143DD62" w14:textId="77777777" w:rsidR="007073A2" w:rsidRPr="00FB22F9" w:rsidRDefault="007073A2" w:rsidP="007073A2">
      <w:pPr>
        <w:pStyle w:val="Default"/>
        <w:ind w:firstLine="426"/>
        <w:rPr>
          <w:rFonts w:ascii="Times New Roman" w:hAnsi="Times New Roman" w:cs="Times New Roman"/>
          <w:sz w:val="25"/>
          <w:szCs w:val="25"/>
        </w:rPr>
      </w:pPr>
    </w:p>
    <w:p w14:paraId="2C5A8CE1" w14:textId="6621F9E0" w:rsidR="009B6669" w:rsidRDefault="007073A2" w:rsidP="00FB22F9">
      <w:pPr>
        <w:pStyle w:val="Default"/>
        <w:ind w:left="1276" w:hanging="709"/>
        <w:jc w:val="both"/>
        <w:rPr>
          <w:rFonts w:ascii="Times New Roman" w:hAnsi="Times New Roman" w:cs="Times New Roman"/>
          <w:sz w:val="25"/>
          <w:szCs w:val="25"/>
        </w:rPr>
      </w:pPr>
      <w:r w:rsidRPr="00FB22F9">
        <w:rPr>
          <w:rFonts w:ascii="Times New Roman" w:hAnsi="Times New Roman" w:cs="Times New Roman"/>
          <w:b/>
          <w:sz w:val="25"/>
          <w:szCs w:val="25"/>
        </w:rPr>
        <w:t>2.</w:t>
      </w:r>
      <w:r w:rsidRPr="00FB22F9">
        <w:rPr>
          <w:rFonts w:ascii="Times New Roman" w:hAnsi="Times New Roman" w:cs="Times New Roman"/>
          <w:sz w:val="25"/>
          <w:szCs w:val="25"/>
        </w:rPr>
        <w:t xml:space="preserve"> </w:t>
      </w:r>
      <w:r w:rsidR="009B6669">
        <w:rPr>
          <w:rFonts w:ascii="Times New Roman" w:hAnsi="Times New Roman" w:cs="Times New Roman"/>
          <w:sz w:val="25"/>
          <w:szCs w:val="25"/>
        </w:rPr>
        <w:t xml:space="preserve">  </w:t>
      </w:r>
      <w:r w:rsidR="008D45E8">
        <w:rPr>
          <w:rFonts w:ascii="Times New Roman" w:hAnsi="Times New Roman" w:cs="Times New Roman"/>
          <w:sz w:val="25"/>
          <w:szCs w:val="25"/>
        </w:rPr>
        <w:t xml:space="preserve"> </w:t>
      </w:r>
      <w:r w:rsidRPr="00FB22F9">
        <w:rPr>
          <w:rFonts w:ascii="Times New Roman" w:hAnsi="Times New Roman" w:cs="Times New Roman"/>
          <w:b/>
          <w:sz w:val="25"/>
          <w:szCs w:val="25"/>
        </w:rPr>
        <w:t>Názov návrhu zákona:</w:t>
      </w:r>
      <w:r w:rsidRPr="00FB22F9">
        <w:rPr>
          <w:rFonts w:ascii="Times New Roman" w:hAnsi="Times New Roman" w:cs="Times New Roman"/>
          <w:sz w:val="25"/>
          <w:szCs w:val="25"/>
        </w:rPr>
        <w:t xml:space="preserve"> </w:t>
      </w:r>
      <w:r w:rsidR="00E34F2F" w:rsidRPr="00FB22F9">
        <w:rPr>
          <w:rFonts w:ascii="Times New Roman" w:hAnsi="Times New Roman" w:cs="Times New Roman"/>
          <w:sz w:val="25"/>
          <w:szCs w:val="25"/>
        </w:rPr>
        <w:t>Návrh zákona, ktorým sa mení a dopĺňa zákon č. 64/2019</w:t>
      </w:r>
    </w:p>
    <w:p w14:paraId="3390E7B9" w14:textId="32AAEA73" w:rsidR="007073A2" w:rsidRPr="00FB22F9" w:rsidRDefault="00E34F2F" w:rsidP="00FB22F9">
      <w:pPr>
        <w:pStyle w:val="Default"/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FB22F9">
        <w:rPr>
          <w:rFonts w:ascii="Times New Roman" w:hAnsi="Times New Roman" w:cs="Times New Roman"/>
          <w:sz w:val="25"/>
          <w:szCs w:val="25"/>
        </w:rPr>
        <w:t xml:space="preserve">Z. z. o sprístupňovaní strelných zbraní a streliva na civilné použitie na trhu v znení zákona č. 376/2019 Z. z. </w:t>
      </w:r>
      <w:r w:rsidR="00B80DCB" w:rsidRPr="00B80DCB">
        <w:rPr>
          <w:rFonts w:ascii="Times New Roman" w:hAnsi="Times New Roman" w:cs="Times New Roman"/>
          <w:sz w:val="25"/>
          <w:szCs w:val="25"/>
        </w:rPr>
        <w:t>a ktorým sa menia a dopĺňajú niektoré zákony</w:t>
      </w:r>
    </w:p>
    <w:p w14:paraId="591665FE" w14:textId="77777777" w:rsidR="007073A2" w:rsidRPr="00FB22F9" w:rsidRDefault="007073A2" w:rsidP="007073A2">
      <w:pPr>
        <w:pStyle w:val="Default"/>
        <w:ind w:firstLine="426"/>
        <w:rPr>
          <w:rFonts w:ascii="Times New Roman" w:hAnsi="Times New Roman" w:cs="Times New Roman"/>
          <w:sz w:val="25"/>
          <w:szCs w:val="25"/>
        </w:rPr>
      </w:pPr>
    </w:p>
    <w:p w14:paraId="4B53AD8B" w14:textId="4D94E987" w:rsidR="007073A2" w:rsidRPr="00FB22F9" w:rsidRDefault="007073A2" w:rsidP="00FB22F9">
      <w:pPr>
        <w:pStyle w:val="Default"/>
        <w:tabs>
          <w:tab w:val="left" w:pos="993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FB22F9">
        <w:rPr>
          <w:rFonts w:ascii="Times New Roman" w:hAnsi="Times New Roman" w:cs="Times New Roman"/>
          <w:b/>
          <w:sz w:val="25"/>
          <w:szCs w:val="25"/>
        </w:rPr>
        <w:t>3.</w:t>
      </w:r>
      <w:r w:rsidRPr="00FB22F9">
        <w:rPr>
          <w:rFonts w:ascii="Times New Roman" w:hAnsi="Times New Roman" w:cs="Times New Roman"/>
          <w:sz w:val="25"/>
          <w:szCs w:val="25"/>
        </w:rPr>
        <w:t xml:space="preserve"> </w:t>
      </w:r>
      <w:r w:rsidR="009B6669">
        <w:rPr>
          <w:rFonts w:ascii="Times New Roman" w:hAnsi="Times New Roman" w:cs="Times New Roman"/>
          <w:sz w:val="25"/>
          <w:szCs w:val="25"/>
        </w:rPr>
        <w:t xml:space="preserve">  </w:t>
      </w:r>
      <w:r w:rsidR="002256FE">
        <w:rPr>
          <w:rFonts w:ascii="Times New Roman" w:hAnsi="Times New Roman" w:cs="Times New Roman"/>
          <w:b/>
          <w:bCs/>
          <w:sz w:val="25"/>
          <w:szCs w:val="25"/>
        </w:rPr>
        <w:t>Predmet návrhu zákona</w:t>
      </w:r>
      <w:r w:rsidR="00E6294E" w:rsidRPr="00FB22F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B22F9">
        <w:rPr>
          <w:rFonts w:ascii="Times New Roman" w:hAnsi="Times New Roman" w:cs="Times New Roman"/>
          <w:b/>
          <w:bCs/>
          <w:sz w:val="25"/>
          <w:szCs w:val="25"/>
        </w:rPr>
        <w:t>je upravený v práve Európskej únie</w:t>
      </w:r>
      <w:r w:rsidRPr="00FB22F9">
        <w:rPr>
          <w:rFonts w:ascii="Times New Roman" w:hAnsi="Times New Roman" w:cs="Times New Roman"/>
          <w:b/>
          <w:sz w:val="25"/>
          <w:szCs w:val="25"/>
        </w:rPr>
        <w:t>:</w:t>
      </w:r>
      <w:r w:rsidRPr="00FB22F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043E7D2" w14:textId="3CE2B7B6" w:rsidR="002479ED" w:rsidRPr="00FB22F9" w:rsidRDefault="002479ED" w:rsidP="002479ED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479ED" w:rsidRPr="009B6669" w14:paraId="0E632652" w14:textId="77777777" w:rsidTr="007E2369">
        <w:tc>
          <w:tcPr>
            <w:tcW w:w="404" w:type="dxa"/>
          </w:tcPr>
          <w:p w14:paraId="58214E5C" w14:textId="77777777" w:rsidR="002479ED" w:rsidRPr="00FB22F9" w:rsidRDefault="002479ED" w:rsidP="007E236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3172B7F" w14:textId="77777777" w:rsidR="0052363E" w:rsidRPr="0052363E" w:rsidRDefault="0052363E" w:rsidP="0052363E">
            <w:pPr>
              <w:pStyle w:val="Odsekzoznamu"/>
              <w:numPr>
                <w:ilvl w:val="0"/>
                <w:numId w:val="1"/>
              </w:numPr>
              <w:tabs>
                <w:tab w:val="left" w:pos="766"/>
              </w:tabs>
              <w:ind w:left="908" w:hanging="425"/>
              <w:rPr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v primárnom práve</w:t>
            </w:r>
          </w:p>
          <w:p w14:paraId="4DBA6A3F" w14:textId="3B06117E" w:rsidR="0052363E" w:rsidRPr="0052363E" w:rsidRDefault="0052363E" w:rsidP="0052363E">
            <w:pPr>
              <w:tabs>
                <w:tab w:val="left" w:pos="766"/>
              </w:tabs>
              <w:ind w:left="483"/>
              <w:rPr>
                <w:i/>
                <w:sz w:val="25"/>
                <w:szCs w:val="25"/>
              </w:rPr>
            </w:pPr>
            <w:r>
              <w:t xml:space="preserve">čl. </w:t>
            </w:r>
            <w:r w:rsidRPr="00226491">
              <w:t>114 Zmluvy</w:t>
            </w:r>
            <w:r>
              <w:t xml:space="preserve"> o fungovaní Európskej únie v platnom znení, </w:t>
            </w:r>
          </w:p>
          <w:p w14:paraId="6B8953DD" w14:textId="3FCCA627" w:rsidR="002479ED" w:rsidRPr="009B6669" w:rsidRDefault="002479ED" w:rsidP="00FB22F9"/>
        </w:tc>
      </w:tr>
      <w:tr w:rsidR="002479ED" w:rsidRPr="009B6669" w14:paraId="3463AB74" w14:textId="77777777" w:rsidTr="007E2369">
        <w:tc>
          <w:tcPr>
            <w:tcW w:w="404" w:type="dxa"/>
          </w:tcPr>
          <w:p w14:paraId="0CC1D3F6" w14:textId="77777777" w:rsidR="002479ED" w:rsidRPr="00FB22F9" w:rsidRDefault="002479ED" w:rsidP="007E236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5AB2BE37" w14:textId="5CC55674" w:rsidR="00E6294E" w:rsidRPr="0052363E" w:rsidRDefault="009B6669" w:rsidP="00FB22F9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ind w:firstLine="123"/>
              <w:rPr>
                <w:i/>
                <w:sz w:val="25"/>
                <w:szCs w:val="25"/>
              </w:rPr>
            </w:pPr>
            <w:r w:rsidRPr="00FB22F9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="0052363E">
              <w:rPr>
                <w:rFonts w:ascii="Times" w:hAnsi="Times" w:cs="Times"/>
                <w:i/>
                <w:sz w:val="25"/>
                <w:szCs w:val="25"/>
              </w:rPr>
              <w:t>v sekundárnom práve</w:t>
            </w:r>
          </w:p>
          <w:p w14:paraId="0ED7DE09" w14:textId="77777777" w:rsidR="00E521BA" w:rsidRDefault="00E521BA" w:rsidP="003226FA">
            <w:pPr>
              <w:tabs>
                <w:tab w:val="left" w:pos="766"/>
              </w:tabs>
              <w:ind w:left="483"/>
              <w:rPr>
                <w:highlight w:val="yellow"/>
              </w:rPr>
            </w:pPr>
          </w:p>
          <w:p w14:paraId="2B97B045" w14:textId="05B957E2" w:rsidR="00E521BA" w:rsidRPr="00A21EA9" w:rsidRDefault="00E521BA" w:rsidP="00106329">
            <w:pPr>
              <w:tabs>
                <w:tab w:val="left" w:pos="766"/>
              </w:tabs>
              <w:ind w:left="483"/>
              <w:jc w:val="both"/>
            </w:pPr>
            <w:r w:rsidRPr="00A21EA9">
              <w:t>S</w:t>
            </w:r>
            <w:r w:rsidR="00BC6EB8" w:rsidRPr="00A21EA9">
              <w:t>mernica Európskeho parlamentu a R</w:t>
            </w:r>
            <w:r w:rsidRPr="00A21EA9">
              <w:t xml:space="preserve">ady (EÚ) 2021/555 z 24. marca 2021 o kontrole nadobúdania a držania zbraní </w:t>
            </w:r>
            <w:r w:rsidR="00EB245D">
              <w:t xml:space="preserve"> (kodifikované znenie) </w:t>
            </w:r>
            <w:r w:rsidRPr="00A21EA9">
              <w:t>(Ú. V. EÚ L 115, 6. 4. 2021)</w:t>
            </w:r>
            <w:r w:rsidR="00F86339">
              <w:t>.</w:t>
            </w:r>
            <w:r w:rsidR="004B28F1" w:rsidRPr="00A21EA9">
              <w:t xml:space="preserve"> </w:t>
            </w:r>
          </w:p>
          <w:p w14:paraId="6D134440" w14:textId="3C9A75C7" w:rsidR="003226FA" w:rsidRPr="00A21EA9" w:rsidRDefault="003226FA" w:rsidP="003226FA">
            <w:pPr>
              <w:tabs>
                <w:tab w:val="left" w:pos="766"/>
              </w:tabs>
              <w:ind w:left="483"/>
            </w:pPr>
            <w:r w:rsidRPr="00A21EA9">
              <w:t xml:space="preserve">Gestor: MV SR, </w:t>
            </w:r>
            <w:proofErr w:type="spellStart"/>
            <w:r w:rsidRPr="00A21EA9">
              <w:t>spolugestor</w:t>
            </w:r>
            <w:proofErr w:type="spellEnd"/>
            <w:r w:rsidRPr="00A21EA9">
              <w:t>: ÚNMS SR</w:t>
            </w:r>
          </w:p>
          <w:p w14:paraId="55441674" w14:textId="77777777" w:rsidR="0052363E" w:rsidRPr="00A21EA9" w:rsidRDefault="0052363E" w:rsidP="003226FA">
            <w:pPr>
              <w:tabs>
                <w:tab w:val="left" w:pos="766"/>
              </w:tabs>
            </w:pPr>
          </w:p>
          <w:p w14:paraId="307279B6" w14:textId="77777777" w:rsidR="0052363E" w:rsidRPr="00A21EA9" w:rsidRDefault="0052363E" w:rsidP="0052363E">
            <w:pPr>
              <w:tabs>
                <w:tab w:val="left" w:pos="766"/>
              </w:tabs>
              <w:ind w:left="483"/>
            </w:pPr>
            <w:r w:rsidRPr="00A21EA9">
              <w:t>Vykonávacia smernica Komisie (EÚ) 2019/68 zo 16. januára 2019, ktorou sa stanovujú technické špecifikácie označovania strelných zbraní a ich hlavných častí podľa smernice Rady 91/477/EHS o kontrole získavania a vlastnenia zbraní (Ú. v. EÚ L 15, 17. 1. 2019).</w:t>
            </w:r>
          </w:p>
          <w:p w14:paraId="32B4017A" w14:textId="542803F8" w:rsidR="0052363E" w:rsidRPr="00A21EA9" w:rsidRDefault="0052363E" w:rsidP="0052363E">
            <w:pPr>
              <w:tabs>
                <w:tab w:val="left" w:pos="766"/>
              </w:tabs>
              <w:ind w:left="483"/>
            </w:pPr>
            <w:r w:rsidRPr="00A21EA9">
              <w:t>Gestor:</w:t>
            </w:r>
            <w:r w:rsidR="003226FA" w:rsidRPr="00A21EA9">
              <w:t xml:space="preserve"> ÚNMS SR</w:t>
            </w:r>
          </w:p>
          <w:p w14:paraId="56832420" w14:textId="77777777" w:rsidR="0052363E" w:rsidRPr="00A21EA9" w:rsidRDefault="0052363E" w:rsidP="0052363E">
            <w:pPr>
              <w:tabs>
                <w:tab w:val="left" w:pos="766"/>
              </w:tabs>
              <w:ind w:left="483"/>
            </w:pPr>
          </w:p>
          <w:p w14:paraId="3EA96E4D" w14:textId="000DC1C9" w:rsidR="0052363E" w:rsidRPr="00A21EA9" w:rsidRDefault="0052363E" w:rsidP="0052363E">
            <w:pPr>
              <w:tabs>
                <w:tab w:val="left" w:pos="766"/>
              </w:tabs>
              <w:ind w:left="483"/>
            </w:pPr>
            <w:r w:rsidRPr="00A21EA9">
              <w:t>Vykonávacia smernica Komisie (EÚ) 2019/69 zo 16. januára 2019, ktorou sa stanovujú technické špecifikácie pre poplašné a signálne zbrane podľa smernice Rady 91/477/EHS o kontrole získavania a vlastnenia zbraní (Ú. v. EÚ L 15, 17. 1. 2019).</w:t>
            </w:r>
          </w:p>
          <w:p w14:paraId="2ACFED8C" w14:textId="5ECC297C" w:rsidR="0052363E" w:rsidRPr="0052363E" w:rsidRDefault="0052363E" w:rsidP="0052363E">
            <w:pPr>
              <w:tabs>
                <w:tab w:val="left" w:pos="766"/>
              </w:tabs>
              <w:ind w:left="483"/>
            </w:pPr>
            <w:r w:rsidRPr="00A21EA9">
              <w:t>Gestor:</w:t>
            </w:r>
            <w:r w:rsidR="003226FA" w:rsidRPr="00A21EA9">
              <w:t xml:space="preserve"> ÚNMS S</w:t>
            </w:r>
            <w:r w:rsidR="00EE6817" w:rsidRPr="00A21EA9">
              <w:t>R</w:t>
            </w:r>
          </w:p>
          <w:p w14:paraId="3BF20155" w14:textId="785BD0A9" w:rsidR="00E6294E" w:rsidRPr="00FB22F9" w:rsidRDefault="00E6294E" w:rsidP="00FB22F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  <w:p w14:paraId="5DE265BA" w14:textId="4AF73AD0" w:rsidR="00E6294E" w:rsidRPr="00FB22F9" w:rsidRDefault="009B6669" w:rsidP="00FB22F9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ind w:firstLine="123"/>
              <w:rPr>
                <w:i/>
                <w:sz w:val="25"/>
                <w:szCs w:val="25"/>
              </w:rPr>
            </w:pPr>
            <w:r w:rsidRPr="00FB22F9">
              <w:rPr>
                <w:i/>
                <w:sz w:val="25"/>
                <w:szCs w:val="25"/>
              </w:rPr>
              <w:t xml:space="preserve"> </w:t>
            </w:r>
            <w:r w:rsidR="00E6294E" w:rsidRPr="00FB22F9">
              <w:rPr>
                <w:i/>
                <w:sz w:val="25"/>
                <w:szCs w:val="25"/>
              </w:rPr>
              <w:t xml:space="preserve">v judikatúre Súdneho dvora Európskej únie </w:t>
            </w:r>
          </w:p>
          <w:p w14:paraId="06889D2A" w14:textId="77777777" w:rsidR="00E6294E" w:rsidRPr="009B6669" w:rsidRDefault="00E6294E" w:rsidP="00FB22F9">
            <w:pPr>
              <w:pStyle w:val="Odsekzoznamu"/>
              <w:tabs>
                <w:tab w:val="left" w:pos="360"/>
              </w:tabs>
              <w:ind w:left="360"/>
              <w:rPr>
                <w:rFonts w:ascii="Times" w:hAnsi="Times" w:cs="Times"/>
                <w:sz w:val="25"/>
                <w:szCs w:val="25"/>
              </w:rPr>
            </w:pPr>
          </w:p>
          <w:p w14:paraId="4DA5E66E" w14:textId="4CD1FBC2" w:rsidR="00E6294E" w:rsidRDefault="009420B7" w:rsidP="004A6ED3">
            <w:pPr>
              <w:pStyle w:val="Odsekzoznamu"/>
              <w:tabs>
                <w:tab w:val="left" w:pos="624"/>
              </w:tabs>
              <w:ind w:left="483"/>
              <w:jc w:val="both"/>
            </w:pPr>
            <w:r w:rsidRPr="00CC589F">
              <w:t>Rozsudok Súdneho dvora Európskej únie z 3. decembra 2019 vo veci C 482/17 (ECLI: ECLI:EU:C:2019:1035)</w:t>
            </w:r>
            <w:r w:rsidR="004A6ED3">
              <w:t>, ktorého predmetom bola žaloba o</w:t>
            </w:r>
            <w:r w:rsidR="004A6ED3" w:rsidRPr="004A6ED3">
              <w:t xml:space="preserve"> zrušenie smernice Európskeho parlamentu a Rady (EÚ) 2017/853 zo 17. mája 2017, ktorou sa mení smernica Rady 91/477/EHS o kontrole získavania a vlastnenia zbra</w:t>
            </w:r>
            <w:r w:rsidR="004A6ED3">
              <w:t>ní (Ú. v. EÚ L 137, 2017, s. 22)</w:t>
            </w:r>
            <w:r w:rsidR="004A6ED3" w:rsidRPr="004A6ED3">
              <w:t xml:space="preserve"> a subsidiárne čiastočné zrušenie článku 1 bodov 6, 7 a 19 tejto smernice.</w:t>
            </w:r>
          </w:p>
          <w:p w14:paraId="21684C1B" w14:textId="77777777" w:rsidR="004A6ED3" w:rsidRPr="00FB22F9" w:rsidRDefault="004A6ED3" w:rsidP="004A6ED3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  <w:p w14:paraId="226B6840" w14:textId="1F403E02" w:rsidR="009B6669" w:rsidRPr="009B6669" w:rsidRDefault="009B6669" w:rsidP="009B6669">
            <w:pPr>
              <w:ind w:left="360" w:hanging="360"/>
              <w:rPr>
                <w:b/>
                <w:sz w:val="25"/>
                <w:szCs w:val="25"/>
              </w:rPr>
            </w:pPr>
            <w:r w:rsidRPr="009B6669">
              <w:rPr>
                <w:b/>
                <w:sz w:val="25"/>
                <w:szCs w:val="25"/>
              </w:rPr>
              <w:t>4.</w:t>
            </w:r>
            <w:r w:rsidRPr="009B6669">
              <w:rPr>
                <w:b/>
                <w:sz w:val="25"/>
                <w:szCs w:val="25"/>
              </w:rPr>
              <w:tab/>
              <w:t xml:space="preserve">Záväzky Slovenskej republiky vo vzťahu k Európskej únii: </w:t>
            </w:r>
          </w:p>
          <w:p w14:paraId="0D8B1B59" w14:textId="77777777" w:rsidR="009B6669" w:rsidRPr="009B6669" w:rsidRDefault="009B6669" w:rsidP="009B6669">
            <w:pPr>
              <w:rPr>
                <w:sz w:val="25"/>
                <w:szCs w:val="25"/>
              </w:rPr>
            </w:pPr>
          </w:p>
          <w:p w14:paraId="37FD6D4D" w14:textId="39D4F540" w:rsidR="00202216" w:rsidRPr="00202216" w:rsidRDefault="009B6669" w:rsidP="00202216">
            <w:pPr>
              <w:pStyle w:val="Odsekzoznamu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202216">
              <w:rPr>
                <w:sz w:val="25"/>
                <w:szCs w:val="25"/>
              </w:rPr>
              <w:t xml:space="preserve">uviesť lehotu </w:t>
            </w:r>
            <w:r w:rsidR="006F2A4A">
              <w:rPr>
                <w:sz w:val="25"/>
                <w:szCs w:val="25"/>
              </w:rPr>
              <w:t xml:space="preserve">na </w:t>
            </w:r>
            <w:r w:rsidR="00202216" w:rsidRPr="00202216">
              <w:rPr>
                <w:sz w:val="25"/>
                <w:szCs w:val="25"/>
              </w:rPr>
              <w:t>prebranie príslušného právneho aktu Európskej únie, príp. aj osobitnú lehotu účinnosti jeho ustanovení</w:t>
            </w:r>
          </w:p>
          <w:p w14:paraId="5E936104" w14:textId="4175604D" w:rsidR="009B6669" w:rsidRPr="009B6669" w:rsidRDefault="009B6669" w:rsidP="00FB22F9">
            <w:pPr>
              <w:pStyle w:val="Odsekzoznamu"/>
              <w:ind w:right="858"/>
              <w:rPr>
                <w:sz w:val="25"/>
                <w:szCs w:val="25"/>
              </w:rPr>
            </w:pPr>
          </w:p>
          <w:p w14:paraId="4EFC3C51" w14:textId="1767C8E3" w:rsidR="009B6669" w:rsidRPr="00FB22F9" w:rsidRDefault="004B28F1" w:rsidP="00FB22F9">
            <w:pPr>
              <w:pStyle w:val="Odsekzoznamu"/>
              <w:ind w:right="85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bezpredmetné</w:t>
            </w:r>
          </w:p>
          <w:p w14:paraId="49412457" w14:textId="77777777" w:rsidR="009B6669" w:rsidRPr="009B6669" w:rsidRDefault="009B6669" w:rsidP="00FB22F9">
            <w:pPr>
              <w:ind w:left="720" w:right="858"/>
              <w:rPr>
                <w:sz w:val="25"/>
                <w:szCs w:val="25"/>
              </w:rPr>
            </w:pPr>
          </w:p>
          <w:p w14:paraId="0338F172" w14:textId="4E211BC0" w:rsidR="009B6669" w:rsidRPr="009B6669" w:rsidRDefault="009B6669" w:rsidP="00FB22F9">
            <w:pPr>
              <w:ind w:left="709" w:right="858" w:hanging="349"/>
              <w:jc w:val="both"/>
              <w:rPr>
                <w:sz w:val="25"/>
                <w:szCs w:val="25"/>
              </w:rPr>
            </w:pPr>
            <w:r w:rsidRPr="009B6669">
              <w:rPr>
                <w:sz w:val="25"/>
                <w:szCs w:val="25"/>
              </w:rPr>
              <w:t>b)</w:t>
            </w:r>
            <w:r w:rsidRPr="009B6669">
              <w:rPr>
                <w:sz w:val="25"/>
                <w:szCs w:val="25"/>
              </w:rPr>
              <w:tab/>
            </w:r>
            <w:r w:rsidR="00F61DDF">
              <w:rPr>
                <w:sz w:val="25"/>
                <w:szCs w:val="25"/>
              </w:rPr>
              <w:t xml:space="preserve">uviesť </w:t>
            </w:r>
            <w:r w:rsidRPr="009B6669">
              <w:rPr>
                <w:rFonts w:ascii="Times" w:hAnsi="Times" w:cs="Times"/>
                <w:sz w:val="25"/>
                <w:szCs w:val="25"/>
              </w:rPr>
              <w:t>informáci</w:t>
            </w:r>
            <w:r w:rsidR="00F61DDF">
              <w:rPr>
                <w:rFonts w:ascii="Times" w:hAnsi="Times" w:cs="Times"/>
                <w:sz w:val="25"/>
                <w:szCs w:val="25"/>
              </w:rPr>
              <w:t>u</w:t>
            </w:r>
            <w:r w:rsidRPr="009B6669">
              <w:rPr>
                <w:rFonts w:ascii="Times" w:hAnsi="Times" w:cs="Times"/>
                <w:sz w:val="25"/>
                <w:szCs w:val="25"/>
              </w:rPr>
              <w:t xml:space="preserve"> o začatí konania v rámci „EÚ Pilot“ alebo o začatí postupu Európskej komisie, alebo o konaní Súdneho dvora Európskej únie proti Slovenskej republike podľa čl. 258 a 260 Zmluvy o fungovaní Európskej únie </w:t>
            </w:r>
            <w:r w:rsidRPr="009B6669">
              <w:rPr>
                <w:rFonts w:ascii="Times" w:hAnsi="Times" w:cs="Times"/>
                <w:sz w:val="25"/>
                <w:szCs w:val="25"/>
              </w:rPr>
              <w:lastRenderedPageBreak/>
              <w:t xml:space="preserve">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3A934E2C" w14:textId="77777777" w:rsidR="009B6669" w:rsidRPr="009B6669" w:rsidRDefault="009B6669" w:rsidP="00FB22F9">
            <w:pPr>
              <w:ind w:left="709" w:right="858" w:hanging="349"/>
              <w:rPr>
                <w:sz w:val="25"/>
                <w:szCs w:val="25"/>
              </w:rPr>
            </w:pPr>
            <w:r w:rsidRPr="009B6669">
              <w:rPr>
                <w:sz w:val="25"/>
                <w:szCs w:val="25"/>
              </w:rPr>
              <w:tab/>
            </w:r>
          </w:p>
          <w:p w14:paraId="144AF234" w14:textId="0DBC2F6B" w:rsidR="003F61FE" w:rsidRDefault="009B6669" w:rsidP="00CC589F">
            <w:pPr>
              <w:ind w:left="624"/>
              <w:rPr>
                <w:color w:val="000000"/>
                <w:sz w:val="27"/>
                <w:szCs w:val="27"/>
              </w:rPr>
            </w:pPr>
            <w:r w:rsidRPr="009B6669">
              <w:rPr>
                <w:sz w:val="25"/>
                <w:szCs w:val="25"/>
              </w:rPr>
              <w:tab/>
            </w:r>
            <w:r w:rsidR="003F61FE" w:rsidRPr="00CC589F">
              <w:rPr>
                <w:color w:val="000000"/>
              </w:rPr>
              <w:t>-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konanie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o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porušení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zmlúv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vedené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pod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č.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2018/0394  z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dôvodu</w:t>
            </w:r>
            <w:r w:rsidR="003F61FE" w:rsidRPr="00CC589F">
              <w:rPr>
                <w:color w:val="000000"/>
                <w:spacing w:val="78"/>
              </w:rPr>
              <w:t xml:space="preserve"> </w:t>
            </w:r>
            <w:r w:rsidR="003F61FE" w:rsidRPr="00CC589F">
              <w:rPr>
                <w:color w:val="000000"/>
              </w:rPr>
              <w:t>neoznámenia transpozičných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>opatrení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>k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>smernici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>Európskeho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>parlamentu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>a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>Rady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>(EÚ)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>2017/853</w:t>
            </w:r>
            <w:r w:rsidR="003F61FE" w:rsidRPr="00CC589F">
              <w:rPr>
                <w:color w:val="000000"/>
                <w:spacing w:val="13"/>
              </w:rPr>
              <w:t xml:space="preserve"> </w:t>
            </w:r>
            <w:r w:rsidR="003F61FE" w:rsidRPr="00CC589F">
              <w:rPr>
                <w:color w:val="000000"/>
              </w:rPr>
              <w:t xml:space="preserve">zo </w:t>
            </w:r>
            <w:r w:rsidR="003F61FE">
              <w:rPr>
                <w:color w:val="000000"/>
              </w:rPr>
              <w:br/>
            </w:r>
            <w:r w:rsidR="003F61FE" w:rsidRPr="00CC589F">
              <w:rPr>
                <w:color w:val="000000"/>
              </w:rPr>
              <w:t>17.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mája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2017,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ktorou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sa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mení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smernica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Rady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91/477/EHS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o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kontrole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získavania</w:t>
            </w:r>
            <w:r w:rsidR="003F61FE" w:rsidRPr="00CC589F">
              <w:rPr>
                <w:color w:val="000000"/>
                <w:spacing w:val="36"/>
              </w:rPr>
              <w:t xml:space="preserve"> </w:t>
            </w:r>
            <w:r w:rsidR="003F61FE" w:rsidRPr="00CC589F">
              <w:rPr>
                <w:color w:val="000000"/>
              </w:rPr>
              <w:t>a vlastnenia zbraní.</w:t>
            </w:r>
          </w:p>
          <w:p w14:paraId="4EE1BF8D" w14:textId="1E38C595" w:rsidR="001057CB" w:rsidRPr="00CC589F" w:rsidRDefault="001057CB" w:rsidP="003F61FE">
            <w:pPr>
              <w:ind w:left="709" w:right="858" w:hanging="349"/>
              <w:rPr>
                <w:sz w:val="25"/>
                <w:szCs w:val="25"/>
              </w:rPr>
            </w:pPr>
          </w:p>
          <w:p w14:paraId="44B3CD27" w14:textId="77777777" w:rsidR="009B6669" w:rsidRPr="009B6669" w:rsidRDefault="009B6669" w:rsidP="00FB22F9">
            <w:pPr>
              <w:ind w:left="709" w:right="858" w:hanging="349"/>
              <w:rPr>
                <w:sz w:val="25"/>
                <w:szCs w:val="25"/>
              </w:rPr>
            </w:pPr>
          </w:p>
          <w:p w14:paraId="40D23C77" w14:textId="42613505" w:rsidR="009B6669" w:rsidRDefault="009B6669" w:rsidP="00FB22F9">
            <w:pPr>
              <w:ind w:left="705" w:right="858" w:hanging="705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9B6669">
              <w:rPr>
                <w:sz w:val="25"/>
                <w:szCs w:val="25"/>
              </w:rPr>
              <w:t>c)</w:t>
            </w:r>
            <w:r w:rsidRPr="009B6669">
              <w:rPr>
                <w:sz w:val="25"/>
                <w:szCs w:val="25"/>
              </w:rPr>
              <w:tab/>
            </w:r>
            <w:r w:rsidR="00F61DDF">
              <w:rPr>
                <w:sz w:val="25"/>
                <w:szCs w:val="25"/>
              </w:rPr>
              <w:t xml:space="preserve">uviesť </w:t>
            </w:r>
            <w:r w:rsidRPr="009B6669">
              <w:rPr>
                <w:rFonts w:ascii="Times" w:hAnsi="Times" w:cs="Times"/>
                <w:sz w:val="25"/>
                <w:szCs w:val="25"/>
              </w:rPr>
              <w:t>informáci</w:t>
            </w:r>
            <w:r w:rsidR="00F61DDF">
              <w:rPr>
                <w:rFonts w:ascii="Times" w:hAnsi="Times" w:cs="Times"/>
                <w:sz w:val="25"/>
                <w:szCs w:val="25"/>
              </w:rPr>
              <w:t>u</w:t>
            </w:r>
            <w:r w:rsidRPr="009B6669">
              <w:rPr>
                <w:rFonts w:ascii="Times" w:hAnsi="Times" w:cs="Times"/>
                <w:sz w:val="25"/>
                <w:szCs w:val="25"/>
              </w:rPr>
              <w:t xml:space="preserve"> o právnych predpisoch, v ktorých sú preberané smernice už prebra</w:t>
            </w:r>
            <w:r w:rsidR="00F61DDF">
              <w:rPr>
                <w:rFonts w:ascii="Times" w:hAnsi="Times" w:cs="Times"/>
                <w:sz w:val="25"/>
                <w:szCs w:val="25"/>
              </w:rPr>
              <w:t>n</w:t>
            </w:r>
            <w:r w:rsidRPr="009B6669">
              <w:rPr>
                <w:rFonts w:ascii="Times" w:hAnsi="Times" w:cs="Times"/>
                <w:sz w:val="25"/>
                <w:szCs w:val="25"/>
              </w:rPr>
              <w:t xml:space="preserve">é spolu s uvedením rozsahu </w:t>
            </w:r>
            <w:r w:rsidR="00F61DDF">
              <w:rPr>
                <w:rFonts w:ascii="Times" w:hAnsi="Times" w:cs="Times"/>
                <w:sz w:val="25"/>
                <w:szCs w:val="25"/>
              </w:rPr>
              <w:t>ich prebrania, príp. potreby prijatia ďalších úprav</w:t>
            </w:r>
            <w:r w:rsidRPr="009B6669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263BCB4C" w14:textId="77777777" w:rsidR="004B28F1" w:rsidRPr="009B6669" w:rsidRDefault="004B28F1" w:rsidP="00FB22F9">
            <w:pPr>
              <w:ind w:left="705" w:right="858" w:hanging="705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0CCDF466" w14:textId="7E314768" w:rsidR="004B28F1" w:rsidRDefault="004B28F1" w:rsidP="004B28F1">
            <w:pPr>
              <w:ind w:left="766" w:hanging="142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>
              <w:rPr>
                <w:rFonts w:ascii="Times" w:hAnsi="Times" w:cs="Times"/>
                <w:sz w:val="25"/>
                <w:szCs w:val="25"/>
              </w:rPr>
              <w:t>zákon č. 190/2003 Z. z. o strelných zbraniach a strelive a o zmene a doplnení niektorých zákonov v znení neskorších predpisov.</w:t>
            </w:r>
          </w:p>
          <w:p w14:paraId="438D4D21" w14:textId="77777777" w:rsidR="004B28F1" w:rsidRDefault="004B28F1" w:rsidP="004B28F1">
            <w:pPr>
              <w:ind w:left="766" w:hanging="142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11113105" w14:textId="00F8F7A6" w:rsidR="004B28F1" w:rsidRDefault="004B28F1" w:rsidP="004B28F1">
            <w:pPr>
              <w:ind w:left="766" w:hanging="142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 č. 64/2019 Z. z. </w:t>
            </w:r>
            <w:r w:rsidRPr="004B28F1">
              <w:rPr>
                <w:rFonts w:ascii="Times" w:hAnsi="Times" w:cs="Times"/>
                <w:sz w:val="25"/>
                <w:szCs w:val="25"/>
              </w:rPr>
              <w:t>o sprístupňovaní strelných zbraní a streliva na civilné použitie na trhu v znení zákona č. 376/2019 Z. z.</w:t>
            </w:r>
          </w:p>
          <w:p w14:paraId="56FCA1E2" w14:textId="77777777" w:rsidR="009B6669" w:rsidRPr="009B6669" w:rsidRDefault="009B6669" w:rsidP="009B6669">
            <w:pPr>
              <w:ind w:firstLine="708"/>
              <w:rPr>
                <w:sz w:val="25"/>
                <w:szCs w:val="25"/>
              </w:rPr>
            </w:pPr>
          </w:p>
          <w:p w14:paraId="34DB3E4F" w14:textId="77777777" w:rsidR="009B6669" w:rsidRPr="009B6669" w:rsidRDefault="009B6669" w:rsidP="009B6669">
            <w:pPr>
              <w:ind w:left="360" w:hanging="360"/>
              <w:rPr>
                <w:b/>
                <w:sz w:val="25"/>
                <w:szCs w:val="25"/>
              </w:rPr>
            </w:pPr>
            <w:r w:rsidRPr="009B6669">
              <w:rPr>
                <w:b/>
                <w:sz w:val="25"/>
                <w:szCs w:val="25"/>
              </w:rPr>
              <w:t>5.</w:t>
            </w:r>
            <w:r w:rsidRPr="009B6669">
              <w:rPr>
                <w:b/>
                <w:sz w:val="25"/>
                <w:szCs w:val="25"/>
              </w:rPr>
              <w:tab/>
              <w:t>Návrh právneho predpisu je zlučiteľný s právom Európskej únie:</w:t>
            </w:r>
          </w:p>
          <w:p w14:paraId="59F2230E" w14:textId="77777777" w:rsidR="009B6669" w:rsidRPr="009B6669" w:rsidRDefault="009B6669" w:rsidP="009B6669">
            <w:pPr>
              <w:ind w:left="360" w:hanging="360"/>
              <w:rPr>
                <w:b/>
                <w:sz w:val="25"/>
                <w:szCs w:val="25"/>
              </w:rPr>
            </w:pPr>
          </w:p>
          <w:p w14:paraId="60B25494" w14:textId="61CBE926" w:rsidR="009B6669" w:rsidRPr="003226FA" w:rsidRDefault="009B6669" w:rsidP="003226FA">
            <w:pPr>
              <w:pStyle w:val="Odsekzoznamu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3226FA">
              <w:rPr>
                <w:sz w:val="25"/>
                <w:szCs w:val="25"/>
              </w:rPr>
              <w:t>úplne</w:t>
            </w:r>
          </w:p>
        </w:tc>
      </w:tr>
      <w:tr w:rsidR="003226FA" w:rsidRPr="009B6669" w14:paraId="219684E6" w14:textId="77777777" w:rsidTr="007E2369">
        <w:tc>
          <w:tcPr>
            <w:tcW w:w="404" w:type="dxa"/>
          </w:tcPr>
          <w:p w14:paraId="1D70297D" w14:textId="77777777" w:rsidR="003226FA" w:rsidRPr="00FB22F9" w:rsidRDefault="003226FA" w:rsidP="007E236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72F44F63" w14:textId="77777777" w:rsidR="003226FA" w:rsidRPr="003226FA" w:rsidRDefault="003226FA" w:rsidP="003226FA">
            <w:pPr>
              <w:tabs>
                <w:tab w:val="left" w:pos="360"/>
              </w:tabs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</w:tbl>
    <w:p w14:paraId="26CF3E50" w14:textId="77777777" w:rsidR="008537D8" w:rsidRDefault="004A6ED3" w:rsidP="00A95EB7"/>
    <w:sectPr w:rsidR="00853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40C4" w14:textId="77777777" w:rsidR="00304FA3" w:rsidRDefault="00304FA3" w:rsidP="000115E1">
      <w:r>
        <w:separator/>
      </w:r>
    </w:p>
  </w:endnote>
  <w:endnote w:type="continuationSeparator" w:id="0">
    <w:p w14:paraId="19FF7A2D" w14:textId="77777777" w:rsidR="00304FA3" w:rsidRDefault="00304FA3" w:rsidP="0001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ED56" w14:textId="77777777" w:rsidR="000115E1" w:rsidRDefault="000115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89CA" w14:textId="77777777" w:rsidR="000115E1" w:rsidRDefault="000115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D51F" w14:textId="77777777" w:rsidR="000115E1" w:rsidRDefault="000115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D644" w14:textId="77777777" w:rsidR="00304FA3" w:rsidRDefault="00304FA3" w:rsidP="000115E1">
      <w:r>
        <w:separator/>
      </w:r>
    </w:p>
  </w:footnote>
  <w:footnote w:type="continuationSeparator" w:id="0">
    <w:p w14:paraId="63EFE266" w14:textId="77777777" w:rsidR="00304FA3" w:rsidRDefault="00304FA3" w:rsidP="0001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B6A6" w14:textId="77777777" w:rsidR="000115E1" w:rsidRDefault="000115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3478" w14:textId="77777777" w:rsidR="000115E1" w:rsidRDefault="000115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B40E" w14:textId="77777777" w:rsidR="000115E1" w:rsidRDefault="000115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736"/>
    <w:multiLevelType w:val="hybridMultilevel"/>
    <w:tmpl w:val="659A4E52"/>
    <w:lvl w:ilvl="0" w:tplc="2D92AB62">
      <w:start w:val="1"/>
      <w:numFmt w:val="decimal"/>
      <w:lvlText w:val="%1."/>
      <w:lvlJc w:val="left"/>
      <w:pPr>
        <w:ind w:left="98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01" w:hanging="360"/>
      </w:pPr>
    </w:lvl>
    <w:lvl w:ilvl="2" w:tplc="041B001B" w:tentative="1">
      <w:start w:val="1"/>
      <w:numFmt w:val="lowerRoman"/>
      <w:lvlText w:val="%3."/>
      <w:lvlJc w:val="right"/>
      <w:pPr>
        <w:ind w:left="2421" w:hanging="180"/>
      </w:pPr>
    </w:lvl>
    <w:lvl w:ilvl="3" w:tplc="041B000F" w:tentative="1">
      <w:start w:val="1"/>
      <w:numFmt w:val="decimal"/>
      <w:lvlText w:val="%4."/>
      <w:lvlJc w:val="left"/>
      <w:pPr>
        <w:ind w:left="3141" w:hanging="360"/>
      </w:pPr>
    </w:lvl>
    <w:lvl w:ilvl="4" w:tplc="041B0019" w:tentative="1">
      <w:start w:val="1"/>
      <w:numFmt w:val="lowerLetter"/>
      <w:lvlText w:val="%5."/>
      <w:lvlJc w:val="left"/>
      <w:pPr>
        <w:ind w:left="3861" w:hanging="360"/>
      </w:pPr>
    </w:lvl>
    <w:lvl w:ilvl="5" w:tplc="041B001B" w:tentative="1">
      <w:start w:val="1"/>
      <w:numFmt w:val="lowerRoman"/>
      <w:lvlText w:val="%6."/>
      <w:lvlJc w:val="right"/>
      <w:pPr>
        <w:ind w:left="4581" w:hanging="180"/>
      </w:pPr>
    </w:lvl>
    <w:lvl w:ilvl="6" w:tplc="041B000F" w:tentative="1">
      <w:start w:val="1"/>
      <w:numFmt w:val="decimal"/>
      <w:lvlText w:val="%7."/>
      <w:lvlJc w:val="left"/>
      <w:pPr>
        <w:ind w:left="5301" w:hanging="360"/>
      </w:pPr>
    </w:lvl>
    <w:lvl w:ilvl="7" w:tplc="041B0019" w:tentative="1">
      <w:start w:val="1"/>
      <w:numFmt w:val="lowerLetter"/>
      <w:lvlText w:val="%8."/>
      <w:lvlJc w:val="left"/>
      <w:pPr>
        <w:ind w:left="6021" w:hanging="360"/>
      </w:pPr>
    </w:lvl>
    <w:lvl w:ilvl="8" w:tplc="041B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 w15:restartNumberingAfterBreak="0">
    <w:nsid w:val="5CAD11BA"/>
    <w:multiLevelType w:val="hybridMultilevel"/>
    <w:tmpl w:val="AC6A0806"/>
    <w:lvl w:ilvl="0" w:tplc="D0F2733E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26A569F"/>
    <w:multiLevelType w:val="hybridMultilevel"/>
    <w:tmpl w:val="1A080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B5E06"/>
    <w:multiLevelType w:val="hybridMultilevel"/>
    <w:tmpl w:val="49C80EE2"/>
    <w:lvl w:ilvl="0" w:tplc="4EDA73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E7324"/>
    <w:multiLevelType w:val="hybridMultilevel"/>
    <w:tmpl w:val="D5C2F4EE"/>
    <w:lvl w:ilvl="0" w:tplc="B134B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E"/>
    <w:rsid w:val="000115E1"/>
    <w:rsid w:val="00017598"/>
    <w:rsid w:val="001057CB"/>
    <w:rsid w:val="00106329"/>
    <w:rsid w:val="00202216"/>
    <w:rsid w:val="002074AC"/>
    <w:rsid w:val="002256FE"/>
    <w:rsid w:val="00226491"/>
    <w:rsid w:val="002479ED"/>
    <w:rsid w:val="002F0272"/>
    <w:rsid w:val="00304FA3"/>
    <w:rsid w:val="003226FA"/>
    <w:rsid w:val="003822D9"/>
    <w:rsid w:val="00394343"/>
    <w:rsid w:val="003C2386"/>
    <w:rsid w:val="003F61FE"/>
    <w:rsid w:val="004A6ED3"/>
    <w:rsid w:val="004B28F1"/>
    <w:rsid w:val="00501852"/>
    <w:rsid w:val="0052363E"/>
    <w:rsid w:val="00615C19"/>
    <w:rsid w:val="006E0958"/>
    <w:rsid w:val="006F2A4A"/>
    <w:rsid w:val="0070387B"/>
    <w:rsid w:val="007073A2"/>
    <w:rsid w:val="00707A90"/>
    <w:rsid w:val="007212F0"/>
    <w:rsid w:val="007E38D1"/>
    <w:rsid w:val="008174AE"/>
    <w:rsid w:val="008D45E8"/>
    <w:rsid w:val="008F25A7"/>
    <w:rsid w:val="009368F0"/>
    <w:rsid w:val="009420B7"/>
    <w:rsid w:val="00943F5D"/>
    <w:rsid w:val="009A009B"/>
    <w:rsid w:val="009B6669"/>
    <w:rsid w:val="00A21EA9"/>
    <w:rsid w:val="00A377DD"/>
    <w:rsid w:val="00A9454B"/>
    <w:rsid w:val="00A95EB7"/>
    <w:rsid w:val="00B23ECD"/>
    <w:rsid w:val="00B80DCB"/>
    <w:rsid w:val="00BA34AC"/>
    <w:rsid w:val="00BC6EB8"/>
    <w:rsid w:val="00C25C1E"/>
    <w:rsid w:val="00CC589F"/>
    <w:rsid w:val="00E238C6"/>
    <w:rsid w:val="00E34F2F"/>
    <w:rsid w:val="00E521BA"/>
    <w:rsid w:val="00E6294E"/>
    <w:rsid w:val="00EB245D"/>
    <w:rsid w:val="00EE6817"/>
    <w:rsid w:val="00F61CC5"/>
    <w:rsid w:val="00F61DDF"/>
    <w:rsid w:val="00F66B1E"/>
    <w:rsid w:val="00F7418D"/>
    <w:rsid w:val="00F86339"/>
    <w:rsid w:val="00F92B27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EBF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7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34F2F"/>
    <w:pPr>
      <w:widowControl w:val="0"/>
      <w:autoSpaceDE w:val="0"/>
      <w:autoSpaceDN w:val="0"/>
      <w:adjustRightInd w:val="0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34F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4F2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4F2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F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F2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F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F2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99"/>
    <w:unhideWhenUsed/>
    <w:rsid w:val="002479ED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115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5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15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5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363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94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76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39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4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7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59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_zlucitelnosti"/>
    <f:field ref="objsubject" par="" edit="true" text=""/>
    <f:field ref="objcreatedby" par="" text="Bačová, Michaela, JUDr."/>
    <f:field ref="objcreatedat" par="" text="3.12.2021 14:39:56"/>
    <f:field ref="objchangedby" par="" text="Administrator, System"/>
    <f:field ref="objmodifiedat" par="" text="3.12.2021 14:39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5506880-5824-48AA-82A0-011CA58D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2022-02-24T11:59:00Z</dcterms:created>
  <dcterms:modified xsi:type="dcterms:W3CDTF">2022-03-10T13:34:00Z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Zbrane a strelivo_x000d_
Technické normy_x000d_
Štátna hospodárska politika_x000d_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UNMS/03855/2021-801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LP/2021/644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0" name="FSC#SKEDITIONSLOVLEX@103.510:vytvorenedna">
    <vt:lpwstr>3. 12. 2021</vt:lpwstr>
  </property>
  <property fmtid="{D5CDD505-2E9C-101B-9397-08002B2CF9AE}" pid="151" name="FSC#COOSYSTEM@1.1:Container">
    <vt:lpwstr>COO.2145.1000.3.4712916</vt:lpwstr>
  </property>
  <property fmtid="{D5CDD505-2E9C-101B-9397-08002B2CF9AE}" pid="152" name="FSC#FSCFOLIO@1.1001:docpropproject">
    <vt:lpwstr/>
  </property>
</Properties>
</file>