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C9" w:rsidRDefault="002765C9" w:rsidP="000C7E36">
      <w:pPr>
        <w:widowControl/>
        <w:jc w:val="center"/>
        <w:rPr>
          <w:b/>
          <w:caps/>
          <w:color w:val="000000"/>
          <w:spacing w:val="30"/>
        </w:rPr>
      </w:pPr>
      <w:r w:rsidRPr="00124402">
        <w:rPr>
          <w:b/>
          <w:caps/>
          <w:color w:val="000000"/>
          <w:spacing w:val="30"/>
        </w:rPr>
        <w:t>Predkladacia správa</w:t>
      </w:r>
    </w:p>
    <w:p w:rsidR="00DC0506" w:rsidRPr="00124402" w:rsidRDefault="00DC0506" w:rsidP="000C7E36">
      <w:pPr>
        <w:widowControl/>
        <w:jc w:val="center"/>
        <w:rPr>
          <w:b/>
          <w:caps/>
          <w:color w:val="000000"/>
          <w:spacing w:val="30"/>
        </w:rPr>
      </w:pPr>
    </w:p>
    <w:p w:rsidR="00DC0506" w:rsidRPr="006B7E41" w:rsidRDefault="00DC0506" w:rsidP="00D36EC9">
      <w:pPr>
        <w:ind w:firstLine="708"/>
        <w:jc w:val="both"/>
        <w:rPr>
          <w:rStyle w:val="Zstupntext"/>
          <w:color w:val="auto"/>
        </w:rPr>
      </w:pPr>
      <w:r w:rsidRPr="006B7E41">
        <w:rPr>
          <w:rStyle w:val="Zstupntext"/>
          <w:color w:val="000000"/>
        </w:rPr>
        <w:t xml:space="preserve">Na základe ustanovenia § 70 ods. 2 zákona Národnej rady Slovenskej republiky č. 350/1996 Z. z. o rokovacom poriadku Národnej rady Slovenskej republiky v znení neskorších predpisov a podľa článku 31 Legislatívnych pravidiel vlády Slovenskej republiky Ministerstvo spravodlivosti Slovenskej republiky (ďalej len ,,ministerstvo spravodlivosti“) predkladá </w:t>
      </w:r>
      <w:r w:rsidR="00971851" w:rsidRPr="00E72F89">
        <w:rPr>
          <w:rStyle w:val="Zstupntext"/>
          <w:color w:val="000000"/>
        </w:rPr>
        <w:t xml:space="preserve">na </w:t>
      </w:r>
      <w:r w:rsidR="00971851">
        <w:rPr>
          <w:rStyle w:val="Zstupntext"/>
          <w:color w:val="000000"/>
        </w:rPr>
        <w:t>rokovanie Legislatívnej rady vlády</w:t>
      </w:r>
      <w:r w:rsidR="00971851" w:rsidRPr="00E72F89">
        <w:rPr>
          <w:rStyle w:val="Zstupntext"/>
          <w:color w:val="000000"/>
        </w:rPr>
        <w:t xml:space="preserve"> </w:t>
      </w:r>
      <w:r w:rsidR="00971851">
        <w:rPr>
          <w:rStyle w:val="Zstupntext"/>
          <w:color w:val="000000"/>
        </w:rPr>
        <w:t xml:space="preserve">Slovenskej republiky </w:t>
      </w:r>
      <w:bookmarkStart w:id="0" w:name="_GoBack"/>
      <w:bookmarkEnd w:id="0"/>
      <w:r w:rsidR="00207B32" w:rsidRPr="006B7E41">
        <w:rPr>
          <w:bCs/>
        </w:rPr>
        <w:t xml:space="preserve">návrh skupiny poslancov Národnej rady Slovenskej republiky na vydanie </w:t>
      </w:r>
      <w:r w:rsidR="006B7E41" w:rsidRPr="006B7E41">
        <w:rPr>
          <w:bCs/>
        </w:rPr>
        <w:t xml:space="preserve">ústavného </w:t>
      </w:r>
      <w:r w:rsidR="00207B32" w:rsidRPr="006B7E41">
        <w:rPr>
          <w:bCs/>
        </w:rPr>
        <w:t xml:space="preserve">zákona, </w:t>
      </w:r>
      <w:r w:rsidR="006B7E41" w:rsidRPr="006B7E41">
        <w:rPr>
          <w:shd w:val="clear" w:color="auto" w:fill="FFFFFF"/>
        </w:rPr>
        <w:t xml:space="preserve">ktorým sa dopĺňa ústavný zákon č. 254/2006 Z. z. </w:t>
      </w:r>
      <w:r w:rsidR="006B7E41" w:rsidRPr="006B7E41">
        <w:t xml:space="preserve">o zriadení a činnosti výboru Národnej rady Slovenskej republiky na preskúmavanie rozhodnutí Národného bezpečnostného úradu </w:t>
      </w:r>
      <w:r w:rsidR="006B7E41">
        <w:rPr>
          <w:bCs/>
        </w:rPr>
        <w:t>(tlač 868</w:t>
      </w:r>
      <w:r w:rsidR="00207B32" w:rsidRPr="006B7E41">
        <w:rPr>
          <w:bCs/>
        </w:rPr>
        <w:t xml:space="preserve">) </w:t>
      </w:r>
      <w:r w:rsidRPr="006B7E41">
        <w:rPr>
          <w:rStyle w:val="Zstupntext"/>
          <w:color w:val="000000"/>
        </w:rPr>
        <w:t>(ďalej len ,,poslanecký návrh“).</w:t>
      </w:r>
    </w:p>
    <w:p w:rsidR="00DC0506" w:rsidRDefault="00DC0506" w:rsidP="000C7E36">
      <w:pPr>
        <w:widowControl/>
        <w:jc w:val="both"/>
        <w:rPr>
          <w:rStyle w:val="Zstupntext"/>
          <w:color w:val="000000"/>
        </w:rPr>
      </w:pPr>
    </w:p>
    <w:p w:rsidR="00DC0506" w:rsidRPr="00124402" w:rsidRDefault="00DC0506" w:rsidP="000C7E36">
      <w:pPr>
        <w:widowControl/>
        <w:ind w:firstLine="708"/>
        <w:jc w:val="both"/>
        <w:rPr>
          <w:rStyle w:val="Zstupntext"/>
          <w:color w:val="000000"/>
        </w:rPr>
      </w:pPr>
      <w:r w:rsidRPr="00124402">
        <w:rPr>
          <w:rStyle w:val="Zstupntext"/>
          <w:color w:val="000000"/>
        </w:rPr>
        <w:t>Ministerstvo spravodlivosti k poslaneckému návrhu uvádza nasledovné:</w:t>
      </w:r>
    </w:p>
    <w:p w:rsidR="00DC0506" w:rsidRDefault="00DC0506" w:rsidP="000C7E36">
      <w:pPr>
        <w:widowControl/>
        <w:ind w:firstLine="720"/>
        <w:jc w:val="both"/>
        <w:rPr>
          <w:rStyle w:val="Zstupntext"/>
          <w:color w:val="000000"/>
        </w:rPr>
      </w:pPr>
    </w:p>
    <w:p w:rsidR="00DC0506" w:rsidRPr="00124402" w:rsidRDefault="00DC0506" w:rsidP="000C7E36">
      <w:pPr>
        <w:widowControl/>
        <w:jc w:val="both"/>
        <w:rPr>
          <w:rStyle w:val="Zstupntext"/>
          <w:b/>
          <w:color w:val="000000"/>
          <w:spacing w:val="30"/>
        </w:rPr>
      </w:pPr>
      <w:r w:rsidRPr="00124402">
        <w:rPr>
          <w:rStyle w:val="Zstupntext"/>
          <w:b/>
          <w:color w:val="000000"/>
          <w:spacing w:val="30"/>
        </w:rPr>
        <w:t>Všeobecne</w:t>
      </w:r>
    </w:p>
    <w:p w:rsidR="00DC0506" w:rsidRPr="00124402" w:rsidRDefault="00DC0506" w:rsidP="000C7E36"/>
    <w:p w:rsidR="00DC0506" w:rsidRPr="00DA2E5E" w:rsidRDefault="006B7E41" w:rsidP="00207B32">
      <w:pPr>
        <w:ind w:firstLine="708"/>
        <w:jc w:val="both"/>
        <w:rPr>
          <w:bCs/>
        </w:rPr>
      </w:pPr>
      <w:r w:rsidRPr="00DA2E5E">
        <w:rPr>
          <w:bCs/>
        </w:rPr>
        <w:t xml:space="preserve">Poslanecký návrh má za cieľ zabezpečiť jednoznačný výklad čl. 5 ústavného zákona </w:t>
      </w:r>
      <w:r w:rsidR="00DA2E5E" w:rsidRPr="00DA2E5E">
        <w:rPr>
          <w:shd w:val="clear" w:color="auto" w:fill="FFFFFF"/>
        </w:rPr>
        <w:t xml:space="preserve">č. 254/2006 Z. z. </w:t>
      </w:r>
      <w:r w:rsidR="00DA2E5E" w:rsidRPr="00DA2E5E">
        <w:t xml:space="preserve">o zriadení a činnosti výboru Národnej rady Slovenskej republiky na preskúmavanie rozhodnutí Národného bezpečnostného úradu vo vzťahu k určeniu súdu </w:t>
      </w:r>
      <w:r w:rsidR="00DA2E5E" w:rsidRPr="00D24882">
        <w:t xml:space="preserve">príslušného na </w:t>
      </w:r>
      <w:r w:rsidR="003009EC" w:rsidRPr="00D24882">
        <w:t xml:space="preserve">preskúmanie rozhodnutia výboru. </w:t>
      </w:r>
      <w:r w:rsidR="00657E86" w:rsidRPr="00D24882">
        <w:t>Hierarchické postavenie Najvyššieho správneho súdu Slovenskej republiky je rovnocenné s postavením Najvyššieho súdu Slovenskej republiky</w:t>
      </w:r>
      <w:r w:rsidR="00D24882" w:rsidRPr="00D24882">
        <w:t xml:space="preserve">, </w:t>
      </w:r>
      <w:r w:rsidR="00657E86" w:rsidRPr="00D24882">
        <w:t xml:space="preserve">pričom diferenciačným kritériom je odlišné vymedzenie pôsobnosti oboch súdov. </w:t>
      </w:r>
      <w:r w:rsidR="00D24882" w:rsidRPr="00D24882">
        <w:t xml:space="preserve">Najvyšší súd Slovenskej republiky </w:t>
      </w:r>
      <w:r w:rsidR="00D24882">
        <w:t xml:space="preserve">je </w:t>
      </w:r>
      <w:r w:rsidR="00D24882" w:rsidRPr="00D24882">
        <w:t xml:space="preserve">najvyššou súdnou inštanciou pre oblasť občianskoprávnych, obchodnoprávnych a trestných vecí, </w:t>
      </w:r>
      <w:r w:rsidR="00D24882">
        <w:t xml:space="preserve">zatiaľ čo </w:t>
      </w:r>
      <w:r w:rsidR="003009EC" w:rsidRPr="00D24882">
        <w:t>Najvyšší správny súd</w:t>
      </w:r>
      <w:r w:rsidR="00657E86" w:rsidRPr="00D24882">
        <w:t xml:space="preserve"> </w:t>
      </w:r>
      <w:r w:rsidR="00D24882" w:rsidRPr="00D24882">
        <w:t xml:space="preserve">Slovenskej republiky </w:t>
      </w:r>
      <w:r w:rsidR="003009EC" w:rsidRPr="00D24882">
        <w:t>je najvyššou súdnou inštanciou pre oblasť správneho súdnictva</w:t>
      </w:r>
      <w:r w:rsidR="00D24882" w:rsidRPr="00D24882">
        <w:t>.</w:t>
      </w:r>
      <w:r w:rsidR="00657E86" w:rsidRPr="00D24882">
        <w:t xml:space="preserve"> A</w:t>
      </w:r>
      <w:r w:rsidR="003009EC" w:rsidRPr="00D24882">
        <w:t xml:space="preserve">genda </w:t>
      </w:r>
      <w:r w:rsidR="00657E86" w:rsidRPr="00D24882">
        <w:t>preskúmania</w:t>
      </w:r>
      <w:r w:rsidR="003009EC" w:rsidRPr="00D24882">
        <w:t xml:space="preserve"> rozhodnutia výboru podľa čl. 5 ústavného zákona č. </w:t>
      </w:r>
      <w:r w:rsidR="003009EC" w:rsidRPr="00D24882">
        <w:rPr>
          <w:shd w:val="clear" w:color="auto" w:fill="FFFFFF"/>
        </w:rPr>
        <w:t xml:space="preserve">254/2006 Z. z. </w:t>
      </w:r>
      <w:r w:rsidR="003009EC" w:rsidRPr="00D24882">
        <w:t>o zriadení a činnosti výboru Národnej rady Slovenskej republiky na preskúmavanie rozhodnutí Národného bezpečnostného úradu</w:t>
      </w:r>
      <w:r w:rsidR="00657E86" w:rsidRPr="00D24882">
        <w:t>, považovaná za výkon správneho súdnictva, patrí do pôsobnosti Najvyššieho správneho súdu</w:t>
      </w:r>
      <w:r w:rsidR="00153E76">
        <w:t xml:space="preserve"> Slovenskej republiky</w:t>
      </w:r>
      <w:r w:rsidR="00657E86" w:rsidRPr="00D24882">
        <w:t>.</w:t>
      </w:r>
      <w:r w:rsidR="00657E86">
        <w:t xml:space="preserve"> </w:t>
      </w:r>
      <w:r w:rsidR="00D24882">
        <w:t>V záujme zabezpečenia jednoznačnosti a správnosti výkladu sa pristupuje k precizovaniu znenia dotknutého článku.</w:t>
      </w:r>
    </w:p>
    <w:p w:rsidR="00207B32" w:rsidRPr="00124402" w:rsidRDefault="00207B32" w:rsidP="00207B32">
      <w:pPr>
        <w:jc w:val="both"/>
      </w:pPr>
    </w:p>
    <w:p w:rsidR="00DC0506" w:rsidRPr="006A7CF8" w:rsidRDefault="00DC0506" w:rsidP="000C7E36">
      <w:pPr>
        <w:widowControl/>
        <w:rPr>
          <w:rStyle w:val="Zstupntext"/>
          <w:color w:val="000000"/>
          <w:spacing w:val="30"/>
        </w:rPr>
      </w:pPr>
      <w:r w:rsidRPr="00124402">
        <w:rPr>
          <w:rStyle w:val="Zstupntext"/>
          <w:b/>
          <w:color w:val="000000"/>
          <w:spacing w:val="30"/>
        </w:rPr>
        <w:t xml:space="preserve">Stanovisko </w:t>
      </w:r>
    </w:p>
    <w:p w:rsidR="00DC0506" w:rsidRPr="00124402" w:rsidRDefault="00DC0506" w:rsidP="000C7E36">
      <w:pPr>
        <w:widowControl/>
        <w:jc w:val="both"/>
        <w:rPr>
          <w:rStyle w:val="Zstupntext"/>
          <w:color w:val="000000"/>
        </w:rPr>
      </w:pPr>
    </w:p>
    <w:p w:rsidR="00DC0506" w:rsidRPr="00124402" w:rsidRDefault="00DC0506" w:rsidP="000C7E36">
      <w:pPr>
        <w:widowControl/>
        <w:ind w:firstLine="708"/>
        <w:jc w:val="both"/>
        <w:rPr>
          <w:rStyle w:val="Zstupntext"/>
          <w:color w:val="000000"/>
        </w:rPr>
      </w:pPr>
      <w:r w:rsidRPr="00124402">
        <w:rPr>
          <w:rStyle w:val="Zstupntext"/>
          <w:color w:val="000000"/>
        </w:rPr>
        <w:t>Ministerstvo spravodlivosti zaujíma k poslaneckému návrhu nasledovné stanovisko:</w:t>
      </w:r>
    </w:p>
    <w:p w:rsidR="00DC0506" w:rsidRPr="00124402" w:rsidRDefault="00DC0506" w:rsidP="000C7E36">
      <w:pPr>
        <w:jc w:val="both"/>
        <w:rPr>
          <w:rStyle w:val="Zstupntext"/>
          <w:b/>
          <w:color w:val="auto"/>
        </w:rPr>
      </w:pPr>
      <w:r w:rsidRPr="00124402">
        <w:rPr>
          <w:rStyle w:val="Zstupntext"/>
          <w:b/>
          <w:color w:val="auto"/>
        </w:rPr>
        <w:tab/>
      </w:r>
    </w:p>
    <w:p w:rsidR="00207B32" w:rsidRDefault="00207B32" w:rsidP="00207B32">
      <w:pPr>
        <w:ind w:firstLine="709"/>
        <w:contextualSpacing/>
        <w:jc w:val="both"/>
        <w:rPr>
          <w:bCs/>
        </w:rPr>
      </w:pPr>
      <w:r w:rsidRPr="000709F6">
        <w:t>Navrhované doplnenie právnej úpravy považujeme za účelné a</w:t>
      </w:r>
      <w:r w:rsidR="00BE59C3">
        <w:t> dôvodné. Z</w:t>
      </w:r>
      <w:r w:rsidR="00153E76">
        <w:t>abezpečením</w:t>
      </w:r>
      <w:r w:rsidR="00D24882">
        <w:t xml:space="preserve"> jednoznačnosti výkladu</w:t>
      </w:r>
      <w:r w:rsidR="00D24882" w:rsidRPr="00D24882">
        <w:rPr>
          <w:bCs/>
        </w:rPr>
        <w:t xml:space="preserve"> </w:t>
      </w:r>
      <w:r w:rsidR="00D24882" w:rsidRPr="00DA2E5E">
        <w:rPr>
          <w:bCs/>
        </w:rPr>
        <w:t xml:space="preserve">čl. 5 ústavného zákona </w:t>
      </w:r>
      <w:r w:rsidR="00D24882" w:rsidRPr="00DA2E5E">
        <w:rPr>
          <w:shd w:val="clear" w:color="auto" w:fill="FFFFFF"/>
        </w:rPr>
        <w:t xml:space="preserve">č. 254/2006 Z. z. </w:t>
      </w:r>
      <w:r w:rsidR="00D24882" w:rsidRPr="00DA2E5E">
        <w:t>o zriadení a činnosti výboru Národnej rady Slovenskej republiky na preskúmavanie rozhodnutí Národného bezpečnostného úradu</w:t>
      </w:r>
      <w:r w:rsidR="00D24882">
        <w:t xml:space="preserve"> </w:t>
      </w:r>
      <w:r w:rsidR="00153E76">
        <w:t xml:space="preserve">sa zvyšuje právna istota a znižuje sa </w:t>
      </w:r>
      <w:r w:rsidR="00BE59C3">
        <w:t xml:space="preserve">riziko vzniku prípadných kompetenčných sporov medzi Najvyšším súdom Slovenskej republiky a Najvyšším správnym súdom Slovenskej republiky. </w:t>
      </w:r>
      <w:r w:rsidRPr="000709F6">
        <w:rPr>
          <w:bCs/>
        </w:rPr>
        <w:t>Ministerstvo spravodlivosti si k poslaneckému návrhu neuplatňuje žiadne pripomienky.</w:t>
      </w:r>
    </w:p>
    <w:p w:rsidR="005202F1" w:rsidRDefault="005202F1" w:rsidP="00207B32">
      <w:pPr>
        <w:ind w:firstLine="709"/>
        <w:contextualSpacing/>
        <w:jc w:val="both"/>
        <w:rPr>
          <w:bCs/>
        </w:rPr>
      </w:pPr>
    </w:p>
    <w:p w:rsidR="005202F1" w:rsidRPr="00851D61" w:rsidRDefault="005202F1" w:rsidP="005202F1">
      <w:pPr>
        <w:jc w:val="both"/>
        <w:rPr>
          <w:b/>
          <w:bCs/>
          <w:color w:val="000000"/>
        </w:rPr>
      </w:pPr>
      <w:r w:rsidRPr="00851D61">
        <w:rPr>
          <w:b/>
          <w:bCs/>
          <w:color w:val="000000"/>
        </w:rPr>
        <w:t>K pripomienkam uplatneným v rámci pripomienkového konania</w:t>
      </w:r>
    </w:p>
    <w:p w:rsidR="005202F1" w:rsidRDefault="005202F1" w:rsidP="005202F1">
      <w:pPr>
        <w:jc w:val="both"/>
        <w:rPr>
          <w:bCs/>
          <w:color w:val="000000"/>
        </w:rPr>
      </w:pPr>
    </w:p>
    <w:p w:rsidR="005202F1" w:rsidRPr="00851D61" w:rsidRDefault="005202F1" w:rsidP="005202F1">
      <w:pPr>
        <w:jc w:val="both"/>
        <w:rPr>
          <w:bCs/>
          <w:color w:val="000000"/>
          <w:u w:val="single"/>
        </w:rPr>
      </w:pPr>
      <w:r w:rsidRPr="00851D61">
        <w:rPr>
          <w:bCs/>
          <w:color w:val="000000"/>
          <w:u w:val="single"/>
        </w:rPr>
        <w:t>Všeobecne</w:t>
      </w:r>
    </w:p>
    <w:p w:rsidR="005202F1" w:rsidRDefault="005202F1" w:rsidP="005202F1">
      <w:pPr>
        <w:jc w:val="both"/>
        <w:rPr>
          <w:bCs/>
          <w:color w:val="000000"/>
        </w:rPr>
      </w:pPr>
    </w:p>
    <w:p w:rsidR="005202F1" w:rsidRDefault="005202F1" w:rsidP="005202F1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Ministerstvo dopravy a výstavby Slovenskej republiky, Ministerstvo hospodárstva Slovenskej republiky a Ministerstvo zahraničných vecí a európskych záležitostí Slovenskej republiky si uplatnili v rámci medzirezortného pripomienkového konania obyčajné </w:t>
      </w:r>
      <w:r>
        <w:rPr>
          <w:shd w:val="clear" w:color="auto" w:fill="FFFFFF"/>
        </w:rPr>
        <w:lastRenderedPageBreak/>
        <w:t>pripomienky.</w:t>
      </w:r>
    </w:p>
    <w:p w:rsidR="00E2367F" w:rsidRPr="000709F6" w:rsidRDefault="00E2367F" w:rsidP="005202F1">
      <w:pPr>
        <w:ind w:firstLine="708"/>
        <w:jc w:val="both"/>
        <w:rPr>
          <w:bCs/>
        </w:rPr>
      </w:pPr>
    </w:p>
    <w:p w:rsidR="002765C9" w:rsidRDefault="005202F1" w:rsidP="000C7E36">
      <w:pPr>
        <w:jc w:val="both"/>
        <w:rPr>
          <w:u w:val="single"/>
          <w:shd w:val="clear" w:color="auto" w:fill="FFFFFF"/>
        </w:rPr>
      </w:pPr>
      <w:r w:rsidRPr="005202F1">
        <w:rPr>
          <w:u w:val="single"/>
          <w:shd w:val="clear" w:color="auto" w:fill="FFFFFF"/>
        </w:rPr>
        <w:t>Ministerstvo dopravy a výstavby Slovenskej republiky</w:t>
      </w:r>
    </w:p>
    <w:p w:rsidR="005202F1" w:rsidRDefault="005202F1" w:rsidP="000C7E36">
      <w:pPr>
        <w:jc w:val="both"/>
        <w:rPr>
          <w:shd w:val="clear" w:color="auto" w:fill="FFFFFF"/>
        </w:rPr>
      </w:pPr>
    </w:p>
    <w:p w:rsidR="005202F1" w:rsidRDefault="005202F1" w:rsidP="000C7E3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Prostredníctvom pripomienky bolo vyjadrené stotožnenie sa so stanoviskom predkladateľa.</w:t>
      </w:r>
    </w:p>
    <w:p w:rsidR="005202F1" w:rsidRDefault="005202F1" w:rsidP="000C7E36">
      <w:pPr>
        <w:jc w:val="both"/>
        <w:rPr>
          <w:shd w:val="clear" w:color="auto" w:fill="FFFFFF"/>
        </w:rPr>
      </w:pPr>
    </w:p>
    <w:p w:rsidR="00E501CB" w:rsidRDefault="00E501CB" w:rsidP="000C7E36">
      <w:pPr>
        <w:jc w:val="both"/>
        <w:rPr>
          <w:shd w:val="clear" w:color="auto" w:fill="FFFFFF"/>
        </w:rPr>
      </w:pPr>
      <w:r w:rsidRPr="00E501CB">
        <w:rPr>
          <w:u w:val="single"/>
          <w:shd w:val="clear" w:color="auto" w:fill="FFFFFF"/>
        </w:rPr>
        <w:t>Ministerstvo hospodárstva Slovenskej republiky</w:t>
      </w:r>
    </w:p>
    <w:p w:rsidR="00E501CB" w:rsidRDefault="00E501CB" w:rsidP="000C7E36">
      <w:pPr>
        <w:jc w:val="both"/>
        <w:rPr>
          <w:shd w:val="clear" w:color="auto" w:fill="FFFFFF"/>
        </w:rPr>
      </w:pPr>
    </w:p>
    <w:p w:rsidR="00E501CB" w:rsidRDefault="00E501CB" w:rsidP="00E501CB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Pripomienka smeruje</w:t>
      </w:r>
      <w:r w:rsidRPr="007B3E39">
        <w:rPr>
          <w:shd w:val="clear" w:color="auto" w:fill="FFFFFF"/>
        </w:rPr>
        <w:t xml:space="preserve"> k doložke vybraných vplyvov</w:t>
      </w:r>
      <w:r>
        <w:rPr>
          <w:shd w:val="clear" w:color="auto" w:fill="FFFFFF"/>
        </w:rPr>
        <w:t>, konkrétne k vyplneniu všetkých jej častí. Vysporiadanie sa s touto pripomienkou</w:t>
      </w:r>
      <w:r w:rsidRPr="007B3E39">
        <w:rPr>
          <w:shd w:val="clear" w:color="auto" w:fill="FFFFFF"/>
        </w:rPr>
        <w:t xml:space="preserve"> je pln</w:t>
      </w:r>
      <w:r>
        <w:rPr>
          <w:shd w:val="clear" w:color="auto" w:fill="FFFFFF"/>
        </w:rPr>
        <w:t>e v pôsobnosti predkladateľov.</w:t>
      </w:r>
    </w:p>
    <w:p w:rsidR="00E501CB" w:rsidRDefault="00E501CB" w:rsidP="00E501CB">
      <w:pPr>
        <w:jc w:val="both"/>
        <w:rPr>
          <w:shd w:val="clear" w:color="auto" w:fill="FFFFFF"/>
        </w:rPr>
      </w:pPr>
    </w:p>
    <w:p w:rsidR="00E501CB" w:rsidRPr="00E501CB" w:rsidRDefault="00E501CB" w:rsidP="00E501CB">
      <w:pPr>
        <w:jc w:val="both"/>
        <w:rPr>
          <w:u w:val="single"/>
          <w:shd w:val="clear" w:color="auto" w:fill="FFFFFF"/>
        </w:rPr>
      </w:pPr>
      <w:r w:rsidRPr="00E501CB">
        <w:rPr>
          <w:u w:val="single"/>
          <w:shd w:val="clear" w:color="auto" w:fill="FFFFFF"/>
        </w:rPr>
        <w:t>Ministerstvo zahraničných vecí a európskych záležitostí Slovenskej republiky</w:t>
      </w:r>
    </w:p>
    <w:p w:rsidR="005202F1" w:rsidRDefault="005202F1" w:rsidP="000C7E36">
      <w:pPr>
        <w:jc w:val="both"/>
      </w:pPr>
    </w:p>
    <w:p w:rsidR="00E501CB" w:rsidRPr="00A34597" w:rsidRDefault="00E501CB" w:rsidP="000C7E36">
      <w:pPr>
        <w:jc w:val="both"/>
        <w:rPr>
          <w:b/>
        </w:rPr>
      </w:pPr>
      <w:r w:rsidRPr="00A34597">
        <w:rPr>
          <w:b/>
        </w:rPr>
        <w:t>Nad rámec poslaneckého návrhu ústavného zákona</w:t>
      </w:r>
    </w:p>
    <w:p w:rsidR="00E501CB" w:rsidRPr="00E501CB" w:rsidRDefault="00E501CB" w:rsidP="000C7E36">
      <w:pPr>
        <w:jc w:val="both"/>
      </w:pPr>
    </w:p>
    <w:p w:rsidR="00430D3F" w:rsidRDefault="00E501CB" w:rsidP="00E501CB">
      <w:pPr>
        <w:ind w:firstLine="708"/>
        <w:jc w:val="both"/>
      </w:pPr>
      <w:r>
        <w:t xml:space="preserve">Nad rámec poslaneckého návrhu ústavného zákona odporúča do čl. I doplniť nové novelizačné body, ktoré znejú: </w:t>
      </w:r>
    </w:p>
    <w:p w:rsidR="00430D3F" w:rsidRDefault="00430D3F" w:rsidP="00D36EC9">
      <w:pPr>
        <w:jc w:val="both"/>
      </w:pPr>
    </w:p>
    <w:p w:rsidR="00430D3F" w:rsidRDefault="00E501CB" w:rsidP="00D36EC9">
      <w:pPr>
        <w:jc w:val="both"/>
      </w:pPr>
      <w:r>
        <w:t xml:space="preserve">1. V čl. 4 ods. 3 posledná veta znie: ,,Rozhodnutie výboru sa doručí do vlastných rúk navrhovanej osobe, úradu a osobe, ktorá požiadala úrad o vykonanie bezpečnostnej previerky navrhovanej osoby.“. </w:t>
      </w:r>
    </w:p>
    <w:p w:rsidR="00430D3F" w:rsidRDefault="00430D3F" w:rsidP="00D36EC9">
      <w:pPr>
        <w:jc w:val="both"/>
      </w:pPr>
    </w:p>
    <w:p w:rsidR="00430D3F" w:rsidRDefault="00E501CB" w:rsidP="00D36EC9">
      <w:pPr>
        <w:jc w:val="both"/>
      </w:pPr>
      <w:r>
        <w:t xml:space="preserve">2. Čl. 4 sa dopĺňa odsekom 4, ktorý znie: ,,(4) Na doručovanie rozhodnutia výboru sa vzťahujú ustanovenia osobitného zákona o správnom konaní.“. </w:t>
      </w:r>
    </w:p>
    <w:p w:rsidR="00430D3F" w:rsidRDefault="00430D3F" w:rsidP="00D36EC9">
      <w:pPr>
        <w:jc w:val="both"/>
      </w:pPr>
    </w:p>
    <w:p w:rsidR="00430D3F" w:rsidRDefault="00E501CB" w:rsidP="00D36EC9">
      <w:pPr>
        <w:jc w:val="both"/>
      </w:pPr>
      <w:r>
        <w:t xml:space="preserve">3. V Čl. 5 sa za prvú vetu vkladá nová druhá veta, ktorá znie: ,,Návrh na preskúmanie rozhodnutia výboru podáva navrhovaná osoba.“. </w:t>
      </w:r>
    </w:p>
    <w:p w:rsidR="00430D3F" w:rsidRDefault="00430D3F" w:rsidP="00D36EC9">
      <w:pPr>
        <w:jc w:val="both"/>
      </w:pPr>
    </w:p>
    <w:p w:rsidR="00430D3F" w:rsidRDefault="00E501CB" w:rsidP="00D36EC9">
      <w:pPr>
        <w:jc w:val="both"/>
      </w:pPr>
      <w:r>
        <w:t xml:space="preserve">4. V Čl. 6 odsek 2 znie: ,,(2) Ak nie je v tomto ústavnom zákone ustanovené inak, na konanie o preskúmavaní rozhodnutí úradu sa nevzťahujú ustanovenia osobitného zákona o správnom konaní.“. V súvislosti s navrhovanou úpravou odporúčame primerane upraviť číslovanie doterajšieho novelizačného bodu. </w:t>
      </w:r>
    </w:p>
    <w:p w:rsidR="00430D3F" w:rsidRDefault="00430D3F" w:rsidP="00D36EC9">
      <w:pPr>
        <w:jc w:val="both"/>
      </w:pPr>
    </w:p>
    <w:p w:rsidR="00E501CB" w:rsidRDefault="00E501CB" w:rsidP="00D36EC9">
      <w:pPr>
        <w:jc w:val="both"/>
      </w:pPr>
      <w:r>
        <w:t>Odôvodnenie: Navrhované doplnenia vychádzajú z požiadaviek aplikačnej praxe. Rozhodnutie výboru je podľa súčasne platnej a účinnej právnej úpravy doručované iba navrhovanej osobe. Úrad či osoba, ktorá požiadala úrad o vykonanie bezpečnostnej previerky navrhovanej osoby nie sú vyrozumení o rozhodnutí výboru, prípadne sú vyrozumení s výrazným časovým oneskorením. S doručením rozhodnutia výboru navrhovanej osobe sa však vo vzťahu k tejto osobe spájajú pracovnoprávne dôsledky podľa príslušných všeobecne záväzných právnych predpisov, ktoré nastávajú bezprostredným doručením tohto rozhodnutia, a na ktoré je potrebné, aby osoba, ktorá požiadala o vykonanie bezpečnostnej previerky, bezprostredne reagovala. Z uvedeného dôvodu je potrebné, aby právna úprava rozšírila okruh osôb, ktorým je rozhodnutie výboru doručované, a zároveň aby ustanovovala pravidlá pre doručenie rozhodnutia.</w:t>
      </w:r>
    </w:p>
    <w:p w:rsidR="00430D3F" w:rsidRDefault="00430D3F" w:rsidP="00D36EC9">
      <w:pPr>
        <w:jc w:val="both"/>
      </w:pPr>
    </w:p>
    <w:p w:rsidR="00430D3F" w:rsidRDefault="00430D3F" w:rsidP="00430D3F">
      <w:pPr>
        <w:ind w:firstLine="708"/>
        <w:jc w:val="both"/>
      </w:pPr>
      <w:r>
        <w:t xml:space="preserve">Vzhľadom na to, že pripomienky Ministerstva </w:t>
      </w:r>
      <w:r w:rsidRPr="00430D3F">
        <w:t>zahraničných vecí a európskych záležitostí Slovenskej republiky</w:t>
      </w:r>
      <w:r>
        <w:t xml:space="preserve"> presahujú rámec poslaneckého návrhu, je na predkladateľoch poslaneckého návrhu ako sa s týmito pripomienkami vysporiadajú. Ministerstvo spravodlivosti ich preto nezahŕňa do stanoviska vlády Slovenskej republiky. </w:t>
      </w:r>
    </w:p>
    <w:p w:rsidR="00E501CB" w:rsidRPr="00E501CB" w:rsidRDefault="00E501CB" w:rsidP="000C7E36">
      <w:pPr>
        <w:jc w:val="both"/>
        <w:rPr>
          <w:b/>
        </w:rPr>
      </w:pPr>
    </w:p>
    <w:p w:rsidR="002765C9" w:rsidRPr="00124402" w:rsidRDefault="002765C9" w:rsidP="000C7E36">
      <w:pPr>
        <w:widowControl/>
        <w:rPr>
          <w:rStyle w:val="Zstupntext"/>
          <w:color w:val="000000"/>
          <w:spacing w:val="30"/>
        </w:rPr>
      </w:pPr>
      <w:r w:rsidRPr="00124402">
        <w:rPr>
          <w:rStyle w:val="Zstupntext"/>
          <w:b/>
          <w:color w:val="000000"/>
          <w:spacing w:val="30"/>
        </w:rPr>
        <w:t xml:space="preserve">Záver </w:t>
      </w:r>
    </w:p>
    <w:p w:rsidR="002765C9" w:rsidRPr="00124402" w:rsidRDefault="002765C9" w:rsidP="000C7E36">
      <w:pPr>
        <w:jc w:val="both"/>
        <w:rPr>
          <w:b/>
        </w:rPr>
      </w:pPr>
      <w:r w:rsidRPr="00124402">
        <w:rPr>
          <w:b/>
        </w:rPr>
        <w:t xml:space="preserve"> </w:t>
      </w:r>
    </w:p>
    <w:p w:rsidR="002765C9" w:rsidRPr="00124402" w:rsidRDefault="002765C9" w:rsidP="000C7E36">
      <w:pPr>
        <w:ind w:firstLine="708"/>
        <w:jc w:val="both"/>
      </w:pPr>
      <w:r w:rsidRPr="00124402">
        <w:t>Na základe vyššie uvedeného ministerstvo spravodlivosti súhlasí s poslaneckým návrhom a</w:t>
      </w:r>
      <w:r w:rsidR="00A34597" w:rsidRPr="00124402">
        <w:t xml:space="preserve"> po zohľadnení uplatnených pripomienok</w:t>
      </w:r>
      <w:r w:rsidRPr="00124402">
        <w:t xml:space="preserve"> odporúča vláde Slovenskej republiky vysloviť s poslaneckým návrhom </w:t>
      </w:r>
      <w:r w:rsidRPr="00017A81">
        <w:rPr>
          <w:b/>
        </w:rPr>
        <w:t>súhlas.</w:t>
      </w:r>
      <w:r w:rsidRPr="00124402">
        <w:t xml:space="preserve"> </w:t>
      </w:r>
    </w:p>
    <w:p w:rsidR="002765C9" w:rsidRPr="00124402" w:rsidRDefault="002765C9" w:rsidP="000C7E36">
      <w:pPr>
        <w:jc w:val="both"/>
      </w:pPr>
    </w:p>
    <w:sectPr w:rsidR="002765C9" w:rsidRPr="00124402" w:rsidSect="00D36EC9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B7" w:rsidRDefault="003D07B7" w:rsidP="007A6529">
      <w:r>
        <w:separator/>
      </w:r>
    </w:p>
  </w:endnote>
  <w:endnote w:type="continuationSeparator" w:id="0">
    <w:p w:rsidR="003D07B7" w:rsidRDefault="003D07B7" w:rsidP="007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716499"/>
      <w:docPartObj>
        <w:docPartGallery w:val="Page Numbers (Bottom of Page)"/>
        <w:docPartUnique/>
      </w:docPartObj>
    </w:sdtPr>
    <w:sdtEndPr/>
    <w:sdtContent>
      <w:p w:rsidR="007A6529" w:rsidRDefault="007A65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851">
          <w:rPr>
            <w:noProof/>
          </w:rPr>
          <w:t>2</w:t>
        </w:r>
        <w:r>
          <w:fldChar w:fldCharType="end"/>
        </w:r>
      </w:p>
    </w:sdtContent>
  </w:sdt>
  <w:p w:rsidR="007A6529" w:rsidRDefault="007A65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B7" w:rsidRDefault="003D07B7" w:rsidP="007A6529">
      <w:r>
        <w:separator/>
      </w:r>
    </w:p>
  </w:footnote>
  <w:footnote w:type="continuationSeparator" w:id="0">
    <w:p w:rsidR="003D07B7" w:rsidRDefault="003D07B7" w:rsidP="007A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1C70"/>
    <w:multiLevelType w:val="hybridMultilevel"/>
    <w:tmpl w:val="456219A2"/>
    <w:lvl w:ilvl="0" w:tplc="DDA45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087F26"/>
    <w:multiLevelType w:val="hybridMultilevel"/>
    <w:tmpl w:val="756E85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C9"/>
    <w:rsid w:val="000949B9"/>
    <w:rsid w:val="000C7E36"/>
    <w:rsid w:val="00102D5D"/>
    <w:rsid w:val="00153E76"/>
    <w:rsid w:val="001E6CEF"/>
    <w:rsid w:val="00207B32"/>
    <w:rsid w:val="00254A0A"/>
    <w:rsid w:val="002765C9"/>
    <w:rsid w:val="003009EC"/>
    <w:rsid w:val="003832CE"/>
    <w:rsid w:val="003C3FD9"/>
    <w:rsid w:val="003D07B7"/>
    <w:rsid w:val="00430D3F"/>
    <w:rsid w:val="00443A4A"/>
    <w:rsid w:val="004A2CED"/>
    <w:rsid w:val="004C2A66"/>
    <w:rsid w:val="005202F1"/>
    <w:rsid w:val="00611A0F"/>
    <w:rsid w:val="00626690"/>
    <w:rsid w:val="00631BDF"/>
    <w:rsid w:val="00657E86"/>
    <w:rsid w:val="00666A31"/>
    <w:rsid w:val="006A0F14"/>
    <w:rsid w:val="006B7E41"/>
    <w:rsid w:val="006F1DB9"/>
    <w:rsid w:val="00702E09"/>
    <w:rsid w:val="00712B01"/>
    <w:rsid w:val="00715884"/>
    <w:rsid w:val="00767491"/>
    <w:rsid w:val="007A6529"/>
    <w:rsid w:val="007F1EC8"/>
    <w:rsid w:val="00934227"/>
    <w:rsid w:val="0095067F"/>
    <w:rsid w:val="0096585A"/>
    <w:rsid w:val="00971851"/>
    <w:rsid w:val="009E0731"/>
    <w:rsid w:val="00A011BB"/>
    <w:rsid w:val="00A153CE"/>
    <w:rsid w:val="00A3087A"/>
    <w:rsid w:val="00A34597"/>
    <w:rsid w:val="00A443D9"/>
    <w:rsid w:val="00A8162E"/>
    <w:rsid w:val="00A86E31"/>
    <w:rsid w:val="00B20B04"/>
    <w:rsid w:val="00BE59C3"/>
    <w:rsid w:val="00D1067E"/>
    <w:rsid w:val="00D24882"/>
    <w:rsid w:val="00D36EC9"/>
    <w:rsid w:val="00D41791"/>
    <w:rsid w:val="00D97433"/>
    <w:rsid w:val="00DA2E5E"/>
    <w:rsid w:val="00DB2219"/>
    <w:rsid w:val="00DC0506"/>
    <w:rsid w:val="00E17C39"/>
    <w:rsid w:val="00E2367F"/>
    <w:rsid w:val="00E501CB"/>
    <w:rsid w:val="00EA2049"/>
    <w:rsid w:val="00ED5BEA"/>
    <w:rsid w:val="00F14854"/>
    <w:rsid w:val="00FF46C2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5527"/>
  <w15:docId w15:val="{945F1B85-6932-EE43-92D7-B04C7941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65C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765C9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2765C9"/>
    <w:pPr>
      <w:widowControl/>
      <w:adjustRightInd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9E0731"/>
    <w:pPr>
      <w:widowControl/>
      <w:adjustRightInd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1E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EC8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266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669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669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66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66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A2E5E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7A65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65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A65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652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_správa"/>
    <f:field ref="objsubject" par="" edit="true" text=""/>
    <f:field ref="objcreatedby" par="" text="Csikósová, Katarína, JUDr."/>
    <f:field ref="objcreatedat" par="" text="20.4.2021 7:45:02"/>
    <f:field ref="objchangedby" par="" text="Administrator, System"/>
    <f:field ref="objmodifiedat" par="" text="20.4.2021 7:45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95DB44-069A-421A-B30C-8F34F123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</dc:creator>
  <cp:lastModifiedBy>ORAVCOVÁ Kristína</cp:lastModifiedBy>
  <cp:revision>2</cp:revision>
  <cp:lastPrinted>2021-03-18T07:57:00Z</cp:lastPrinted>
  <dcterms:created xsi:type="dcterms:W3CDTF">2022-03-08T06:39:00Z</dcterms:created>
  <dcterms:modified xsi:type="dcterms:W3CDTF">2022-03-08T06:39:00Z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 text-align: justify; line-height: normal; text-indent: 35.4pt;"&gt;&lt;span style="color: black; font-family: &amp;quot;Times New Roman&amp;quot;,serif; font-size: 12pt; mso-fareast-font-family: &amp;quot;Times New Roman&amp;quot;; mso-fareast-la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Katarína Csikósová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zákona, ktorým sa dopĺňa zákon č. 300/2005 Z. z. Trestný zákon v znení neskorších predpisov (tlač 445)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23" name="FSC#SKEDITIONSLOVLEX@103.510:plnynazovpredpis">
    <vt:lpwstr> Návrh skupiny poslancov Národnej rady Slovenskej republiky na vydanie zákona, ktorým sa dopĺňa zákon č. 300/2005 Z. z. Trestný zákon v znení neskorších predpisov (tlač 445)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21080/2021/120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LP/2021/124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justify;"&gt;&amp;nbsp;&lt;/p&gt;&lt;p style="text-align: justify;"&gt;&amp;nbsp;&lt;/p&gt;&lt;p style="text-align: justify;"&gt;Na základe ustanovenia § 70 ods. 2 zákona Národnej rady Slovenskej republiky č.&amp;nbsp;350/1996 Z. z. o&amp;nbsp;rokovacom poriadku Národnej rady</vt:lpwstr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COO.2145.1000.3.4330478</vt:lpwstr>
  </property>
  <property fmtid="{D5CDD505-2E9C-101B-9397-08002B2CF9AE}" pid="152" name="FSC#FSCFOLIO@1.1001:docpropproject">
    <vt:lpwstr/>
  </property>
</Properties>
</file>