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1E22C6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6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1E22C6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0" w:rsidRPr="001E22C6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6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1E22C6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D230DE" w:rsidRPr="001E22C6">
        <w:rPr>
          <w:rFonts w:ascii="Times New Roman" w:hAnsi="Times New Roman" w:cs="Times New Roman"/>
          <w:b/>
          <w:bCs/>
          <w:sz w:val="24"/>
          <w:szCs w:val="24"/>
        </w:rPr>
        <w:t>nariadenia vlády 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D230DE" w:rsidRPr="001E22C6" w:rsidRDefault="00D230DE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 w:rsidRPr="001E22C6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1E22C6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1E22C6">
              <w:rPr>
                <w:b/>
                <w:bCs/>
                <w:sz w:val="20"/>
                <w:szCs w:val="20"/>
              </w:rPr>
              <w:t>Smernica</w:t>
            </w:r>
            <w:r w:rsidR="00FE3C52" w:rsidRPr="001E22C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1E22C6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1E22C6">
              <w:rPr>
                <w:b/>
                <w:bCs/>
                <w:sz w:val="20"/>
                <w:szCs w:val="20"/>
              </w:rPr>
              <w:t>P</w:t>
            </w:r>
            <w:r w:rsidR="00FE3C52" w:rsidRPr="001E22C6">
              <w:rPr>
                <w:b/>
                <w:bCs/>
                <w:sz w:val="20"/>
                <w:szCs w:val="20"/>
              </w:rPr>
              <w:t>rávne predpisy S</w:t>
            </w:r>
            <w:r w:rsidRPr="001E22C6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 w:rsidRPr="001E22C6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71" w:rsidRPr="004879F3" w:rsidRDefault="004B0F71" w:rsidP="004B0F71">
            <w:pPr>
              <w:jc w:val="center"/>
              <w:rPr>
                <w:b/>
                <w:bCs/>
              </w:rPr>
            </w:pPr>
          </w:p>
          <w:p w:rsidR="00C335F4" w:rsidRPr="004879F3" w:rsidRDefault="004B0F71" w:rsidP="00C60F68">
            <w:pPr>
              <w:jc w:val="center"/>
              <w:rPr>
                <w:b/>
                <w:bCs/>
              </w:rPr>
            </w:pPr>
            <w:r w:rsidRPr="004879F3">
              <w:rPr>
                <w:b/>
                <w:bCs/>
              </w:rPr>
              <w:t>Smernica Európskeho parlamentu a Rady 2013/55/EÚ z 20. novembra 2013 , ktorou sa mení smernica 2005/36/ES o uznávaní odborných kvalifikácií a nariadenie (EÚ) č. 102</w:t>
            </w:r>
            <w:r w:rsidR="00C60F68" w:rsidRPr="004879F3">
              <w:rPr>
                <w:b/>
                <w:bCs/>
              </w:rPr>
              <w:t xml:space="preserve">4/2012 </w:t>
            </w:r>
            <w:r w:rsidRPr="004879F3">
              <w:rPr>
                <w:b/>
                <w:bCs/>
              </w:rPr>
              <w:t>o administratívnej spolupráci prostredníctvom informačného systému o vnútornom trhu (nariadenie o IMI)</w:t>
            </w:r>
            <w:r w:rsidR="00FE3C52" w:rsidRPr="004879F3">
              <w:rPr>
                <w:b/>
                <w:bCs/>
              </w:rPr>
              <w:t xml:space="preserve"> </w:t>
            </w:r>
          </w:p>
          <w:p w:rsidR="00C27993" w:rsidRPr="00C60F68" w:rsidRDefault="00C27993" w:rsidP="00C60F68">
            <w:pPr>
              <w:jc w:val="center"/>
              <w:rPr>
                <w:bCs/>
                <w:i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1E22C6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4879F3" w:rsidRDefault="004879F3" w:rsidP="004B0F71">
            <w:pPr>
              <w:jc w:val="center"/>
              <w:rPr>
                <w:b/>
                <w:bCs/>
                <w:i/>
              </w:rPr>
            </w:pPr>
          </w:p>
          <w:p w:rsidR="00FE7B7D" w:rsidRPr="00FE7B7D" w:rsidRDefault="00FE7B7D" w:rsidP="00FE7B7D">
            <w:pPr>
              <w:jc w:val="center"/>
              <w:rPr>
                <w:rFonts w:eastAsia="PMingLiU"/>
                <w:b/>
                <w:bCs/>
                <w:i/>
              </w:rPr>
            </w:pPr>
            <w:r w:rsidRPr="00FE7B7D">
              <w:rPr>
                <w:rFonts w:eastAsia="PMingLiU"/>
                <w:b/>
                <w:bCs/>
                <w:i/>
              </w:rPr>
      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FE7B7D" w:rsidRPr="00FE7B7D" w:rsidRDefault="00FE7B7D" w:rsidP="00FE7B7D">
            <w:pPr>
              <w:jc w:val="center"/>
              <w:rPr>
                <w:rFonts w:eastAsia="PMingLiU"/>
                <w:b/>
                <w:bCs/>
                <w:i/>
              </w:rPr>
            </w:pPr>
          </w:p>
          <w:p w:rsidR="00FE7B7D" w:rsidRPr="00FE7B7D" w:rsidRDefault="00FE7B7D" w:rsidP="00FE7B7D">
            <w:pPr>
              <w:jc w:val="center"/>
              <w:rPr>
                <w:rFonts w:eastAsia="PMingLiU"/>
                <w:bCs/>
              </w:rPr>
            </w:pPr>
            <w:r w:rsidRPr="00FE7B7D">
              <w:rPr>
                <w:rFonts w:eastAsia="PMingLiU"/>
                <w:bCs/>
              </w:rPr>
              <w:t>nariadenie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FE7B7D" w:rsidRPr="00FE7B7D" w:rsidRDefault="00FE7B7D" w:rsidP="00FE7B7D">
            <w:pPr>
              <w:jc w:val="center"/>
              <w:rPr>
                <w:rFonts w:eastAsia="PMingLiU"/>
                <w:bCs/>
              </w:rPr>
            </w:pPr>
          </w:p>
          <w:p w:rsidR="00FE7B7D" w:rsidRPr="00FE7B7D" w:rsidRDefault="00FE7B7D" w:rsidP="00FE7B7D">
            <w:pPr>
              <w:jc w:val="center"/>
              <w:rPr>
                <w:rFonts w:eastAsia="PMingLiU"/>
                <w:bCs/>
              </w:rPr>
            </w:pPr>
            <w:r w:rsidRPr="00FE7B7D">
              <w:rPr>
                <w:rFonts w:eastAsia="PMingLiU"/>
                <w:bCs/>
              </w:rPr>
              <w:t>zákon č. 578/2004  Z. z. o poskytovateľoch zdravotnej starostlivosti, zdravotníckych pracovníkoch, stavovských organizáciách v zdravotníctve a o zmene a doplnení niektorých zákonov v znení neskorších predpisov</w:t>
            </w:r>
          </w:p>
          <w:p w:rsidR="00FE7B7D" w:rsidRPr="00FE7B7D" w:rsidRDefault="00FE7B7D" w:rsidP="00FE7B7D">
            <w:pPr>
              <w:jc w:val="center"/>
              <w:rPr>
                <w:rFonts w:eastAsia="PMingLiU"/>
                <w:bCs/>
              </w:rPr>
            </w:pPr>
          </w:p>
          <w:p w:rsidR="005D3DE6" w:rsidRPr="001E22C6" w:rsidRDefault="005D3DE6" w:rsidP="00FE58FA">
            <w:pPr>
              <w:jc w:val="center"/>
            </w:pPr>
          </w:p>
        </w:tc>
      </w:tr>
      <w:tr w:rsidR="00762E07" w:rsidRPr="001E22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923069" w:rsidP="00DE414F">
            <w:pPr>
              <w:jc w:val="center"/>
            </w:pPr>
            <w:r w:rsidRPr="001E22C6">
              <w:t>8</w:t>
            </w:r>
          </w:p>
        </w:tc>
      </w:tr>
      <w:tr w:rsidR="00762E07" w:rsidRPr="001E22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r w:rsidRPr="001E22C6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r w:rsidRPr="001E22C6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Poznámky</w:t>
            </w:r>
          </w:p>
        </w:tc>
      </w:tr>
      <w:tr w:rsidR="00762E07" w:rsidRPr="001E22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E22C6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893CB0">
            <w:pPr>
              <w:jc w:val="center"/>
            </w:pPr>
          </w:p>
        </w:tc>
      </w:tr>
      <w:tr w:rsidR="00FE7B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7D" w:rsidRDefault="00FE7B7D" w:rsidP="00B91400">
            <w:pPr>
              <w:jc w:val="center"/>
            </w:pPr>
            <w:r>
              <w:t>Č: 25</w:t>
            </w:r>
          </w:p>
          <w:p w:rsidR="00FE7B7D" w:rsidRPr="001E22C6" w:rsidRDefault="00FE7B7D" w:rsidP="00B91400">
            <w:pPr>
              <w:jc w:val="center"/>
            </w:pPr>
            <w:r>
              <w:t>O: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7D" w:rsidRPr="00565091" w:rsidRDefault="00FE7B7D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E7B7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Prijatie na špecializovanú lekársku odbornú prípravu je podmienené ukončením a nostrifikáciou základnej lekárskej odbornej prípravy uvedenej v článku 24 ods. 2, v kurze, počas ktorého účastník odbornej prípravy získal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7D" w:rsidRPr="001E22C6" w:rsidRDefault="00FE7B7D" w:rsidP="00DE414F">
            <w:pPr>
              <w:jc w:val="center"/>
            </w:pPr>
            <w:r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F3" w:rsidRDefault="00A875F3" w:rsidP="00A875F3">
            <w:pPr>
              <w:jc w:val="both"/>
              <w:rPr>
                <w:bCs/>
                <w:i/>
              </w:rPr>
            </w:pPr>
            <w:r w:rsidRPr="001E22C6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1468E" w:rsidRPr="0081468E">
              <w:trPr>
                <w:trHeight w:val="195"/>
              </w:trPr>
              <w:tc>
                <w:tcPr>
                  <w:tcW w:w="1345" w:type="dxa"/>
                </w:tcPr>
                <w:p w:rsidR="00A875F3" w:rsidRDefault="00A875F3" w:rsidP="0081468E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</w:p>
                <w:p w:rsidR="00A875F3" w:rsidRDefault="00A875F3" w:rsidP="0081468E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</w:p>
                <w:p w:rsidR="00A875F3" w:rsidRDefault="00A875F3" w:rsidP="0081468E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</w:p>
                <w:p w:rsidR="00A875F3" w:rsidRDefault="00A875F3" w:rsidP="0081468E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</w:p>
                <w:p w:rsidR="0081468E" w:rsidRPr="0081468E" w:rsidRDefault="0081468E" w:rsidP="0081468E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 xml:space="preserve">Zákon č. 578/2004 </w:t>
                  </w:r>
                  <w:proofErr w:type="spellStart"/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>Z.z</w:t>
                  </w:r>
                  <w:proofErr w:type="spellEnd"/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>.</w:t>
                  </w:r>
                </w:p>
              </w:tc>
            </w:tr>
          </w:tbl>
          <w:p w:rsidR="00FE7B7D" w:rsidRPr="001E22C6" w:rsidRDefault="00FE7B7D" w:rsidP="008A6365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F3" w:rsidRPr="00A875F3" w:rsidRDefault="00A875F3" w:rsidP="008115CB">
            <w:pPr>
              <w:jc w:val="center"/>
              <w:rPr>
                <w:i/>
              </w:rPr>
            </w:pPr>
            <w:r w:rsidRPr="00A875F3">
              <w:rPr>
                <w:i/>
              </w:rPr>
              <w:lastRenderedPageBreak/>
              <w:t>§ 69a</w:t>
            </w:r>
          </w:p>
          <w:p w:rsidR="00A875F3" w:rsidRPr="00A875F3" w:rsidRDefault="00A875F3" w:rsidP="008115CB">
            <w:pPr>
              <w:jc w:val="center"/>
              <w:rPr>
                <w:i/>
              </w:rPr>
            </w:pPr>
            <w:r w:rsidRPr="00A875F3">
              <w:rPr>
                <w:i/>
              </w:rPr>
              <w:t>O: 5</w:t>
            </w: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A875F3" w:rsidRDefault="00A875F3" w:rsidP="008115CB">
            <w:pPr>
              <w:jc w:val="center"/>
            </w:pPr>
          </w:p>
          <w:p w:rsidR="00FE7B7D" w:rsidRPr="0081468E" w:rsidRDefault="0081468E" w:rsidP="008115CB">
            <w:pPr>
              <w:jc w:val="center"/>
            </w:pPr>
            <w:r w:rsidRPr="0081468E">
              <w:t>§ 33</w:t>
            </w:r>
          </w:p>
          <w:p w:rsidR="0081468E" w:rsidRPr="001E22C6" w:rsidRDefault="0081468E" w:rsidP="008115CB">
            <w:pPr>
              <w:jc w:val="center"/>
              <w:rPr>
                <w:i/>
              </w:rPr>
            </w:pPr>
            <w:r w:rsidRPr="0081468E">
              <w:t>O: 4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F3" w:rsidRPr="00A875F3" w:rsidRDefault="00A875F3" w:rsidP="00A875F3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  <w:r w:rsidRPr="00A875F3">
              <w:rPr>
                <w:rFonts w:eastAsia="Times New Roman"/>
                <w:i/>
                <w:lang w:eastAsia="cs-CZ"/>
              </w:rPr>
              <w:lastRenderedPageBreak/>
              <w:t>§ 69a sa dopĺňa odsekom 5, ktorý znie:</w:t>
            </w:r>
          </w:p>
          <w:p w:rsidR="00A875F3" w:rsidRPr="00A875F3" w:rsidRDefault="00A875F3" w:rsidP="00A875F3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  <w:r w:rsidRPr="00A875F3">
              <w:rPr>
                <w:rFonts w:eastAsia="Times New Roman"/>
                <w:i/>
                <w:lang w:eastAsia="cs-CZ"/>
              </w:rPr>
              <w:t xml:space="preserve">„(5) Vzdelávacia ustanovizeň zaradí lekára do špecializačného štúdia v špecializačnom odbore uvedenom v prílohe č. 3 časti A </w:t>
            </w:r>
            <w:proofErr w:type="spellStart"/>
            <w:r w:rsidRPr="00A875F3">
              <w:rPr>
                <w:rFonts w:eastAsia="Times New Roman"/>
                <w:i/>
                <w:lang w:eastAsia="cs-CZ"/>
              </w:rPr>
              <w:t>a</w:t>
            </w:r>
            <w:proofErr w:type="spellEnd"/>
            <w:r w:rsidRPr="00A875F3">
              <w:rPr>
                <w:rFonts w:eastAsia="Times New Roman"/>
                <w:i/>
                <w:lang w:eastAsia="cs-CZ"/>
              </w:rPr>
              <w:t xml:space="preserve"> vydá diplom o špecializácii len lekárovi s </w:t>
            </w:r>
            <w:r w:rsidRPr="00A875F3">
              <w:rPr>
                <w:rFonts w:eastAsia="Times New Roman"/>
                <w:i/>
                <w:lang w:eastAsia="cs-CZ"/>
              </w:rPr>
              <w:lastRenderedPageBreak/>
              <w:t>odbornou spôsobilosťou na výkon odborných pracovných činností získanou podľa § 3 ods. 1.“.</w:t>
            </w:r>
          </w:p>
          <w:p w:rsidR="00A875F3" w:rsidRDefault="00A875F3" w:rsidP="0081468E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lang w:eastAsia="cs-CZ"/>
              </w:rPr>
            </w:pPr>
          </w:p>
          <w:p w:rsidR="00FE7B7D" w:rsidRPr="0081468E" w:rsidRDefault="0081468E" w:rsidP="0081468E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lang w:eastAsia="cs-CZ"/>
              </w:rPr>
            </w:pPr>
            <w:r w:rsidRPr="0081468E">
              <w:rPr>
                <w:rFonts w:eastAsia="Times New Roman"/>
                <w:lang w:eastAsia="cs-CZ"/>
              </w:rPr>
              <w:t>Odborná spôsobilosť na výkon špecializovaných pracovných činností sa preukazuje dokladom o získaní požadovaného stupňa vzdelania v príslušnom študijnom odbore v príslušnom zdravotníckom povolaní (§ 27) a diplomom o špecializácii v príslušnom špecializačnom odbore okrem prípadov ustanovených podľa odseku 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7D" w:rsidRPr="001E22C6" w:rsidRDefault="0081468E" w:rsidP="00893CB0">
            <w:pPr>
              <w:jc w:val="center"/>
            </w:pPr>
            <w:r>
              <w:lastRenderedPageBreak/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7D" w:rsidRPr="00893CB0" w:rsidRDefault="00FE7B7D" w:rsidP="00893CB0">
            <w:pPr>
              <w:jc w:val="center"/>
            </w:pPr>
          </w:p>
        </w:tc>
      </w:tr>
      <w:tr w:rsidR="00814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E" w:rsidRDefault="0081468E" w:rsidP="00B91400">
            <w:pPr>
              <w:jc w:val="center"/>
            </w:pPr>
            <w:r>
              <w:lastRenderedPageBreak/>
              <w:t>Č: 35</w:t>
            </w:r>
          </w:p>
          <w:p w:rsidR="0081468E" w:rsidRPr="001E22C6" w:rsidRDefault="0081468E" w:rsidP="00B91400">
            <w:pPr>
              <w:jc w:val="center"/>
            </w:pPr>
            <w:r>
              <w:t>O: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E" w:rsidRPr="00565091" w:rsidRDefault="0081468E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1468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Prijatie na špecializovanú odbornú prípravu v odbore zubného lekárstva je podmienené ukončením a nostrifikáciou základnej odbornej prípravy v odbore zubného lekárstva uvedenej v článku 34, alebo získaním dokumentov uvedených v článkoch 23 a 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E" w:rsidRPr="001E22C6" w:rsidRDefault="0081468E" w:rsidP="00937AAF">
            <w:pPr>
              <w:jc w:val="center"/>
            </w:pPr>
            <w:r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F3" w:rsidRDefault="00A875F3" w:rsidP="00A875F3">
            <w:pPr>
              <w:jc w:val="both"/>
              <w:rPr>
                <w:bCs/>
                <w:i/>
              </w:rPr>
            </w:pPr>
            <w:r w:rsidRPr="001E22C6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p w:rsidR="00A875F3" w:rsidRDefault="00A875F3"/>
          <w:p w:rsidR="00FD2BD1" w:rsidRDefault="00FD2BD1"/>
          <w:p w:rsidR="00FD2BD1" w:rsidRDefault="00FD2BD1"/>
          <w:p w:rsidR="00FD2BD1" w:rsidRDefault="00FD2BD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1468E" w:rsidRPr="0081468E" w:rsidTr="00937AAF">
              <w:trPr>
                <w:trHeight w:val="195"/>
              </w:trPr>
              <w:tc>
                <w:tcPr>
                  <w:tcW w:w="1345" w:type="dxa"/>
                </w:tcPr>
                <w:p w:rsidR="0081468E" w:rsidRPr="0081468E" w:rsidRDefault="0081468E" w:rsidP="00937AAF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 xml:space="preserve">Zákon č. 578/2004 </w:t>
                  </w:r>
                  <w:proofErr w:type="spellStart"/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>Z.z</w:t>
                  </w:r>
                  <w:proofErr w:type="spellEnd"/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>.</w:t>
                  </w:r>
                </w:p>
              </w:tc>
            </w:tr>
          </w:tbl>
          <w:p w:rsidR="0081468E" w:rsidRPr="001E22C6" w:rsidRDefault="0081468E" w:rsidP="00937AAF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F3" w:rsidRDefault="00FD2BD1" w:rsidP="00937AAF">
            <w:pPr>
              <w:jc w:val="center"/>
            </w:pPr>
            <w:r>
              <w:lastRenderedPageBreak/>
              <w:t>§ 69a</w:t>
            </w:r>
          </w:p>
          <w:p w:rsidR="00FD2BD1" w:rsidRDefault="00FD2BD1" w:rsidP="00937AAF">
            <w:pPr>
              <w:jc w:val="center"/>
            </w:pPr>
            <w:r>
              <w:t>O . 4</w:t>
            </w: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A875F3" w:rsidRDefault="00A875F3" w:rsidP="00937AAF">
            <w:pPr>
              <w:jc w:val="center"/>
            </w:pPr>
          </w:p>
          <w:p w:rsidR="00FD2BD1" w:rsidRDefault="00FD2BD1" w:rsidP="00937AAF">
            <w:pPr>
              <w:jc w:val="center"/>
            </w:pPr>
          </w:p>
          <w:p w:rsidR="00FD2BD1" w:rsidRDefault="00FD2BD1" w:rsidP="00937AAF">
            <w:pPr>
              <w:jc w:val="center"/>
            </w:pPr>
          </w:p>
          <w:p w:rsidR="0081468E" w:rsidRPr="0081468E" w:rsidRDefault="0081468E" w:rsidP="00937AAF">
            <w:pPr>
              <w:jc w:val="center"/>
            </w:pPr>
            <w:r w:rsidRPr="0081468E">
              <w:lastRenderedPageBreak/>
              <w:t>§ 33</w:t>
            </w:r>
          </w:p>
          <w:p w:rsidR="0081468E" w:rsidRPr="001E22C6" w:rsidRDefault="0081468E" w:rsidP="0081468E">
            <w:pPr>
              <w:jc w:val="center"/>
              <w:rPr>
                <w:i/>
              </w:rPr>
            </w:pPr>
            <w:r w:rsidRPr="0081468E">
              <w:t>O</w:t>
            </w:r>
            <w:r>
              <w:t>:</w:t>
            </w:r>
            <w:r w:rsidRPr="0081468E">
              <w:t xml:space="preserve"> 4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F3" w:rsidRPr="00F26A84" w:rsidRDefault="00A875F3" w:rsidP="00A875F3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  <w:bookmarkStart w:id="0" w:name="_GoBack"/>
            <w:r w:rsidRPr="00F26A84">
              <w:rPr>
                <w:rFonts w:eastAsia="Times New Roman"/>
                <w:i/>
                <w:lang w:eastAsia="cs-CZ"/>
              </w:rPr>
              <w:lastRenderedPageBreak/>
              <w:t>V § 69a odsek 4 znie:</w:t>
            </w:r>
          </w:p>
          <w:p w:rsidR="00A875F3" w:rsidRPr="00F26A84" w:rsidRDefault="00A875F3" w:rsidP="00A875F3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  <w:r w:rsidRPr="00F26A84">
              <w:rPr>
                <w:rFonts w:eastAsia="Times New Roman"/>
                <w:i/>
                <w:lang w:eastAsia="cs-CZ"/>
              </w:rPr>
              <w:t>„(4) Vzdelávacia ustanovizeň, ktorá získala osvedčenie o akreditácii</w:t>
            </w:r>
            <w:r w:rsidRPr="00F26A84">
              <w:rPr>
                <w:rFonts w:eastAsia="Times New Roman"/>
                <w:i/>
                <w:vertAlign w:val="superscript"/>
                <w:lang w:eastAsia="cs-CZ"/>
              </w:rPr>
              <w:t>16b</w:t>
            </w:r>
            <w:r w:rsidRPr="00F26A84">
              <w:rPr>
                <w:rFonts w:eastAsia="Times New Roman"/>
                <w:i/>
                <w:lang w:eastAsia="cs-CZ"/>
              </w:rPr>
              <w:t>) (ďalej len „vzdelávacia ustanovizeň“), zaradí zubného lekára do špecializačného štúdia v špecializačnom odbore uvedenom v prílohe č. 3 časti B a vydá diplom o špecializácii len zubnému lekárovi s odbornou spôsobilosťou na výkon odborných pracovných činností získanou podľa § 6 ods. 1.“.</w:t>
            </w:r>
          </w:p>
          <w:bookmarkEnd w:id="0"/>
          <w:p w:rsidR="0081468E" w:rsidRPr="0081468E" w:rsidRDefault="0081468E" w:rsidP="00937AAF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lang w:eastAsia="cs-CZ"/>
              </w:rPr>
            </w:pPr>
            <w:r w:rsidRPr="0081468E">
              <w:rPr>
                <w:rFonts w:eastAsia="Times New Roman"/>
                <w:lang w:eastAsia="cs-CZ"/>
              </w:rPr>
              <w:lastRenderedPageBreak/>
              <w:t>Odborná spôsobilosť na výkon špecializovaných pracovných činností sa preukazuje dokladom o získaní požadovaného stupňa vzdelania v príslušnom študijnom odbore v príslušnom zdravotníckom povolaní (§ 27) a diplomom o špecializácii v príslušnom špecializačnom odbore okrem prípadov ustanovených podľa odseku 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E" w:rsidRPr="001E22C6" w:rsidRDefault="0081468E" w:rsidP="00893CB0">
            <w:pPr>
              <w:jc w:val="center"/>
            </w:pPr>
            <w:r>
              <w:lastRenderedPageBreak/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E" w:rsidRPr="00893CB0" w:rsidRDefault="0081468E" w:rsidP="00893CB0">
            <w:pPr>
              <w:jc w:val="center"/>
            </w:pPr>
          </w:p>
        </w:tc>
      </w:tr>
      <w:tr w:rsidR="00DD5B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1E22C6" w:rsidRDefault="00DD5B9F" w:rsidP="00B91400">
            <w:pPr>
              <w:jc w:val="center"/>
            </w:pPr>
            <w:r w:rsidRPr="001E22C6">
              <w:lastRenderedPageBreak/>
              <w:t xml:space="preserve">Č: </w:t>
            </w:r>
            <w:r w:rsidR="008A6365" w:rsidRPr="001E22C6">
              <w:t>40</w:t>
            </w:r>
          </w:p>
          <w:p w:rsidR="00DD5B9F" w:rsidRPr="001E22C6" w:rsidRDefault="00DD5B9F" w:rsidP="008A6365">
            <w:pPr>
              <w:jc w:val="center"/>
            </w:pPr>
            <w:r w:rsidRPr="001E22C6">
              <w:t xml:space="preserve">O: </w:t>
            </w:r>
            <w:r w:rsidR="008A6365" w:rsidRPr="001E22C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Odborná príprava pôrodnej asistentky poskytuje záruku, že príslušná odborníčka získala tieto znalosti a zručnosti: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a) podrobné znalostí vied, o ktoré sa opiera činnosť pôrodnej asistentky, najmä pôrodníctva a gynekológie;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b) primerané znalosti etiky povolania a právnych predpisov týkajúcich sa výkonu povolania;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c) primerané znalosti všeobecného lekárstva (biologických funkcií, anatómie a fyziológie) a farmakológie v oblasti pôrodníctva a novorodencov, ako aj znalosti vzťahov medzi zdravotným stavom a fyzickým a sociálnym prostredím človeka a jeho správaním;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d) primeranú klinickú prax </w:t>
            </w: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získanú v schválených ústavoch, na základe ktorej pôrodná asistentka dokáže nezávisle a v rámci svojej vlastnej zodpovednosti, v potrebnom rozsahu a okrem patologických situácií, riadiť predpôrodnú starostlivosť, vykonávať pôrod a starostlivosť po ňom v schválených ústavoch, a ovládať pôrodné bolesti a samotné narodenie, starostlivosť po narodení a oživovanie novorodencov pred príchodom lekára; </w:t>
            </w:r>
          </w:p>
          <w:p w:rsidR="00DD5B9F" w:rsidRPr="001E22C6" w:rsidRDefault="008A6365" w:rsidP="0056509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65091">
              <w:rPr>
                <w:color w:val="000000"/>
                <w:sz w:val="18"/>
                <w:szCs w:val="18"/>
                <w:lang w:eastAsia="en-US"/>
              </w:rPr>
              <w:t>e) primerané chápanie odbornej prípravy zdravotníckeho personálu a skúsenosti s prácou s týmto personálom.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1E22C6" w:rsidRDefault="00DD5B9F" w:rsidP="00DE414F">
            <w:pPr>
              <w:jc w:val="center"/>
            </w:pPr>
            <w:r w:rsidRPr="001E22C6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8A6365" w:rsidP="008A6365">
            <w:pPr>
              <w:jc w:val="both"/>
              <w:rPr>
                <w:bCs/>
                <w:i/>
              </w:rPr>
            </w:pPr>
            <w:r w:rsidRPr="001E22C6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81468E" w:rsidRDefault="0081468E" w:rsidP="008A6365">
            <w:pPr>
              <w:jc w:val="both"/>
              <w:rPr>
                <w:bCs/>
                <w:i/>
              </w:rPr>
            </w:pPr>
          </w:p>
          <w:p w:rsidR="0081468E" w:rsidRDefault="0081468E" w:rsidP="0081468E">
            <w:pPr>
              <w:jc w:val="both"/>
              <w:rPr>
                <w:bCs/>
              </w:rPr>
            </w:pPr>
            <w:r w:rsidRPr="00881B81">
              <w:rPr>
                <w:bCs/>
              </w:rPr>
              <w:t xml:space="preserve">NVSR č. 296/2010 Z. z. </w:t>
            </w: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Default="00FD2BD1" w:rsidP="0081468E">
            <w:pPr>
              <w:jc w:val="both"/>
              <w:rPr>
                <w:bCs/>
              </w:rPr>
            </w:pPr>
          </w:p>
          <w:p w:rsidR="00FD2BD1" w:rsidRPr="00881B81" w:rsidRDefault="00FD2BD1" w:rsidP="0081468E">
            <w:pPr>
              <w:jc w:val="both"/>
            </w:pPr>
            <w:r w:rsidRPr="00881B81">
              <w:rPr>
                <w:bCs/>
              </w:rPr>
              <w:t>NVSR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1E22C6" w:rsidRDefault="007766D4" w:rsidP="008115CB">
            <w:pPr>
              <w:jc w:val="center"/>
              <w:rPr>
                <w:i/>
              </w:rPr>
            </w:pPr>
            <w:r w:rsidRPr="001E22C6">
              <w:rPr>
                <w:i/>
              </w:rPr>
              <w:t xml:space="preserve">§ </w:t>
            </w:r>
            <w:r w:rsidR="008A6365" w:rsidRPr="001E22C6">
              <w:rPr>
                <w:i/>
              </w:rPr>
              <w:t>15</w:t>
            </w:r>
          </w:p>
          <w:p w:rsidR="00FE58FA" w:rsidRPr="001E22C6" w:rsidRDefault="008115CB" w:rsidP="008115CB">
            <w:pPr>
              <w:jc w:val="center"/>
              <w:rPr>
                <w:i/>
              </w:rPr>
            </w:pPr>
            <w:r w:rsidRPr="001E22C6">
              <w:rPr>
                <w:i/>
              </w:rPr>
              <w:t xml:space="preserve">O: </w:t>
            </w:r>
            <w:r w:rsidR="008A6365" w:rsidRPr="001E22C6">
              <w:rPr>
                <w:i/>
              </w:rPr>
              <w:t>1</w:t>
            </w:r>
            <w:r w:rsidRPr="001E22C6">
              <w:rPr>
                <w:i/>
              </w:rPr>
              <w:t xml:space="preserve"> </w:t>
            </w:r>
          </w:p>
          <w:p w:rsidR="00DD5B9F" w:rsidRDefault="00DD5B9F" w:rsidP="008115CB">
            <w:pPr>
              <w:jc w:val="center"/>
              <w:rPr>
                <w:i/>
              </w:rPr>
            </w:pPr>
          </w:p>
          <w:p w:rsidR="0081468E" w:rsidRDefault="0081468E" w:rsidP="008115CB">
            <w:pPr>
              <w:jc w:val="center"/>
              <w:rPr>
                <w:i/>
              </w:rPr>
            </w:pPr>
          </w:p>
          <w:p w:rsidR="0081468E" w:rsidRDefault="0081468E" w:rsidP="008115CB">
            <w:pPr>
              <w:jc w:val="center"/>
              <w:rPr>
                <w:i/>
              </w:rPr>
            </w:pPr>
          </w:p>
          <w:p w:rsidR="0081468E" w:rsidRDefault="0081468E" w:rsidP="008115CB">
            <w:pPr>
              <w:jc w:val="center"/>
              <w:rPr>
                <w:i/>
              </w:rPr>
            </w:pPr>
          </w:p>
          <w:p w:rsidR="0081468E" w:rsidRDefault="0081468E" w:rsidP="008115CB">
            <w:pPr>
              <w:jc w:val="center"/>
              <w:rPr>
                <w:i/>
              </w:rPr>
            </w:pPr>
          </w:p>
          <w:p w:rsidR="0081468E" w:rsidRPr="00881B81" w:rsidRDefault="0081468E" w:rsidP="008115CB">
            <w:pPr>
              <w:jc w:val="center"/>
            </w:pPr>
            <w:r w:rsidRPr="00881B81">
              <w:t>§ 15</w:t>
            </w:r>
          </w:p>
          <w:p w:rsidR="0081468E" w:rsidRDefault="0081468E" w:rsidP="008115CB">
            <w:pPr>
              <w:jc w:val="center"/>
            </w:pPr>
            <w:r w:rsidRPr="00881B81">
              <w:t>O: 1</w:t>
            </w: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8115CB">
            <w:pPr>
              <w:jc w:val="center"/>
            </w:pPr>
          </w:p>
          <w:p w:rsidR="00FD2BD1" w:rsidRDefault="00FD2BD1" w:rsidP="00FD2BD1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Príloha2 </w:t>
            </w:r>
          </w:p>
          <w:p w:rsidR="00FD2BD1" w:rsidRDefault="00FD2BD1" w:rsidP="00FD2BD1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Č:E </w:t>
            </w:r>
          </w:p>
          <w:p w:rsidR="00FD2BD1" w:rsidRPr="001E22C6" w:rsidRDefault="00FD2BD1" w:rsidP="00FD2BD1">
            <w:pPr>
              <w:jc w:val="center"/>
              <w:rPr>
                <w:i/>
              </w:rPr>
            </w:pPr>
            <w:proofErr w:type="spellStart"/>
            <w:r>
              <w:rPr>
                <w:sz w:val="19"/>
                <w:szCs w:val="19"/>
              </w:rPr>
              <w:t>P.d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65" w:rsidRPr="001E22C6" w:rsidRDefault="008A6365" w:rsidP="00565091">
            <w:pPr>
              <w:autoSpaceDE/>
              <w:autoSpaceDN/>
              <w:spacing w:after="160" w:line="259" w:lineRule="auto"/>
              <w:contextualSpacing/>
              <w:jc w:val="both"/>
              <w:rPr>
                <w:rFonts w:eastAsia="Times New Roman"/>
                <w:i/>
                <w:lang w:eastAsia="cs-CZ"/>
              </w:rPr>
            </w:pPr>
            <w:r w:rsidRPr="001E22C6">
              <w:rPr>
                <w:rFonts w:eastAsia="Times New Roman"/>
                <w:i/>
                <w:lang w:eastAsia="cs-CZ"/>
              </w:rPr>
              <w:t xml:space="preserve">V § 15 v ods. 1 sa za slová „starostlivosti o ženu“  dopĺňajú slová „a </w:t>
            </w:r>
            <w:r w:rsidR="00D62500" w:rsidRPr="001E22C6">
              <w:rPr>
                <w:rFonts w:eastAsia="Times New Roman"/>
                <w:i/>
                <w:lang w:eastAsia="cs-CZ"/>
              </w:rPr>
              <w:t>novorodenca</w:t>
            </w:r>
            <w:r w:rsidRPr="001E22C6">
              <w:rPr>
                <w:rFonts w:eastAsia="Times New Roman"/>
                <w:i/>
                <w:lang w:eastAsia="cs-CZ"/>
              </w:rPr>
              <w:t>“.</w:t>
            </w:r>
          </w:p>
          <w:p w:rsidR="00DD5B9F" w:rsidRDefault="00DD5B9F" w:rsidP="00E915C3">
            <w:pPr>
              <w:jc w:val="both"/>
              <w:rPr>
                <w:i/>
              </w:rPr>
            </w:pPr>
          </w:p>
          <w:p w:rsidR="00881B81" w:rsidRDefault="00881B81" w:rsidP="00E915C3">
            <w:pPr>
              <w:jc w:val="both"/>
              <w:rPr>
                <w:i/>
              </w:rPr>
            </w:pPr>
          </w:p>
          <w:p w:rsidR="00881B81" w:rsidRDefault="00881B81" w:rsidP="00E915C3">
            <w:pPr>
              <w:jc w:val="both"/>
              <w:rPr>
                <w:i/>
              </w:rPr>
            </w:pPr>
          </w:p>
          <w:p w:rsidR="00881B81" w:rsidRDefault="00881B81" w:rsidP="00881B81">
            <w:r w:rsidRPr="00881B81">
              <w:t>Pôrodná asistentka, ktorá získala odbornú spôsobilosť na výkon odborných pracovných činností, samostatne vykonáva odborné pracovné činnosti v pôrodnej asistencii 14) vrátane ošetrovateľskej starostlivosti o ženu, ktoré zodpovedajú rozsahu a obsahu získaného vzdelania.</w:t>
            </w:r>
          </w:p>
          <w:p w:rsidR="00FD2BD1" w:rsidRDefault="00FD2BD1" w:rsidP="00881B81"/>
          <w:p w:rsidR="00FD2BD1" w:rsidRDefault="00FD2BD1" w:rsidP="00FD2BD1">
            <w:r>
              <w:t>d) Štúdiom sa získavajú primerané vedomosti</w:t>
            </w:r>
          </w:p>
          <w:p w:rsidR="00FD2BD1" w:rsidRDefault="00FD2BD1" w:rsidP="00FD2BD1">
            <w:r>
              <w:t xml:space="preserve">1. z vied, na ktorých sú založené činnosti </w:t>
            </w:r>
            <w:r>
              <w:lastRenderedPageBreak/>
              <w:t>pôrodných asistentiek, najmä z pôrodníctva a z gynekológie,</w:t>
            </w:r>
          </w:p>
          <w:p w:rsidR="00FD2BD1" w:rsidRDefault="00FD2BD1" w:rsidP="00FD2BD1">
            <w:r>
              <w:t>2. z profesijnej etiky a príslušných právnych predpisov,</w:t>
            </w:r>
          </w:p>
          <w:p w:rsidR="00FD2BD1" w:rsidRDefault="00FD2BD1" w:rsidP="00FD2BD1">
            <w:r>
              <w:t>3. o biologických funkciách z anatómie, fyziológie a farmakológie na úseku pôrodníctva a náuky o novorodencoch, ako aj vedomosti o vzťahoch medzi zdravotným stavom a fyzickým a sociálnym prostredím ľudskej bytosti a o jej správaní,</w:t>
            </w:r>
          </w:p>
          <w:p w:rsidR="00FD2BD1" w:rsidRDefault="00FD2BD1" w:rsidP="00FD2BD1">
            <w:r>
              <w:t>4. zo vzdelávania zdravotníckych pracovníkov a skúseností z práce so zdravotníckymi pracovníkmi,</w:t>
            </w:r>
          </w:p>
          <w:p w:rsidR="00FD2BD1" w:rsidRDefault="00FD2BD1" w:rsidP="00FD2BD1">
            <w:r>
              <w:t>5. z klinickej praxe získanej v zdravotníckych zariadeniach, na základe ktorej pôrodná asistentka dokáže samostatne v potrebnom rozsahu okrem patologických situácií riadiť predpôrodnú starostlivosť, vykonávať pôrod a zabezpečiť starostlivosť po pôrode v zdravotníckych zariadeniach, zmierniť pôrodné bolesti, zabezpečiť starostlivosť po narodení a oživovať novorodenca pred príchodom lekára,</w:t>
            </w:r>
          </w:p>
          <w:p w:rsidR="00FD2BD1" w:rsidRPr="00881B81" w:rsidRDefault="00FD2BD1" w:rsidP="00FD2BD1">
            <w:r>
              <w:t xml:space="preserve">klinické skúsenosti v zdravotníckych zariadeniach a pod </w:t>
            </w:r>
            <w:r>
              <w:lastRenderedPageBreak/>
              <w:t>dohľadom pôrodných asistentiek a lekárov s odbornou spôsobilosťou na výkon špecializovaných pracovných činností v špecializačnom odbore gynekológia a pôrodníctvo.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8115CB" w:rsidP="00893CB0">
            <w:pPr>
              <w:jc w:val="center"/>
            </w:pPr>
            <w:r w:rsidRPr="001E22C6">
              <w:lastRenderedPageBreak/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9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20" w:rsidRDefault="00486420">
      <w:r>
        <w:separator/>
      </w:r>
    </w:p>
  </w:endnote>
  <w:endnote w:type="continuationSeparator" w:id="0">
    <w:p w:rsidR="00486420" w:rsidRDefault="0048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26A84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20" w:rsidRDefault="00486420">
      <w:r>
        <w:separator/>
      </w:r>
    </w:p>
  </w:footnote>
  <w:footnote w:type="continuationSeparator" w:id="0">
    <w:p w:rsidR="00486420" w:rsidRDefault="0048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>
    <w:nsid w:val="0F1C5610"/>
    <w:multiLevelType w:val="hybridMultilevel"/>
    <w:tmpl w:val="3670E1B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501A8AD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55792"/>
    <w:rsid w:val="001930F3"/>
    <w:rsid w:val="001B7D00"/>
    <w:rsid w:val="001C0BAF"/>
    <w:rsid w:val="001E188E"/>
    <w:rsid w:val="001E22C6"/>
    <w:rsid w:val="001F0B61"/>
    <w:rsid w:val="001F55FE"/>
    <w:rsid w:val="0022770B"/>
    <w:rsid w:val="0023328C"/>
    <w:rsid w:val="002534A4"/>
    <w:rsid w:val="00255E26"/>
    <w:rsid w:val="00264FFB"/>
    <w:rsid w:val="002A7D7D"/>
    <w:rsid w:val="002B3FBB"/>
    <w:rsid w:val="002D0F46"/>
    <w:rsid w:val="002E6CF5"/>
    <w:rsid w:val="00320107"/>
    <w:rsid w:val="00330D9C"/>
    <w:rsid w:val="00382CD7"/>
    <w:rsid w:val="003A6ABB"/>
    <w:rsid w:val="003E2CD2"/>
    <w:rsid w:val="00486420"/>
    <w:rsid w:val="004879F3"/>
    <w:rsid w:val="004971F6"/>
    <w:rsid w:val="004B0F71"/>
    <w:rsid w:val="004F4FF1"/>
    <w:rsid w:val="0050129C"/>
    <w:rsid w:val="00502AEF"/>
    <w:rsid w:val="00565091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6275A"/>
    <w:rsid w:val="00673B31"/>
    <w:rsid w:val="0067554A"/>
    <w:rsid w:val="006C38DE"/>
    <w:rsid w:val="0072473B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1468E"/>
    <w:rsid w:val="008217BE"/>
    <w:rsid w:val="00876391"/>
    <w:rsid w:val="00881B81"/>
    <w:rsid w:val="00893CB0"/>
    <w:rsid w:val="008A00C7"/>
    <w:rsid w:val="008A6365"/>
    <w:rsid w:val="008F16D3"/>
    <w:rsid w:val="00901772"/>
    <w:rsid w:val="009130B8"/>
    <w:rsid w:val="00917B61"/>
    <w:rsid w:val="00923069"/>
    <w:rsid w:val="0092322D"/>
    <w:rsid w:val="0097359B"/>
    <w:rsid w:val="00974A4B"/>
    <w:rsid w:val="009840BC"/>
    <w:rsid w:val="009906AC"/>
    <w:rsid w:val="009F5F0B"/>
    <w:rsid w:val="00A02990"/>
    <w:rsid w:val="00A27FFB"/>
    <w:rsid w:val="00A30671"/>
    <w:rsid w:val="00A550B8"/>
    <w:rsid w:val="00A739B0"/>
    <w:rsid w:val="00A875F3"/>
    <w:rsid w:val="00AA1FE4"/>
    <w:rsid w:val="00AC45D6"/>
    <w:rsid w:val="00AF3694"/>
    <w:rsid w:val="00B17B28"/>
    <w:rsid w:val="00B41FC1"/>
    <w:rsid w:val="00B52BD4"/>
    <w:rsid w:val="00B66D62"/>
    <w:rsid w:val="00B91400"/>
    <w:rsid w:val="00BC14B7"/>
    <w:rsid w:val="00BF1C1E"/>
    <w:rsid w:val="00C27993"/>
    <w:rsid w:val="00C335F4"/>
    <w:rsid w:val="00C60F68"/>
    <w:rsid w:val="00C81B7C"/>
    <w:rsid w:val="00C90D86"/>
    <w:rsid w:val="00CA38B0"/>
    <w:rsid w:val="00CA57E5"/>
    <w:rsid w:val="00CD688D"/>
    <w:rsid w:val="00D230DE"/>
    <w:rsid w:val="00D43D9D"/>
    <w:rsid w:val="00D5769E"/>
    <w:rsid w:val="00D62500"/>
    <w:rsid w:val="00D71745"/>
    <w:rsid w:val="00D74D4A"/>
    <w:rsid w:val="00D755CC"/>
    <w:rsid w:val="00D81742"/>
    <w:rsid w:val="00DA2201"/>
    <w:rsid w:val="00DD5B9F"/>
    <w:rsid w:val="00DE1778"/>
    <w:rsid w:val="00DE414F"/>
    <w:rsid w:val="00E00F4A"/>
    <w:rsid w:val="00E158FB"/>
    <w:rsid w:val="00E2537A"/>
    <w:rsid w:val="00E327C0"/>
    <w:rsid w:val="00E44191"/>
    <w:rsid w:val="00E57290"/>
    <w:rsid w:val="00E915C3"/>
    <w:rsid w:val="00E937F5"/>
    <w:rsid w:val="00EA1089"/>
    <w:rsid w:val="00ED4E08"/>
    <w:rsid w:val="00F10586"/>
    <w:rsid w:val="00F23A57"/>
    <w:rsid w:val="00F26A84"/>
    <w:rsid w:val="00F30448"/>
    <w:rsid w:val="00F812DF"/>
    <w:rsid w:val="00F83FF1"/>
    <w:rsid w:val="00FB2F06"/>
    <w:rsid w:val="00FB72A4"/>
    <w:rsid w:val="00FC2AE6"/>
    <w:rsid w:val="00FC5F43"/>
    <w:rsid w:val="00FD2BD1"/>
    <w:rsid w:val="00FE3C52"/>
    <w:rsid w:val="00FE58FA"/>
    <w:rsid w:val="00FE7B7D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0EDF-29BE-46D3-AE24-AC39CA1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Nagy Marián</cp:lastModifiedBy>
  <cp:revision>2</cp:revision>
  <cp:lastPrinted>2018-01-08T07:39:00Z</cp:lastPrinted>
  <dcterms:created xsi:type="dcterms:W3CDTF">2022-01-28T09:36:00Z</dcterms:created>
  <dcterms:modified xsi:type="dcterms:W3CDTF">2022-01-28T09:36:00Z</dcterms:modified>
</cp:coreProperties>
</file>