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0BEA" w14:textId="35DCA0F1" w:rsidR="00701377" w:rsidRPr="00C92FB0" w:rsidRDefault="00701377" w:rsidP="00701377">
      <w:pPr>
        <w:autoSpaceDE w:val="0"/>
        <w:spacing w:line="240" w:lineRule="auto"/>
        <w:jc w:val="center"/>
        <w:rPr>
          <w:rFonts w:ascii="Times New Roman" w:hAnsi="Times New Roman"/>
          <w:b/>
          <w:bCs/>
          <w:sz w:val="24"/>
          <w:szCs w:val="24"/>
        </w:rPr>
      </w:pPr>
      <w:r w:rsidRPr="00C92FB0">
        <w:rPr>
          <w:rFonts w:ascii="Times New Roman" w:hAnsi="Times New Roman"/>
          <w:b/>
          <w:bCs/>
          <w:sz w:val="24"/>
          <w:szCs w:val="24"/>
        </w:rPr>
        <w:t>Návrh</w:t>
      </w:r>
    </w:p>
    <w:p w14:paraId="57110FA3" w14:textId="411FA8A1" w:rsidR="00701377" w:rsidRPr="009A1BA4" w:rsidRDefault="00701377" w:rsidP="00701377">
      <w:pPr>
        <w:autoSpaceDE w:val="0"/>
        <w:spacing w:line="240" w:lineRule="auto"/>
        <w:jc w:val="center"/>
        <w:rPr>
          <w:rFonts w:ascii="Times New Roman" w:hAnsi="Times New Roman"/>
          <w:b/>
          <w:bCs/>
          <w:sz w:val="24"/>
          <w:szCs w:val="24"/>
        </w:rPr>
      </w:pPr>
      <w:r w:rsidRPr="009A1BA4">
        <w:rPr>
          <w:rFonts w:ascii="Times New Roman" w:hAnsi="Times New Roman"/>
          <w:b/>
          <w:bCs/>
          <w:sz w:val="24"/>
          <w:szCs w:val="24"/>
        </w:rPr>
        <w:t>VYHLÁŠKA</w:t>
      </w:r>
    </w:p>
    <w:p w14:paraId="4491B436" w14:textId="77777777" w:rsidR="00701377" w:rsidRPr="009A1BA4" w:rsidRDefault="00701377" w:rsidP="00701377">
      <w:pPr>
        <w:autoSpaceDE w:val="0"/>
        <w:spacing w:line="240" w:lineRule="auto"/>
        <w:jc w:val="center"/>
        <w:rPr>
          <w:rFonts w:ascii="Times New Roman" w:hAnsi="Times New Roman"/>
          <w:b/>
          <w:bCs/>
          <w:sz w:val="24"/>
          <w:szCs w:val="24"/>
        </w:rPr>
      </w:pPr>
      <w:r w:rsidRPr="009A1BA4">
        <w:rPr>
          <w:rFonts w:ascii="Times New Roman" w:hAnsi="Times New Roman"/>
          <w:b/>
          <w:bCs/>
          <w:sz w:val="24"/>
          <w:szCs w:val="24"/>
        </w:rPr>
        <w:t>Ministerstva zdravotníctva Slovenskej republiky</w:t>
      </w:r>
    </w:p>
    <w:p w14:paraId="24BB46D9" w14:textId="77777777" w:rsidR="00701377" w:rsidRPr="009A1BA4" w:rsidRDefault="00701377" w:rsidP="00701377">
      <w:pPr>
        <w:autoSpaceDE w:val="0"/>
        <w:spacing w:line="240" w:lineRule="auto"/>
        <w:jc w:val="center"/>
        <w:rPr>
          <w:rFonts w:ascii="Times New Roman" w:hAnsi="Times New Roman"/>
          <w:b/>
          <w:bCs/>
          <w:sz w:val="24"/>
          <w:szCs w:val="24"/>
        </w:rPr>
      </w:pPr>
      <w:r w:rsidRPr="009A1BA4">
        <w:rPr>
          <w:rFonts w:ascii="Times New Roman" w:hAnsi="Times New Roman"/>
          <w:b/>
          <w:bCs/>
          <w:sz w:val="24"/>
          <w:szCs w:val="24"/>
        </w:rPr>
        <w:t xml:space="preserve"> z ...... 2021,</w:t>
      </w:r>
    </w:p>
    <w:p w14:paraId="3F99B465" w14:textId="77777777" w:rsidR="00701377" w:rsidRPr="00FA7B50" w:rsidRDefault="00701377" w:rsidP="00701377">
      <w:pPr>
        <w:autoSpaceDE w:val="0"/>
        <w:spacing w:line="240" w:lineRule="auto"/>
        <w:jc w:val="center"/>
        <w:rPr>
          <w:rFonts w:ascii="Times New Roman" w:hAnsi="Times New Roman"/>
          <w:b/>
          <w:bCs/>
          <w:sz w:val="24"/>
          <w:szCs w:val="24"/>
        </w:rPr>
      </w:pPr>
      <w:r w:rsidRPr="00FA7B50">
        <w:rPr>
          <w:rFonts w:ascii="Times New Roman" w:hAnsi="Times New Roman"/>
          <w:b/>
          <w:bCs/>
          <w:sz w:val="24"/>
          <w:szCs w:val="24"/>
        </w:rPr>
        <w:t xml:space="preserve"> </w:t>
      </w:r>
    </w:p>
    <w:p w14:paraId="50E73758" w14:textId="193B4B49" w:rsidR="00701377" w:rsidRPr="009A1BA4" w:rsidRDefault="009128F9" w:rsidP="00FA7B50">
      <w:pPr>
        <w:autoSpaceDE w:val="0"/>
        <w:spacing w:after="0" w:line="240" w:lineRule="auto"/>
        <w:jc w:val="center"/>
        <w:rPr>
          <w:rFonts w:ascii="Times New Roman" w:hAnsi="Times New Roman"/>
          <w:b/>
          <w:bCs/>
          <w:sz w:val="24"/>
          <w:szCs w:val="24"/>
        </w:rPr>
      </w:pPr>
      <w:r>
        <w:rPr>
          <w:rFonts w:ascii="Times New Roman" w:hAnsi="Times New Roman"/>
          <w:b/>
          <w:bCs/>
          <w:sz w:val="24"/>
          <w:szCs w:val="24"/>
        </w:rPr>
        <w:t>ktorou sa ustanovujú podmienky výpočtu prahovej hodnoty pre účely posúdenia nákladovej efektívnosti lieku</w:t>
      </w:r>
    </w:p>
    <w:p w14:paraId="51431943" w14:textId="04CE905D" w:rsidR="00701377" w:rsidRDefault="00701377" w:rsidP="00FA7B50">
      <w:pPr>
        <w:widowControl w:val="0"/>
        <w:autoSpaceDE w:val="0"/>
        <w:spacing w:after="0" w:line="240" w:lineRule="auto"/>
        <w:rPr>
          <w:rFonts w:ascii="Times New Roman" w:hAnsi="Times New Roman"/>
          <w:b/>
          <w:bCs/>
          <w:sz w:val="24"/>
          <w:szCs w:val="24"/>
        </w:rPr>
      </w:pPr>
    </w:p>
    <w:p w14:paraId="0384EC12" w14:textId="77777777" w:rsidR="00FA7B50" w:rsidRPr="009A1BA4" w:rsidRDefault="00FA7B50" w:rsidP="00FA7B50">
      <w:pPr>
        <w:widowControl w:val="0"/>
        <w:autoSpaceDE w:val="0"/>
        <w:spacing w:after="0" w:line="240" w:lineRule="auto"/>
        <w:rPr>
          <w:rFonts w:ascii="Times New Roman" w:hAnsi="Times New Roman"/>
          <w:b/>
          <w:bCs/>
          <w:sz w:val="24"/>
          <w:szCs w:val="24"/>
        </w:rPr>
      </w:pPr>
    </w:p>
    <w:p w14:paraId="162D0791" w14:textId="5936735E" w:rsidR="00701377" w:rsidRPr="009A1BA4" w:rsidRDefault="00701377" w:rsidP="00701377">
      <w:pPr>
        <w:widowControl w:val="0"/>
        <w:autoSpaceDE w:val="0"/>
        <w:spacing w:after="0" w:line="240" w:lineRule="auto"/>
        <w:jc w:val="both"/>
        <w:rPr>
          <w:rFonts w:ascii="Times New Roman" w:hAnsi="Times New Roman"/>
          <w:sz w:val="24"/>
          <w:szCs w:val="24"/>
        </w:rPr>
      </w:pPr>
      <w:r w:rsidRPr="009A1BA4">
        <w:rPr>
          <w:rFonts w:ascii="Times New Roman" w:hAnsi="Times New Roman"/>
          <w:sz w:val="24"/>
          <w:szCs w:val="24"/>
        </w:rPr>
        <w:tab/>
        <w:t xml:space="preserve">Ministerstvo zdravotníctva Slovenskej republiky podľa </w:t>
      </w:r>
      <w:hyperlink r:id="rId9" w:anchor="38;link='578/2004%20Z.z.%252379'&amp;" w:history="1">
        <w:r w:rsidRPr="009A1BA4">
          <w:rPr>
            <w:rFonts w:ascii="Times New Roman" w:hAnsi="Times New Roman"/>
            <w:sz w:val="24"/>
            <w:szCs w:val="24"/>
          </w:rPr>
          <w:t xml:space="preserve">§ </w:t>
        </w:r>
        <w:r w:rsidR="009128F9">
          <w:rPr>
            <w:rFonts w:ascii="Times New Roman" w:hAnsi="Times New Roman"/>
            <w:sz w:val="24"/>
            <w:szCs w:val="24"/>
          </w:rPr>
          <w:t>7 ods. 3</w:t>
        </w:r>
        <w:r w:rsidRPr="009A1BA4">
          <w:rPr>
            <w:rFonts w:ascii="Times New Roman" w:hAnsi="Times New Roman"/>
            <w:sz w:val="24"/>
            <w:szCs w:val="24"/>
          </w:rPr>
          <w:t xml:space="preserve"> zákona č. </w:t>
        </w:r>
        <w:r w:rsidR="009128F9">
          <w:rPr>
            <w:rFonts w:ascii="Times New Roman" w:hAnsi="Times New Roman"/>
            <w:sz w:val="24"/>
            <w:szCs w:val="24"/>
          </w:rPr>
          <w:t>363</w:t>
        </w:r>
        <w:r w:rsidR="00F42BD5">
          <w:rPr>
            <w:rFonts w:ascii="Times New Roman" w:hAnsi="Times New Roman"/>
            <w:sz w:val="24"/>
            <w:szCs w:val="24"/>
          </w:rPr>
          <w:t>/2011</w:t>
        </w:r>
        <w:r w:rsidRPr="009A1BA4">
          <w:rPr>
            <w:rFonts w:ascii="Times New Roman" w:hAnsi="Times New Roman"/>
            <w:sz w:val="24"/>
            <w:szCs w:val="24"/>
          </w:rPr>
          <w:t xml:space="preserve"> Z. z.</w:t>
        </w:r>
      </w:hyperlink>
      <w:r w:rsidRPr="009A1BA4">
        <w:rPr>
          <w:rFonts w:ascii="Times New Roman" w:hAnsi="Times New Roman"/>
          <w:sz w:val="24"/>
          <w:szCs w:val="24"/>
        </w:rPr>
        <w:t xml:space="preserve"> o</w:t>
      </w:r>
      <w:r w:rsidR="009128F9">
        <w:rPr>
          <w:rFonts w:ascii="Times New Roman" w:hAnsi="Times New Roman"/>
          <w:sz w:val="24"/>
          <w:szCs w:val="24"/>
        </w:rPr>
        <w:t xml:space="preserve"> rozsahu a podmienkach úhrady liekov, zdravotníckych pomôcok a dietetických potravín na základe verejného zdravotného poistenia </w:t>
      </w:r>
      <w:r w:rsidR="00F42BD5">
        <w:rPr>
          <w:rFonts w:ascii="Times New Roman" w:hAnsi="Times New Roman"/>
          <w:sz w:val="24"/>
          <w:szCs w:val="24"/>
        </w:rPr>
        <w:t xml:space="preserve">a o zmene a doplnení niektorých zákonov v znení neskorších predpisov </w:t>
      </w:r>
      <w:r w:rsidR="009128F9">
        <w:rPr>
          <w:rFonts w:ascii="Times New Roman" w:hAnsi="Times New Roman"/>
          <w:sz w:val="24"/>
          <w:szCs w:val="24"/>
        </w:rPr>
        <w:t>(ďalej len „zákon“) ustanovuje:</w:t>
      </w:r>
    </w:p>
    <w:p w14:paraId="5888128D" w14:textId="77777777" w:rsidR="00701377" w:rsidRPr="009A1BA4" w:rsidRDefault="00701377" w:rsidP="00701377">
      <w:pPr>
        <w:widowControl w:val="0"/>
        <w:autoSpaceDE w:val="0"/>
        <w:spacing w:after="0" w:line="240" w:lineRule="auto"/>
        <w:rPr>
          <w:rFonts w:ascii="Times New Roman" w:hAnsi="Times New Roman"/>
          <w:sz w:val="24"/>
          <w:szCs w:val="24"/>
        </w:rPr>
      </w:pPr>
    </w:p>
    <w:p w14:paraId="773C92FF" w14:textId="77777777" w:rsidR="00701377" w:rsidRPr="009A1BA4" w:rsidRDefault="00701377" w:rsidP="00701377">
      <w:pPr>
        <w:widowControl w:val="0"/>
        <w:autoSpaceDE w:val="0"/>
        <w:spacing w:after="0" w:line="240" w:lineRule="auto"/>
        <w:jc w:val="center"/>
        <w:rPr>
          <w:rFonts w:ascii="Times New Roman" w:hAnsi="Times New Roman"/>
          <w:sz w:val="24"/>
          <w:szCs w:val="24"/>
        </w:rPr>
      </w:pPr>
      <w:r w:rsidRPr="009A1BA4">
        <w:rPr>
          <w:rFonts w:ascii="Times New Roman" w:hAnsi="Times New Roman"/>
          <w:sz w:val="24"/>
          <w:szCs w:val="24"/>
        </w:rPr>
        <w:t xml:space="preserve">§ 1 </w:t>
      </w:r>
    </w:p>
    <w:p w14:paraId="69E0306D" w14:textId="77777777" w:rsidR="00701377" w:rsidRPr="009A1BA4" w:rsidRDefault="00701377" w:rsidP="00701377">
      <w:pPr>
        <w:widowControl w:val="0"/>
        <w:autoSpaceDE w:val="0"/>
        <w:spacing w:after="0" w:line="240" w:lineRule="auto"/>
        <w:rPr>
          <w:rFonts w:ascii="Times New Roman" w:hAnsi="Times New Roman"/>
          <w:sz w:val="24"/>
          <w:szCs w:val="24"/>
        </w:rPr>
      </w:pPr>
    </w:p>
    <w:p w14:paraId="58AEC619" w14:textId="7C2E612E" w:rsidR="00701377" w:rsidRDefault="009128F9" w:rsidP="00FA7B5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Prahová hodnota posudzovaného lieku podľa § 7 ods. 3 zákona nesmie prekročiť:</w:t>
      </w:r>
    </w:p>
    <w:p w14:paraId="1A532A02" w14:textId="0DDBC6BD" w:rsidR="009128F9" w:rsidRDefault="001D2793" w:rsidP="009128F9">
      <w:pPr>
        <w:pStyle w:val="ListParagraph"/>
        <w:widowControl w:val="0"/>
        <w:numPr>
          <w:ilvl w:val="0"/>
          <w:numId w:val="1"/>
        </w:numPr>
        <w:autoSpaceDE w:val="0"/>
        <w:ind w:left="426" w:hanging="426"/>
        <w:jc w:val="both"/>
      </w:pPr>
      <w:r>
        <w:t xml:space="preserve">za </w:t>
      </w:r>
      <w:r w:rsidR="007922F2">
        <w:t>rozdiel väčší ako 0 a menší ako 0,33</w:t>
      </w:r>
      <w:r w:rsidR="009128F9">
        <w:t xml:space="preserve"> </w:t>
      </w:r>
      <w:r w:rsidR="007922F2">
        <w:t>získaného</w:t>
      </w:r>
      <w:r w:rsidR="009128F9">
        <w:t xml:space="preserve"> života štandardizovanej kvality v porovnaní s inou medicínskou intervenciou hodnotu </w:t>
      </w:r>
      <w:r w:rsidR="007922F2">
        <w:t>dvoj</w:t>
      </w:r>
      <w:r w:rsidR="009128F9">
        <w:t>násobku hodnoty hrubého domáceho produktu (ďalej len „HDP“) na obyvateľa,</w:t>
      </w:r>
    </w:p>
    <w:p w14:paraId="705AAB6A" w14:textId="4926F4AE" w:rsidR="00701377" w:rsidRPr="009A1BA4" w:rsidRDefault="001D2793" w:rsidP="007922F2">
      <w:pPr>
        <w:pStyle w:val="ListParagraph"/>
        <w:widowControl w:val="0"/>
        <w:numPr>
          <w:ilvl w:val="0"/>
          <w:numId w:val="1"/>
        </w:numPr>
        <w:autoSpaceDE w:val="0"/>
        <w:ind w:left="426" w:hanging="426"/>
        <w:jc w:val="both"/>
      </w:pPr>
      <w:r>
        <w:t xml:space="preserve">za </w:t>
      </w:r>
      <w:r w:rsidR="007922F2">
        <w:t>rozdiel 0,33 a viac</w:t>
      </w:r>
      <w:r w:rsidR="009128F9">
        <w:t xml:space="preserve"> </w:t>
      </w:r>
      <w:r w:rsidR="007922F2">
        <w:t>získaného</w:t>
      </w:r>
      <w:r w:rsidR="009128F9">
        <w:t xml:space="preserve"> života štandardizovanej kvality v porovnaní s inou medicínskou intervenciou hodnotu </w:t>
      </w:r>
      <w:r w:rsidR="007922F2">
        <w:t>troj</w:t>
      </w:r>
      <w:r w:rsidR="009128F9">
        <w:t>násobku hodnoty HDP na obyvateľa</w:t>
      </w:r>
      <w:r w:rsidR="007922F2">
        <w:t>.</w:t>
      </w:r>
    </w:p>
    <w:p w14:paraId="770F5DFD" w14:textId="06F19AC7" w:rsidR="00701377" w:rsidRPr="009A1BA4" w:rsidRDefault="00701377" w:rsidP="009128F9">
      <w:pPr>
        <w:widowControl w:val="0"/>
        <w:autoSpaceDE w:val="0"/>
        <w:spacing w:after="0" w:line="240" w:lineRule="auto"/>
        <w:jc w:val="center"/>
        <w:rPr>
          <w:rFonts w:ascii="Times New Roman" w:hAnsi="Times New Roman"/>
          <w:sz w:val="24"/>
          <w:szCs w:val="24"/>
        </w:rPr>
      </w:pPr>
      <w:r w:rsidRPr="009A1BA4">
        <w:rPr>
          <w:rFonts w:ascii="Times New Roman" w:hAnsi="Times New Roman"/>
          <w:sz w:val="24"/>
          <w:szCs w:val="24"/>
        </w:rPr>
        <w:t xml:space="preserve">§ </w:t>
      </w:r>
      <w:r w:rsidR="00F42BD5">
        <w:rPr>
          <w:rFonts w:ascii="Times New Roman" w:hAnsi="Times New Roman"/>
          <w:sz w:val="24"/>
          <w:szCs w:val="24"/>
        </w:rPr>
        <w:t>2</w:t>
      </w:r>
    </w:p>
    <w:p w14:paraId="2395996A" w14:textId="0332D812" w:rsidR="00701377" w:rsidRDefault="00701377" w:rsidP="00701377">
      <w:pPr>
        <w:widowControl w:val="0"/>
        <w:autoSpaceDE w:val="0"/>
        <w:spacing w:after="0" w:line="240" w:lineRule="auto"/>
        <w:rPr>
          <w:rFonts w:ascii="Times New Roman" w:hAnsi="Times New Roman"/>
          <w:sz w:val="24"/>
          <w:szCs w:val="24"/>
        </w:rPr>
      </w:pPr>
    </w:p>
    <w:p w14:paraId="109A12C6" w14:textId="579A35CB" w:rsidR="009128F9" w:rsidRDefault="009128F9" w:rsidP="009128F9">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Prahová hodnota posudzovaného lieku, ktorý je liekom na ojedinelé ochorenia</w:t>
      </w:r>
      <w:r>
        <w:rPr>
          <w:rFonts w:ascii="Times New Roman" w:hAnsi="Times New Roman"/>
          <w:sz w:val="24"/>
          <w:szCs w:val="24"/>
          <w:vertAlign w:val="superscript"/>
        </w:rPr>
        <w:t>1</w:t>
      </w:r>
      <w:r w:rsidR="007922F2">
        <w:rPr>
          <w:rFonts w:ascii="Times New Roman" w:hAnsi="Times New Roman"/>
          <w:sz w:val="24"/>
          <w:szCs w:val="24"/>
        </w:rPr>
        <w:t>) alebo liekom na inovatívnu liečbu</w:t>
      </w:r>
      <w:r w:rsidR="007922F2">
        <w:rPr>
          <w:rFonts w:ascii="Times New Roman" w:hAnsi="Times New Roman"/>
          <w:sz w:val="24"/>
          <w:szCs w:val="24"/>
          <w:vertAlign w:val="superscript"/>
        </w:rPr>
        <w:t>2</w:t>
      </w:r>
      <w:r w:rsidR="007922F2">
        <w:rPr>
          <w:rFonts w:ascii="Times New Roman" w:hAnsi="Times New Roman"/>
          <w:sz w:val="24"/>
          <w:szCs w:val="24"/>
        </w:rPr>
        <w:t>)</w:t>
      </w:r>
      <w:r>
        <w:rPr>
          <w:rFonts w:ascii="Times New Roman" w:hAnsi="Times New Roman"/>
          <w:sz w:val="24"/>
          <w:szCs w:val="24"/>
        </w:rPr>
        <w:t>, podľa § 7 ods. 3 zákona nesmie prekročiť:</w:t>
      </w:r>
    </w:p>
    <w:p w14:paraId="5097CC55" w14:textId="575F72EE" w:rsidR="009128F9" w:rsidRDefault="009128F9" w:rsidP="009128F9">
      <w:pPr>
        <w:pStyle w:val="ListParagraph"/>
        <w:widowControl w:val="0"/>
        <w:numPr>
          <w:ilvl w:val="0"/>
          <w:numId w:val="2"/>
        </w:numPr>
        <w:autoSpaceDE w:val="0"/>
        <w:ind w:left="426" w:hanging="426"/>
        <w:jc w:val="both"/>
      </w:pPr>
      <w:r>
        <w:t xml:space="preserve">za </w:t>
      </w:r>
      <w:r w:rsidR="00B467DC">
        <w:t>rozdiel väčší ako</w:t>
      </w:r>
      <w:r>
        <w:t xml:space="preserve"> </w:t>
      </w:r>
      <w:r w:rsidR="00B467DC">
        <w:t>[</w:t>
      </w:r>
      <w:r w:rsidR="00B467DC" w:rsidRPr="00B467DC">
        <w:rPr>
          <w:highlight w:val="yellow"/>
        </w:rPr>
        <w:t>___</w:t>
      </w:r>
      <w:r w:rsidR="00B467DC">
        <w:t>] a menší ako [</w:t>
      </w:r>
      <w:r w:rsidR="00B467DC" w:rsidRPr="00B467DC">
        <w:rPr>
          <w:highlight w:val="yellow"/>
        </w:rPr>
        <w:t>___</w:t>
      </w:r>
      <w:r w:rsidR="00B467DC">
        <w:t>]</w:t>
      </w:r>
      <w:r>
        <w:t xml:space="preserve"> </w:t>
      </w:r>
      <w:r w:rsidR="00B467DC">
        <w:t>získaného</w:t>
      </w:r>
      <w:r>
        <w:t xml:space="preserve"> života štandardizovanej kvality hodnotu </w:t>
      </w:r>
      <w:r w:rsidR="00B467DC">
        <w:t>troj</w:t>
      </w:r>
      <w:r>
        <w:t>násobku HDP na obyvateľa,</w:t>
      </w:r>
    </w:p>
    <w:p w14:paraId="5A32177D" w14:textId="5A876160" w:rsidR="009128F9" w:rsidRDefault="00B467DC" w:rsidP="009128F9">
      <w:pPr>
        <w:pStyle w:val="ListParagraph"/>
        <w:widowControl w:val="0"/>
        <w:numPr>
          <w:ilvl w:val="0"/>
          <w:numId w:val="2"/>
        </w:numPr>
        <w:autoSpaceDE w:val="0"/>
        <w:ind w:left="426" w:hanging="426"/>
        <w:jc w:val="both"/>
      </w:pPr>
      <w:r>
        <w:t>za rozdiel väčší ako [</w:t>
      </w:r>
      <w:r w:rsidRPr="00B467DC">
        <w:rPr>
          <w:highlight w:val="yellow"/>
        </w:rPr>
        <w:t>___</w:t>
      </w:r>
      <w:r>
        <w:t>] a menší ako [</w:t>
      </w:r>
      <w:r w:rsidRPr="00B467DC">
        <w:rPr>
          <w:highlight w:val="yellow"/>
        </w:rPr>
        <w:t>___</w:t>
      </w:r>
      <w:r>
        <w:t xml:space="preserve">] získaného života štandardizovanej kvality hodnotu </w:t>
      </w:r>
      <w:r>
        <w:t>desať</w:t>
      </w:r>
      <w:r>
        <w:t>násobku HDP na obyvateľa,</w:t>
      </w:r>
    </w:p>
    <w:p w14:paraId="452D17EF" w14:textId="35AB3092" w:rsidR="009128F9" w:rsidRPr="007A7F7E" w:rsidRDefault="009128F9" w:rsidP="009128F9">
      <w:pPr>
        <w:pStyle w:val="ListParagraph"/>
        <w:widowControl w:val="0"/>
        <w:numPr>
          <w:ilvl w:val="0"/>
          <w:numId w:val="2"/>
        </w:numPr>
        <w:autoSpaceDE w:val="0"/>
        <w:ind w:left="426" w:hanging="426"/>
        <w:jc w:val="both"/>
        <w:rPr>
          <w:highlight w:val="yellow"/>
        </w:rPr>
      </w:pPr>
      <w:r w:rsidRPr="007A7F7E">
        <w:rPr>
          <w:highlight w:val="yellow"/>
        </w:rPr>
        <w:t>v intervale medzi viac ako 6 získaných mesiacov a menej ako 20 získaných rokov života štandardizovanej kvality hodnotu, ktorá prislúcha pomeru medzi hodnotami podľa písmena a) a b) k počtu príslušných získaných mesiacov alebo rokov života štandardizovanej kvality.</w:t>
      </w:r>
    </w:p>
    <w:p w14:paraId="4C0D4AD2" w14:textId="34FC3A20" w:rsidR="009128F9" w:rsidRDefault="009128F9" w:rsidP="00701377">
      <w:pPr>
        <w:widowControl w:val="0"/>
        <w:autoSpaceDE w:val="0"/>
        <w:spacing w:after="0" w:line="240" w:lineRule="auto"/>
        <w:rPr>
          <w:rFonts w:ascii="Times New Roman" w:hAnsi="Times New Roman"/>
          <w:sz w:val="24"/>
          <w:szCs w:val="24"/>
        </w:rPr>
      </w:pPr>
    </w:p>
    <w:p w14:paraId="4B4E9D50" w14:textId="10835C26" w:rsidR="009128F9" w:rsidRDefault="009128F9" w:rsidP="009128F9">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 3</w:t>
      </w:r>
    </w:p>
    <w:p w14:paraId="1A72DBB3" w14:textId="77777777" w:rsidR="009128F9" w:rsidRPr="009A1BA4" w:rsidRDefault="009128F9" w:rsidP="00701377">
      <w:pPr>
        <w:widowControl w:val="0"/>
        <w:autoSpaceDE w:val="0"/>
        <w:spacing w:after="0" w:line="240" w:lineRule="auto"/>
        <w:rPr>
          <w:rFonts w:ascii="Times New Roman" w:hAnsi="Times New Roman"/>
          <w:sz w:val="24"/>
          <w:szCs w:val="24"/>
        </w:rPr>
      </w:pPr>
    </w:p>
    <w:p w14:paraId="2E6DEB5A" w14:textId="77777777" w:rsidR="00FA7B50" w:rsidRPr="00923400" w:rsidRDefault="00FA7B50" w:rsidP="00FA7B50">
      <w:pPr>
        <w:spacing w:after="0" w:line="240" w:lineRule="auto"/>
        <w:jc w:val="both"/>
        <w:rPr>
          <w:rFonts w:ascii="Times New Roman" w:hAnsi="Times New Roman"/>
          <w:sz w:val="24"/>
          <w:szCs w:val="24"/>
        </w:rPr>
      </w:pPr>
      <w:r w:rsidRPr="000E44A2">
        <w:rPr>
          <w:rFonts w:ascii="Times New Roman" w:hAnsi="Times New Roman"/>
          <w:sz w:val="24"/>
          <w:szCs w:val="24"/>
        </w:rPr>
        <w:t>Táto vyhlášk</w:t>
      </w:r>
      <w:r>
        <w:rPr>
          <w:rFonts w:ascii="Times New Roman" w:hAnsi="Times New Roman"/>
          <w:sz w:val="24"/>
          <w:szCs w:val="24"/>
        </w:rPr>
        <w:t xml:space="preserve">a </w:t>
      </w:r>
      <w:r w:rsidRPr="00090135">
        <w:rPr>
          <w:rFonts w:ascii="Times New Roman" w:hAnsi="Times New Roman"/>
          <w:sz w:val="24"/>
          <w:szCs w:val="24"/>
        </w:rPr>
        <w:t>nadobúda účinnosť dňom nadobudnutia</w:t>
      </w:r>
      <w:r>
        <w:rPr>
          <w:rFonts w:ascii="Times New Roman" w:hAnsi="Times New Roman"/>
          <w:sz w:val="24"/>
          <w:szCs w:val="24"/>
        </w:rPr>
        <w:t xml:space="preserve"> účinnosti novely zákona</w:t>
      </w:r>
      <w:r w:rsidRPr="000E44A2">
        <w:rPr>
          <w:rFonts w:ascii="Times New Roman" w:hAnsi="Times New Roman"/>
          <w:sz w:val="24"/>
          <w:szCs w:val="24"/>
        </w:rPr>
        <w:t>.</w:t>
      </w:r>
      <w:r>
        <w:rPr>
          <w:rFonts w:ascii="Times New Roman" w:hAnsi="Times New Roman"/>
          <w:sz w:val="24"/>
          <w:szCs w:val="24"/>
        </w:rPr>
        <w:t xml:space="preserve"> Oznámenie o nadobudnutí účinnosti novely zákona zverejní Minister zdravotníctva Slovenskej republiky v Zbierke zákonov Slovenskej republiky.</w:t>
      </w:r>
    </w:p>
    <w:p w14:paraId="28C655AE" w14:textId="024A2603" w:rsidR="00F42BD5" w:rsidRDefault="00F42BD5" w:rsidP="00F42BD5">
      <w:pPr>
        <w:spacing w:after="0"/>
        <w:rPr>
          <w:rFonts w:ascii="Times New Roman" w:hAnsi="Times New Roman"/>
          <w:sz w:val="24"/>
          <w:szCs w:val="24"/>
        </w:rPr>
      </w:pPr>
    </w:p>
    <w:p w14:paraId="71A0FDEE" w14:textId="0F04C94F" w:rsidR="00FA7B50" w:rsidRDefault="00FA7B50" w:rsidP="00FA7B50">
      <w:pPr>
        <w:pStyle w:val="ListParagraph"/>
        <w:numPr>
          <w:ilvl w:val="0"/>
          <w:numId w:val="3"/>
        </w:numPr>
        <w:ind w:left="284" w:hanging="284"/>
      </w:pPr>
      <w:r>
        <w:t>Článok 2 písm. b) Nariadenia Európskeho parlamentu a rady (ES) č. 141/2000 zo 16. decembra 1999 o liekoch na ojedinelé ochorenia</w:t>
      </w:r>
      <w:r w:rsidR="007922F2">
        <w:t>.</w:t>
      </w:r>
    </w:p>
    <w:p w14:paraId="45AB897B" w14:textId="7D7CA78E" w:rsidR="007922F2" w:rsidRPr="00FA7B50" w:rsidRDefault="007922F2" w:rsidP="00FA7B50">
      <w:pPr>
        <w:pStyle w:val="ListParagraph"/>
        <w:numPr>
          <w:ilvl w:val="0"/>
          <w:numId w:val="3"/>
        </w:numPr>
        <w:ind w:left="284" w:hanging="284"/>
      </w:pPr>
      <w:r>
        <w:t>Článok 2 Nariadenia Európskeho parlamentu a Rady (ES) č. 1394/2007 z 13. novembra 2007 o liekoch na inovatívnu liečbu, ktorým sa mení a dopĺňa smernica 2001/83/ES a nariadenie (ES) č. 726/2004</w:t>
      </w:r>
      <w:r w:rsidRPr="00F651A2">
        <w:t>.</w:t>
      </w:r>
    </w:p>
    <w:p w14:paraId="24954FD4" w14:textId="77777777" w:rsidR="00F42BD5" w:rsidRDefault="00F42BD5" w:rsidP="00F42BD5">
      <w:pPr>
        <w:spacing w:after="0"/>
        <w:rPr>
          <w:rFonts w:ascii="Times New Roman" w:hAnsi="Times New Roman"/>
          <w:sz w:val="24"/>
          <w:szCs w:val="24"/>
        </w:rPr>
      </w:pPr>
    </w:p>
    <w:p w14:paraId="2A515C6A" w14:textId="0A6A3D82" w:rsidR="00F42BD5" w:rsidRPr="00F42BD5" w:rsidRDefault="00F42BD5" w:rsidP="00F42BD5">
      <w:pPr>
        <w:spacing w:after="0"/>
        <w:rPr>
          <w:rFonts w:ascii="Times New Roman" w:hAnsi="Times New Roman"/>
          <w:sz w:val="24"/>
          <w:szCs w:val="24"/>
        </w:rPr>
        <w:sectPr w:rsidR="00F42BD5" w:rsidRPr="00F42BD5">
          <w:pgSz w:w="11906" w:h="16838"/>
          <w:pgMar w:top="1417" w:right="1417" w:bottom="1417" w:left="1417" w:header="708" w:footer="708" w:gutter="0"/>
          <w:cols w:space="708"/>
          <w:docGrid w:linePitch="360"/>
        </w:sectPr>
      </w:pPr>
    </w:p>
    <w:tbl>
      <w:tblPr>
        <w:tblpPr w:leftFromText="180" w:rightFromText="180" w:vertAnchor="text" w:horzAnchor="margin" w:tblpXSpec="center" w:tblpY="1428"/>
        <w:tblW w:w="12460" w:type="dxa"/>
        <w:tblCellMar>
          <w:left w:w="0" w:type="dxa"/>
          <w:right w:w="0" w:type="dxa"/>
        </w:tblCellMar>
        <w:tblLook w:val="04A0" w:firstRow="1" w:lastRow="0" w:firstColumn="1" w:lastColumn="0" w:noHBand="0" w:noVBand="1"/>
      </w:tblPr>
      <w:tblGrid>
        <w:gridCol w:w="2597"/>
        <w:gridCol w:w="9863"/>
      </w:tblGrid>
      <w:tr w:rsidR="00F42BD5" w:rsidRPr="00F42BD5" w14:paraId="60A1D642" w14:textId="77777777" w:rsidTr="00F42BD5">
        <w:trPr>
          <w:trHeight w:val="31680"/>
        </w:trPr>
        <w:tc>
          <w:tcPr>
            <w:tcW w:w="2597" w:type="dxa"/>
            <w:tcBorders>
              <w:top w:val="nil"/>
              <w:left w:val="nil"/>
              <w:bottom w:val="nil"/>
              <w:right w:val="nil"/>
            </w:tcBorders>
            <w:vAlign w:val="center"/>
            <w:hideMark/>
          </w:tcPr>
          <w:p w14:paraId="47817B95" w14:textId="77777777" w:rsidR="00F42BD5" w:rsidRPr="00F42BD5" w:rsidRDefault="00F42BD5" w:rsidP="00F42BD5">
            <w:pPr>
              <w:ind w:left="-2874"/>
              <w:rPr>
                <w:rFonts w:ascii="Times New Roman" w:hAnsi="Times New Roman"/>
              </w:rPr>
            </w:pPr>
          </w:p>
        </w:tc>
        <w:tc>
          <w:tcPr>
            <w:tcW w:w="9863" w:type="dxa"/>
            <w:tcBorders>
              <w:top w:val="nil"/>
              <w:left w:val="nil"/>
              <w:bottom w:val="nil"/>
              <w:right w:val="nil"/>
            </w:tcBorders>
            <w:shd w:val="clear" w:color="auto" w:fill="auto"/>
            <w:tcMar>
              <w:top w:w="0" w:type="dxa"/>
              <w:left w:w="420" w:type="dxa"/>
              <w:bottom w:w="0" w:type="dxa"/>
              <w:right w:w="600" w:type="dxa"/>
            </w:tcMar>
            <w:hideMark/>
          </w:tcPr>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469"/>
              <w:gridCol w:w="2021"/>
              <w:gridCol w:w="1279"/>
            </w:tblGrid>
            <w:tr w:rsidR="003A0313" w:rsidRPr="00F42BD5" w14:paraId="19A2ED70" w14:textId="77777777" w:rsidTr="003A0313">
              <w:tc>
                <w:tcPr>
                  <w:tcW w:w="4769" w:type="dxa"/>
                  <w:gridSpan w:val="3"/>
                  <w:tcBorders>
                    <w:top w:val="nil"/>
                    <w:left w:val="nil"/>
                    <w:bottom w:val="nil"/>
                    <w:right w:val="nil"/>
                  </w:tcBorders>
                  <w:tcMar>
                    <w:top w:w="30" w:type="dxa"/>
                    <w:left w:w="45" w:type="dxa"/>
                    <w:bottom w:w="30" w:type="dxa"/>
                    <w:right w:w="45" w:type="dxa"/>
                  </w:tcMar>
                  <w:vAlign w:val="center"/>
                </w:tcPr>
                <w:p w14:paraId="51287F27" w14:textId="4CA65079" w:rsidR="003A0313" w:rsidRPr="003A0313" w:rsidRDefault="003A0313" w:rsidP="007922F2">
                  <w:pPr>
                    <w:framePr w:hSpace="180" w:wrap="around" w:vAnchor="text" w:hAnchor="margin" w:xAlign="center" w:y="1428"/>
                    <w:tabs>
                      <w:tab w:val="left" w:pos="0"/>
                    </w:tabs>
                    <w:ind w:left="-3497" w:firstLine="3497"/>
                    <w:rPr>
                      <w:rFonts w:ascii="Times New Roman" w:hAnsi="Times New Roman"/>
                    </w:rPr>
                  </w:pPr>
                  <w:r>
                    <w:rPr>
                      <w:rFonts w:ascii="Times New Roman" w:hAnsi="Times New Roman"/>
                    </w:rPr>
                    <w:t>Príloha</w:t>
                  </w:r>
                </w:p>
              </w:tc>
            </w:tr>
            <w:tr w:rsidR="003A0313" w:rsidRPr="00F42BD5" w14:paraId="130E61D6" w14:textId="77777777" w:rsidTr="003A0313">
              <w:tc>
                <w:tcPr>
                  <w:tcW w:w="4769" w:type="dxa"/>
                  <w:gridSpan w:val="3"/>
                  <w:tcBorders>
                    <w:top w:val="nil"/>
                    <w:left w:val="nil"/>
                    <w:bottom w:val="single" w:sz="6" w:space="0" w:color="808080"/>
                    <w:right w:val="nil"/>
                  </w:tcBorders>
                  <w:tcMar>
                    <w:top w:w="30" w:type="dxa"/>
                    <w:left w:w="45" w:type="dxa"/>
                    <w:bottom w:w="30" w:type="dxa"/>
                    <w:right w:w="45" w:type="dxa"/>
                  </w:tcMar>
                  <w:vAlign w:val="center"/>
                </w:tcPr>
                <w:p w14:paraId="2D759629" w14:textId="7273B5B5" w:rsidR="003A0313" w:rsidRPr="003A0313" w:rsidRDefault="003A0313" w:rsidP="007922F2">
                  <w:pPr>
                    <w:framePr w:hSpace="180" w:wrap="around" w:vAnchor="text" w:hAnchor="margin" w:xAlign="center" w:y="1428"/>
                    <w:rPr>
                      <w:rFonts w:ascii="Times New Roman" w:hAnsi="Times New Roman"/>
                    </w:rPr>
                  </w:pPr>
                  <w:r w:rsidRPr="00F42BD5">
                    <w:rPr>
                      <w:rFonts w:ascii="Times New Roman" w:hAnsi="Times New Roman"/>
                      <w:sz w:val="24"/>
                      <w:szCs w:val="24"/>
                    </w:rPr>
                    <w:t>Zoznam liečiv, ktoré sa musia predpisovať len uvedením názvu liečiva</w:t>
                  </w:r>
                </w:p>
              </w:tc>
            </w:tr>
            <w:tr w:rsidR="00F42BD5" w:rsidRPr="00F42BD5" w14:paraId="3D6EEC1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6EEE93"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r w:rsidRPr="00F42BD5">
                    <w:rPr>
                      <w:rFonts w:ascii="Times New Roman" w:hAnsi="Times New Roman"/>
                    </w:rPr>
                    <w:t>ATC</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C36960"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r w:rsidRPr="00F42BD5">
                    <w:rPr>
                      <w:rFonts w:ascii="Times New Roman" w:hAnsi="Times New Roman"/>
                    </w:rPr>
                    <w:t>Liečivo</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AE57E5"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59C92A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6430E1"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r w:rsidRPr="00F42BD5">
                    <w:rPr>
                      <w:rFonts w:ascii="Times New Roman" w:hAnsi="Times New Roman"/>
                    </w:rPr>
                    <w:t>A01AA01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B4119D"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r w:rsidRPr="00F42BD5">
                    <w:rPr>
                      <w:rFonts w:ascii="Times New Roman" w:hAnsi="Times New Roman"/>
                    </w:rPr>
                    <w:t>Fluorid sodný</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1480C3"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0EC10C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B3EEE2"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r w:rsidRPr="00F42BD5">
                    <w:rPr>
                      <w:rFonts w:ascii="Times New Roman" w:hAnsi="Times New Roman"/>
                    </w:rPr>
                    <w:t>A02BC01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E02D7E"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proofErr w:type="spellStart"/>
                  <w:r w:rsidRPr="00F42BD5">
                    <w:rPr>
                      <w:rFonts w:ascii="Times New Roman" w:hAnsi="Times New Roman"/>
                    </w:rPr>
                    <w:t>Omeprazol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3E08FF" w14:textId="77777777" w:rsidR="00F42BD5" w:rsidRPr="00F42BD5" w:rsidRDefault="00F42BD5" w:rsidP="007922F2">
                  <w:pPr>
                    <w:framePr w:hSpace="180" w:wrap="around" w:vAnchor="text" w:hAnchor="margin" w:xAlign="center" w:y="1428"/>
                    <w:tabs>
                      <w:tab w:val="left" w:pos="0"/>
                    </w:tabs>
                    <w:ind w:left="-3497" w:firstLine="3497"/>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1C6B3B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4B881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A02BC02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B0BB3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Pantoprazol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0BE7C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27C128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E9AD8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A02BC03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B2EE6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Lanzoprazol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70E7D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78F246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E0A26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A02BC05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C455C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Ezomeprazol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1BFB9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971916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74296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A02BX02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65582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Sukralfát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F3438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D51203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E387E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A03AA04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E0F22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Mebeverín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B657B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ABC134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4DB22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A03AD02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B74EC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Drotaverín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567B1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62B97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3CEF1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A03AX04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AD7D8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Pinavérium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B5900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1AB6A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7256D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A03BB01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7B121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Butylskopolamín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71998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4191E7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DE789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A03FA01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C4203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Metoklopramid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152AD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3AC55D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B1D8E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A03FA03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DBD57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Domperidón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987AD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460700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657EC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A03FA07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BE880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Itoprid</w:t>
                  </w:r>
                  <w:proofErr w:type="spellEnd"/>
                  <w:r w:rsidRPr="00F42BD5">
                    <w:rPr>
                      <w:rFonts w:ascii="Times New Roman" w:hAnsi="Times New Roman"/>
                    </w:rPr>
                    <w:t xml:space="preserve"> </w:t>
                  </w:r>
                  <w:proofErr w:type="spellStart"/>
                  <w:r w:rsidRPr="00F42BD5">
                    <w:rPr>
                      <w:rFonts w:ascii="Times New Roman" w:hAnsi="Times New Roman"/>
                    </w:rPr>
                    <w:t>hydrochlorid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75D45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9F56AD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B7067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A04AA01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803DC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Ondasetrón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CFC64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3D227C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1129B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A04AA02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7A3E1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Granisetrón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ACCA1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08F0B6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4DD3F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A04AA05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C890A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Palonosetrón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632BA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D3043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B51E9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A04AD12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63A58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Aprepitant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D3077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FB0BEF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55F94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A05AA02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496C0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ursodeoxycholínová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C1B10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C90544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9A113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A05BA03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9474B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Silymarín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4EF16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6FDD33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FE5A2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A06AD11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D43CC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Laktulóza</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2CEFF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1E45C2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9D60D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A06AH03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97F85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Naloxegol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1FB1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BB1DDB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B051C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A06AX05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3E4B0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Prukaloprid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D168E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C84B72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94F04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A07AA11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D3CD5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Rifaximín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7A00F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1ED087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73842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A07EA06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A180F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Budezonid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DE6C4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37D122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6A457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A07EC01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F80C0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Sulfasalazín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F3011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C80DF8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2DC50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A07EC02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EC37D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Mesalazín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2729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6641E0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0C74A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A07FA</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E3AAA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Antidiarhoické</w:t>
                  </w:r>
                  <w:proofErr w:type="spellEnd"/>
                  <w:r w:rsidRPr="00F42BD5">
                    <w:rPr>
                      <w:rFonts w:ascii="Times New Roman" w:hAnsi="Times New Roman"/>
                    </w:rPr>
                    <w:t xml:space="preserve"> mikroorganizmy</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173BF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864698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E13F0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A07XA05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3B977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Telotristát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2F1C7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A9DAED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307D5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462A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Metformín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CC246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50D924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49D1D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02F2B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Glibenklamid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25AA9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9E664E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B2B06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A10BB07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27034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Glipizid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B50DF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DE8C00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BA8C8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A10BB08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AEB66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Gliquidon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980AF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82FB38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1CA04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A10BB09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3D402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Gliklazid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D1C2E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FEC4C7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06E2B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A10BB12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34417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Glimepirid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BFB0B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1A97F5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3DD96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A10BF01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CA276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Akarbóza</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564BD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A560F6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879BA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A10BG02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6A339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Roziglitazón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4A52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051079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99D95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A10BG03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334F7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Pioglitazón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7C944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867130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9BF9C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A10BH01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C91DC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Sitagliptín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89469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53CE55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53035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A10BH02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B4C34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Vildagliptín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DB35E7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B58BB5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37CF3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A10BH03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1648A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Saxagliptín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EEF5C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FDBC2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1730C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A10BH04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B6084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Alogliptín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67323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04ADD2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27E4A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A10BH05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7CD01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Linagliptín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48A76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58C08C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314017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A10BK03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89A85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Empagliflozín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0D128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CD9DB1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3A78D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39A35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Repaglinid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3B5FE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D41638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B786A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A10BX09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B4B6F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Dapagliflozín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DAF6F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AE169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933CC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A10BX11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8F943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Kanagliflozín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36718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B80DD7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A4A04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A11CA01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A68BD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Retinol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4F266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631A1F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BDD45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A11CC01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88A01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Ergokalciferol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71936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518BEF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1FC47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A11CC03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C00DF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Alfakalcidol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E4EB0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2476DE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62BA5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A11CC04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9430D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Kalcitriol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2284A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29962A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5121F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A11CC05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901CA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Cholekalciferol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A70C8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EEE38F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6B5E7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A12AA</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12D57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Vápnik</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94FE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505920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0BD15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A12AA04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69E0D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Uhličitan vápenatý</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E2D4A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62F492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C0756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A12BA</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63EBD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Draslík, horčík</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5C979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04A8C5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162ED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A12BA01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0FC7A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Chlorid draselný</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6AE11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5392E4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F5F28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A12CC06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658BC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Mliečnan</w:t>
                  </w:r>
                  <w:proofErr w:type="spellEnd"/>
                  <w:r w:rsidRPr="00F42BD5">
                    <w:rPr>
                      <w:rFonts w:ascii="Times New Roman" w:hAnsi="Times New Roman"/>
                    </w:rPr>
                    <w:t xml:space="preserve"> </w:t>
                  </w:r>
                  <w:proofErr w:type="spellStart"/>
                  <w:r w:rsidRPr="00F42BD5">
                    <w:rPr>
                      <w:rFonts w:ascii="Times New Roman" w:hAnsi="Times New Roman"/>
                    </w:rPr>
                    <w:t>horečnatý</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B0BC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FC99F1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B08E9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A12CC30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5A1C6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Horčík</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0173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B83521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E84A0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A16AX01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6DF71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tioktová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AD1EC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B3763E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F168C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A16AX04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34CFF6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Nitizinón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EE978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6BDF2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00F46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A16AX06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ADF36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Miglustat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60AA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769EFE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5BA35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A16AX07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9737B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Sapropterin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408CE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B944F3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24578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A16AX09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3F29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Glycerolfenylbutyrát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38D01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F4E90E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3AF955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A16AX10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00484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Eliglustat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E27FD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ED8B3A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1AB4D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B01AB11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9815F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Sulodexid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8F5C6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3C2CD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72195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B01AC04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43E7F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Klopidogrel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27C1A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F97992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90BE1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B01AC05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D8987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Ticlopidín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5D3A6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7690B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DC401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B01AC06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92BB8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acetylsalicylová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30B40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900C25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9A63B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B01AC10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F150C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Indobufén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B3E91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AACDD0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2C279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B01AC22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F6ED1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Prasugrel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F1ADF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635A0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A8947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B01AC23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5445D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Cilostazol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07195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EF587B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382507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B01AC24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565B8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Tikagrelor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01D92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0A938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642E5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B01AC27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5224D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Selexipag</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5CC55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3F7043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C9CF6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B01AE07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26487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Dabigatranetexilát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B77B0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F1889D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6ABCC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B01AF02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D8FAA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Apixabán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15BDA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0A68D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6D4B2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B01AF03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E92B0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Edoxabán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23874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277793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63FDA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B01AX06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06E6C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Rivaroxaban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D13F5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DE44AA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713A6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B02AA03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DB111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aminometylbenzoová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2C41C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AF184D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0FEC7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B02BA01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EE586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Fytomenadión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C17D5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A6846A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81DB9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B02BX01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D2CFA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Etamsylát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752DB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43DF59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6A9DA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B02BX05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2FD41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Eltrombopag</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E8FCF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B75998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04460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B03AA07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FE502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Síran železnatý</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55E6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9B90D6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90614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B03BB01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F1D83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Kyselina listová</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FF5DA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10B6EB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43658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C01BA08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99FE3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Prajmalín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B9B96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3D6DBD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A2BCA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C01BC03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2BC3D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Propafenón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04A91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80EBC3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BC7D1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C01BD01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17C38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Amiodarón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B418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ED1B7A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58AC4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C01BD07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D70A0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Dronedarón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A7576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603A4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7E7CD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C01DA08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875C4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Izosorbid</w:t>
                  </w:r>
                  <w:proofErr w:type="spellEnd"/>
                  <w:r w:rsidRPr="00F42BD5">
                    <w:rPr>
                      <w:rFonts w:ascii="Times New Roman" w:hAnsi="Times New Roman"/>
                    </w:rPr>
                    <w:t xml:space="preserve"> </w:t>
                  </w:r>
                  <w:proofErr w:type="spellStart"/>
                  <w:r w:rsidRPr="00F42BD5">
                    <w:rPr>
                      <w:rFonts w:ascii="Times New Roman" w:hAnsi="Times New Roman"/>
                    </w:rPr>
                    <w:t>dinitrát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EB0D0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170CB6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A7D8F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C01DA14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3B06D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Izosorbid</w:t>
                  </w:r>
                  <w:proofErr w:type="spellEnd"/>
                  <w:r w:rsidRPr="00F42BD5">
                    <w:rPr>
                      <w:rFonts w:ascii="Times New Roman" w:hAnsi="Times New Roman"/>
                    </w:rPr>
                    <w:t xml:space="preserve"> </w:t>
                  </w:r>
                  <w:proofErr w:type="spellStart"/>
                  <w:r w:rsidRPr="00F42BD5">
                    <w:rPr>
                      <w:rFonts w:ascii="Times New Roman" w:hAnsi="Times New Roman"/>
                    </w:rPr>
                    <w:t>mononitrát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817BA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C148B0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38B25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C01DX12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1EB8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Molsidomín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8B965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8BC0AA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27A27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C01EB15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910F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Trimetazidín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FAE1F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3D8D96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F1E33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C01EB17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A77F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Ivabradín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E3FFC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633C34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180E6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C02AB01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EDF0D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L- </w:t>
                  </w:r>
                  <w:proofErr w:type="spellStart"/>
                  <w:r w:rsidRPr="00F42BD5">
                    <w:rPr>
                      <w:rFonts w:ascii="Times New Roman" w:hAnsi="Times New Roman"/>
                    </w:rPr>
                    <w:t>metyldopa</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3D5D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22F61C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D661D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C02AC05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753F8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Moxonidín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136C5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5538DD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C7D16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C02AC06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B97E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Rilmenidín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27F7A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BA6E5D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754D5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C02CA04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24FF1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Doxazosín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59D7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9C5AA7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CD578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C02CA06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A2D26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Urapidil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6E41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8D270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296D6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C02KX01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56B78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Bosentan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CC595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F3DC88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1EA34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C02KX02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6C0C4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Ambrisentan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1EEB8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4CD36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427E8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C02KX04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FD67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Macitentan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738F4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62414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565E1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C02KX05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63C1F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Riociguát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14EA0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BF63D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6FA9A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C03AA03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CCF3A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Hydrochlóroti</w:t>
                  </w:r>
                  <w:proofErr w:type="spellEnd"/>
                  <w:r w:rsidRPr="00F42BD5">
                    <w:rPr>
                      <w:rFonts w:ascii="Times New Roman" w:hAnsi="Times New Roman"/>
                    </w:rPr>
                    <w:t xml:space="preserve"> </w:t>
                  </w:r>
                  <w:proofErr w:type="spellStart"/>
                  <w:r w:rsidRPr="00F42BD5">
                    <w:rPr>
                      <w:rFonts w:ascii="Times New Roman" w:hAnsi="Times New Roman"/>
                    </w:rPr>
                    <w:t>azid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ABB15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D2CB8C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663E5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C03BA</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73816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Sulfonamidy</w:t>
                  </w:r>
                  <w:proofErr w:type="spellEnd"/>
                  <w:r w:rsidRPr="00F42BD5">
                    <w:rPr>
                      <w:rFonts w:ascii="Times New Roman" w:hAnsi="Times New Roman"/>
                    </w:rPr>
                    <w:t>, samotné (</w:t>
                  </w:r>
                  <w:proofErr w:type="spellStart"/>
                  <w:r w:rsidRPr="00F42BD5">
                    <w:rPr>
                      <w:rFonts w:ascii="Times New Roman" w:hAnsi="Times New Roman"/>
                    </w:rPr>
                    <w:t>metipamid</w:t>
                  </w:r>
                  <w:proofErr w:type="spellEnd"/>
                  <w:r w:rsidRPr="00F42BD5">
                    <w:rPr>
                      <w:rFonts w:ascii="Times New Roman" w:hAnsi="Times New Roman"/>
                    </w:rPr>
                    <w:t>)</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37290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820785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B93A4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C03BA11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FC9D8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Indapamid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348D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B271C6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B55AC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C03CA01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684E7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Furosemid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974B0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C7F632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7A27E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C03DA01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59026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Spironolaktón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BE52E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07192D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0C878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C03DA04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B8C34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Eplerenón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2938B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0E8D63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1BB54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C04AD03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051BF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Pentoxifylín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0F742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C112EE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6DC23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C04AX21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C1469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Naftidrofuryl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BF1EE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1CD1A7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A421DF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C05BX01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84DE8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Dobesilát</w:t>
                  </w:r>
                  <w:proofErr w:type="spellEnd"/>
                  <w:r w:rsidRPr="00F42BD5">
                    <w:rPr>
                      <w:rFonts w:ascii="Times New Roman" w:hAnsi="Times New Roman"/>
                    </w:rPr>
                    <w:t xml:space="preserve"> vápenatý</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59D1A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7B763C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7CE11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C05CA54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D3AFA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Troxerutín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068F6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A1DA10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7C174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C05CX01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95989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Tribenozid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0ADF1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420070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B8658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C07AA</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1B1AC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Betablokátory</w:t>
                  </w:r>
                  <w:proofErr w:type="spellEnd"/>
                  <w:r w:rsidRPr="00F42BD5">
                    <w:rPr>
                      <w:rFonts w:ascii="Times New Roman" w:hAnsi="Times New Roman"/>
                    </w:rPr>
                    <w:t xml:space="preserve">, jednozložkové, </w:t>
                  </w:r>
                  <w:r w:rsidRPr="00F42BD5">
                    <w:rPr>
                      <w:rFonts w:ascii="Times New Roman" w:hAnsi="Times New Roman"/>
                    </w:rPr>
                    <w:lastRenderedPageBreak/>
                    <w:t>neselektívne (</w:t>
                  </w:r>
                  <w:proofErr w:type="spellStart"/>
                  <w:r w:rsidRPr="00F42BD5">
                    <w:rPr>
                      <w:rFonts w:ascii="Times New Roman" w:hAnsi="Times New Roman"/>
                    </w:rPr>
                    <w:t>metipranolol</w:t>
                  </w:r>
                  <w:proofErr w:type="spellEnd"/>
                  <w:r w:rsidRPr="00F42BD5">
                    <w:rPr>
                      <w:rFonts w:ascii="Times New Roman" w:hAnsi="Times New Roman"/>
                    </w:rPr>
                    <w:t>)</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DDE82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lastRenderedPageBreak/>
                    <w:t>p.o</w:t>
                  </w:r>
                  <w:proofErr w:type="spellEnd"/>
                  <w:r w:rsidRPr="00F42BD5">
                    <w:rPr>
                      <w:rFonts w:ascii="Times New Roman" w:hAnsi="Times New Roman"/>
                    </w:rPr>
                    <w:t>.</w:t>
                  </w:r>
                </w:p>
              </w:tc>
            </w:tr>
            <w:tr w:rsidR="00F42BD5" w:rsidRPr="00F42BD5" w14:paraId="1E9B7A6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BB19E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C07AA05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DD4B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Propranolol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A330F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155236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B3C47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C07AA07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84FD8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Sotalol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FEAD8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3DB6BE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3C52A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C07AA17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3CA76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Bopindolol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EE7A6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F4B983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C87C7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5C273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Metoprolol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58589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01822E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1C078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C07AB03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5A3FD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Atenolol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507EA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F11319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FEE83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C07AB05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20184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Betaxolol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50CE8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0F4D3D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A77DE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C07AB07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9645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Bisoprolol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FF15D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1D9379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6E80B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C07AB08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4CE87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Celiprolol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7FD9F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23495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3750E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C07AB12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28C4E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Nebivolol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17ABB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DE4380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C29CB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C07AG02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025B0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Carvedilol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6B6A9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1F1DA6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457DD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F893A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Amlodipín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44D6D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958D1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54906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34002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Felodipín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F7B2D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1728E0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51BBA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983CC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Isradipín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613D1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ABA114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BF6C1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A3C97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Nifedipín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758D4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3E78B7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365A0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290BC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Nimodipín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B572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25777A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DD3DC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97B8F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Nitrendipín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9F7BA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A0249F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97290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0DAAB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Lacidipín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5AF8A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D1EF8E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DBF85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C08CA13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D2441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Lerkanidipín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8B328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D7A86B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4094C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C08DA01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9994A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Verapamil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E8A12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BEE021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8F13D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C08DB01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F9E90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Diltiazem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6D0F3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4979F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D22E2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40E2B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Kaptopril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479C7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3908DC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D997B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9DC87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Enalapril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1FF1E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F3AB4C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9CCB9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3C0D3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Lizinopril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D3E66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C369BD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368C2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C09AA04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AB03F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Perindopril</w:t>
                  </w:r>
                  <w:proofErr w:type="spellEnd"/>
                  <w:r w:rsidRPr="00F42BD5">
                    <w:rPr>
                      <w:rFonts w:ascii="Times New Roman" w:hAnsi="Times New Roman"/>
                    </w:rPr>
                    <w:t xml:space="preserve"> (</w:t>
                  </w:r>
                  <w:proofErr w:type="spellStart"/>
                  <w:r w:rsidRPr="00F42BD5">
                    <w:rPr>
                      <w:rFonts w:ascii="Times New Roman" w:hAnsi="Times New Roman"/>
                    </w:rPr>
                    <w:t>arginín</w:t>
                  </w:r>
                  <w:proofErr w:type="spellEnd"/>
                  <w:r w:rsidRPr="00F42BD5">
                    <w:rPr>
                      <w:rFonts w:ascii="Times New Roman" w:hAnsi="Times New Roman"/>
                    </w:rPr>
                    <w:t>)</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C4E29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FD3A3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057C3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7B468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Perindopril</w:t>
                  </w:r>
                  <w:proofErr w:type="spellEnd"/>
                  <w:r w:rsidRPr="00F42BD5">
                    <w:rPr>
                      <w:rFonts w:ascii="Times New Roman" w:hAnsi="Times New Roman"/>
                    </w:rPr>
                    <w:t xml:space="preserve"> (terc-</w:t>
                  </w:r>
                  <w:proofErr w:type="spellStart"/>
                  <w:r w:rsidRPr="00F42BD5">
                    <w:rPr>
                      <w:rFonts w:ascii="Times New Roman" w:hAnsi="Times New Roman"/>
                    </w:rPr>
                    <w:t>butylamín</w:t>
                  </w:r>
                  <w:proofErr w:type="spellEnd"/>
                  <w:r w:rsidRPr="00F42BD5">
                    <w:rPr>
                      <w:rFonts w:ascii="Times New Roman" w:hAnsi="Times New Roman"/>
                    </w:rPr>
                    <w:t>)</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4CE51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D3686C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AEEC7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B1F8E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Ramipril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A5A84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351E05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DDADA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5CABD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Quinapril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389FA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7B89A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189AF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FDA70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Fosinopril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FDCBA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E42D9F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5CDBC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67604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Trandolapril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E4F2C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2F1EB6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AFD2F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3DDEA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Spirapril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9241C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4D23ED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E070D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549D5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Moexipril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254B9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2FA7DB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C1AD8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C09AA15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2ACB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Zofenopril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C7A46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CA546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B6038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C09AA16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B29D1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Imidapril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41C25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AF42AC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1505D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C09CA01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8D6D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Losartan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A17AE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760DF1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193B9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C09CA02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0F743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Eprosartan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E9EE1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CA5685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5A9E2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C09CA03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71947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Valsartan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58399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67B736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9F950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C09CA04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2466A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Irbesartan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8341A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E1D2CD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07CD7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C09CA06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619F1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Candesartan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21789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22577A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4F614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C09CA07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5464D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Telmisartan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AE84B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1F740F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6C3D7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C09XA02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7E415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Aliskiren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9C806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F088B3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852BF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F548F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Simvastatín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FD5D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12FC81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D263A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46A66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Lovastatín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69E2D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E151E6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1B00F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0157A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Fluvastatín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8B89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BD4071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3BF9C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C10AA05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E964F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Atorvastatín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D40B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1BD20B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21C41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C10AA07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6D91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Rosuvastatín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83576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D1A99A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9D414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C10AB05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DE4C7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Fenofibrát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282B8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EDAA53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85A40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C10AB08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F2DD9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Ciprofibrát</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2BA80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96E170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00BBB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C10AC01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2E57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Cholestyramín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CDE24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D08F2F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77518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C10AX06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7F489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Estery omega-3-kyselín</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0F8FB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C7C8B0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5DA9E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C10AX09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34BB10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Ezetimib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D21BA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30CDCF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EF24F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D01BA02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6A479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Terbinafín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492B3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5F5DFD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86B7B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D05BB02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41DCB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Acitretín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BD230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4B6720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99378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D10BA01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F55DD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Izotretinoín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1DC25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860F9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4072B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G01AX05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7ECFE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Nifuratel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FA5B1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09E64C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12276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G02CB01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7F19F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Bromkriptín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153BA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F3F72A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8D5B2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G02CB03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EF6CE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Kabergolín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3152B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DF163C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1D41C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G02CB04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7197C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Quinagolid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D9A73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114FA3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8D2E2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G03BA03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310AE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Testosterón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7C0D3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FB7C19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CFB8A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EC43D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Mesterolón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DF4B45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E0FCC3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8A1F4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G03CA03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DF092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Estradiol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6F5B5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8B80D9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1AD30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G03CA04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1F1E2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Estriol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D4406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BFD395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EDED4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G03CX01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B3FEF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Tibolón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499C4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AF4257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8EA25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G03D</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F7B41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Dienogest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C5665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6E93BD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4D5A5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G03DA02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8F598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Medroxyprogesterón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696F8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2890B1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AA0CE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G03DA04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BE240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Progesterón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37820A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409FB5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7B778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G03DB01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A6424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Dydrogesterón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49608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64E2EE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FCAEB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G03DB04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C8A34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Nomegestrol</w:t>
                  </w:r>
                  <w:proofErr w:type="spellEnd"/>
                  <w:r w:rsidRPr="00F42BD5">
                    <w:rPr>
                      <w:rFonts w:ascii="Times New Roman" w:hAnsi="Times New Roman"/>
                    </w:rPr>
                    <w:t xml:space="preserve"> </w:t>
                  </w:r>
                  <w:proofErr w:type="spellStart"/>
                  <w:r w:rsidRPr="00F42BD5">
                    <w:rPr>
                      <w:rFonts w:ascii="Times New Roman" w:hAnsi="Times New Roman"/>
                    </w:rPr>
                    <w:t>acetát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2E0A4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CADA39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69075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G03DC02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4C594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Noretisterón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0987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96185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69B93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G03GB02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F23E6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Klomifén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50D8B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9913B5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311FE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G03HA01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A2517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Cyproterón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1B121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66DC5B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9D792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G03XA01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3DA83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Danazol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6AC75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9DFF9E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4611E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G03XB02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28EB3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Ulipristal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D5385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8D940C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834D5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G03XC01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3AD97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Raloxifén</w:t>
                  </w:r>
                  <w:proofErr w:type="spellEnd"/>
                  <w:r w:rsidRPr="00F42BD5">
                    <w:rPr>
                      <w:rFonts w:ascii="Times New Roman" w:hAnsi="Times New Roman"/>
                    </w:rPr>
                    <w:t xml:space="preserve"> </w:t>
                  </w:r>
                  <w:proofErr w:type="spellStart"/>
                  <w:r w:rsidRPr="00F42BD5">
                    <w:rPr>
                      <w:rFonts w:ascii="Times New Roman" w:hAnsi="Times New Roman"/>
                    </w:rPr>
                    <w:t>hydrochlorid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B4D84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3F7796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9611C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G04BC</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355EE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Rozpúšťadlá močových kameňov</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85B82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8C1B04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F9433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93F3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Oxybutynín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E2757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8A33BB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9436E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0C4FE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Propiverín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6346E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3F0FD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37DA9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C9A24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Tolterodín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636C5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60B303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4F1EE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60F9B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Solifenacín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5939C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1B7995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46419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4E345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Trospium</w:t>
                  </w:r>
                  <w:proofErr w:type="spellEnd"/>
                  <w:r w:rsidRPr="00F42BD5">
                    <w:rPr>
                      <w:rFonts w:ascii="Times New Roman" w:hAnsi="Times New Roman"/>
                    </w:rPr>
                    <w:t xml:space="preserve"> chlorid</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3BA1B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CC1C6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833AE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76CF7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Darifenacín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02C1A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2F82FD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69809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77FCE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Fesoterodín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2DD2A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B7B8BA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50CBD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G04BD12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A7A9B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Mirabegron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27232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70AF7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AA016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G04BE03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0598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Sildenafil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B561A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CE286A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0859F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G04CA01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7074F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Alfuzosín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43AA2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7D5F18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53DC2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G04CA02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3296B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Tamsulosín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CBF72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31E571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A0B2A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G04CA03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F1560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Terazosín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7E235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CDFF31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DFFAD5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G04CA04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AA1EA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Silodozín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67A98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A1F13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7E938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G04CB01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EE5C6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Finasterid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5C151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6BF6F7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B0AD5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G04CB02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F5D57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Dutasterid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0A21C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65BF34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2418B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H01BA02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D4572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Dezmopresín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2061F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4A6BD0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902EB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H02AA02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5C6F4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Fludrokortizón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26DA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FFA897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AE9B9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H02AB02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93FF3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Dexametazón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B1E71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3E28BD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7756B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H02AB04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4794A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Metylprednizolón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1FD95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E7705B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1AB24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H02AB07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3565F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Prednizón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94B1D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7F237C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22B59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H02AB08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9E1F1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Triamcinolón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1C04D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72A916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534D7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H03AA01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CFF5E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Levotyroxín</w:t>
                  </w:r>
                  <w:proofErr w:type="spellEnd"/>
                  <w:r w:rsidRPr="00F42BD5">
                    <w:rPr>
                      <w:rFonts w:ascii="Times New Roman" w:hAnsi="Times New Roman"/>
                    </w:rPr>
                    <w:t xml:space="preserve"> - sodná soľ</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1A25D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B3AF27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1916A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H03BA02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85DBC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Propyltiouracil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4D517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0744D5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7557F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H03BB01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BD4FB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Karbimazol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A6F79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D8EEFC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C7F06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H03BB02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5D70B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Tiamazol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B8D34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8A61E4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90EDE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H05BX01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0447A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Cinakalcet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3DD87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24F0E8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E55E7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H05BX02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66DE9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Parikalcitol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771AE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F412C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ECC38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1704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Doxycyklín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05C21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57306C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80F9A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J01CA04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F6D06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Amoxicilín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A559C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CA281E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D8036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J01CE02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07F4E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Fenoxymetylpenicilín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4B951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51DEFD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5EFEE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J01CE06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66627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Penamecilín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DBB0E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5E6E38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881E1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J01CR04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F66D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Sultamicilín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C58E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03825D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B4BB3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J01DB01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7E235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Cefalexín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1E809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0A2C8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1105D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J01DB05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1A0DA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Cefadroxil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8AA5D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3ACA9E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5C4DE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J01DC02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257C9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Cefuroxim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29BFB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D68A9E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FF7F6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J01DC04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C86E7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Cefaklor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4273F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F6BBB1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4B9A9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J01DC10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778EF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Cefprozil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B4855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6321BF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F41C9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J01DD08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F9CD8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Cefixime</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4DC95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B1BBFA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68D61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J01DD14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EACD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Ceftibutén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CD615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A26203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93AE4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J01EA01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90A58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Trimetoprim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2A91B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4D78C8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AF5B1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J01FA02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464B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Spiramycín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BE3A8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36BEF1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37083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J01FA06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41D78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Roxitromycín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F72C5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E5F94D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BF88F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J01FA09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F6364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Klaritromycín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8D5E1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8B753F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DCBE1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J01FA10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75399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Azitromycín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30444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9775C5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1E241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J01FF01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5A967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Klindamycín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4C0C0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85CF9F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31E349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J01MA01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D5887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Ofloxacín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E0E27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C80106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EF94C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J01MA02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2AD09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Ciprofloxacín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91CD5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AE56A4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02DC7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J01MA03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CFD9C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Pefloxacín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E1A0D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9FDFD3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29C7A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J01MA06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DC560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Norfloxacín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DD7C7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12DF5B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E6E73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J01MA12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41EFF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Levofloxacín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9FCAA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B1C979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37EB7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J01MA14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50C50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Moxifloxacín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A2F84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3C49B4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F11C4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J01MA17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D5C8B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Prulifloxacín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8141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871E96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869B1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J01XX01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F7703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Fosfomycín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9962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3C4C7B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134A8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J01XX08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1F663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Linezolid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A18DA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6F093A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2EA39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J02AB02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4728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Ketokonazol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F91D9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D8B385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5E36A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J02AC01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647B1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Flukonazol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D2FEF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562B58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FE5FA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J02AC02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A8DDC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Itrakonazol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5170D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CF15C0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DA080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J02AC03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73D40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Vorikonazol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9A13A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3AFEB2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63D79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J02AC04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51FF3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Posakonazol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B9A30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33B107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DE20E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J04AB02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A1D61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Rifampicín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9E76A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D4D2C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F4057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J04AC01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837F3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Izoniazid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B3ABD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E9ACF4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A76E3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J04AK02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3D18B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Etambutol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E9F64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BBEA7E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0F82F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J04BA02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1FBD8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Dapson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B5E9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6D40C2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3D2DC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J05AB</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12F13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Brivudin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BD438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17526A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E1F40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5C7B0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Acyklovir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E983E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7C46C2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57CAD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J05AB09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0ECBC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Famciklovír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ACEB1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C0A7FC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7541D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J05AB11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6AFD9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Valacyklovir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8F5DB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FFCC78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D4063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J05AB14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0097B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Valgancyklovir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CA53C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8CF54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7F051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J05AE 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F24F8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Atazanavir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E15BD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2C31A2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A9E0F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J05AE01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28EEA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Sachinavir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574A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92B587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CECE9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J05AE02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D845D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Indinavír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FBC11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D4272F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EE71A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J05AE03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8BD18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Ritonavir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AF17C8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B5C75D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419BF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J05AE06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082C1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Lopinavir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90496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9F4892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21A44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J05AE07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A721B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Fosamprenavir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C523A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82EF27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3EFA8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J05AE09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1D166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Tipranavir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F2658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98C56D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19B9F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J05AE10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01268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Darunavir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30006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64DF15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EB833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16A9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Didanozín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80EE9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CB5005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318D2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01ABA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Stavudin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22D0E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1BE70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DAF30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AA433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Lamivudin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E054A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C17EDA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79D98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9A9A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Abakavir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18DE6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26DAF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D05054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A80D9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Tenofovir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1E5EC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FF4CFF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AB64C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4572A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Adefovir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4CDE3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C6587F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DC4D7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93BFC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Entekavir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319D2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BF9332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1D5F6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J05AF11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E0C78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Telbivudín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5293B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C9E3B4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2D875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J05AG01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ADD2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Nevirapin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6E4D7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C187D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54C81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J05AG03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8C13A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Efavirenz</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DA176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40BF23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8420E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J05AG04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EE74A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Etravirin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FD78B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83EE65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5838F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J05AG05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8E5EC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Rilpivirín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D6EC9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ABC61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18A6F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CA7DD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Inozín</w:t>
                  </w:r>
                  <w:proofErr w:type="spellEnd"/>
                  <w:r w:rsidRPr="00F42BD5">
                    <w:rPr>
                      <w:rFonts w:ascii="Times New Roman" w:hAnsi="Times New Roman"/>
                    </w:rPr>
                    <w:t xml:space="preserve"> </w:t>
                  </w:r>
                  <w:proofErr w:type="spellStart"/>
                  <w:r w:rsidRPr="00F42BD5">
                    <w:rPr>
                      <w:rFonts w:ascii="Times New Roman" w:hAnsi="Times New Roman"/>
                    </w:rPr>
                    <w:t>pranobex</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4A83B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72B304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DB4C8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J05AX08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14A22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Raltegravír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9D7F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2E2FD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E70D0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J05AX12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EA753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Dolutegravir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A0A6D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CFEFC2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EF51B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J05AX15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1E628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Sofosbuvir</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B76DE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5C0E49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1B119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L01AA01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7FCAD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Cyklofosfamid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9672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4F23C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0F6FE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4561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Chlorambucil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AC629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B07551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1B885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L01AA03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4A5AB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Melfalan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878BB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F70761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57AE4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L01AD02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C543E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Lomustín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CB405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F640CC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6F2F7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L01AX03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7BC8C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Temozolomid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D28C7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5D5A2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4AC35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L01BB02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3508B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Merkaptopurín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9D51F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C643EC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5753B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L01BB05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3388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Fludarabín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0365C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8884D0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C9876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L01BC06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5C40D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Kapecitabin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30BB2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B987AA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FF4C5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L01CA04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21C20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Vinorelbin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1CBD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CB9735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A781B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L01DB06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28F44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Idarubicín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30C9C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31C8A1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89C1B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D97AC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Imatinib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47C9F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5A6732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EB2B9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F4FEE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Gefitinib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E3A7B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2F8431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9D285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2164C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Erlotinib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23F19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F6658A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3382C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2D04E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Sunitinib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22E2D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52BA10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630D9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0DA3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Sorafenib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37650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7259A0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CE2B9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6B1EB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Dasatinib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862AD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5D06B7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93A8F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C4F34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Lapatinib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B6EDE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3CCC0D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B86E5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6D772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Nilotinib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8065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E1B253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0E80C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6FEEA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Everolimus</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23164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10423F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7032E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5DCC6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Pazopanib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76F78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694F5F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E537C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991D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Vandetanib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FEC33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5FE3DE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ACF9C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F6C9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Afatinib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A73DE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8B45D4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9A8EB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L01XE24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62697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Ponatinib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7593D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0B44F4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6AD73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L01XE26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CF26D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Cabozantinib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1188A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27B860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51294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L01XE27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A8AF1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Ibrutinib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52686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074D7F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D212F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L01XE39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2D4AD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Midostaurín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9D092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577A9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8ECEF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A5B8B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Hydroxyurea</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ABEAB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F7A2C8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05E69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6C077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Estramustin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68686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772E82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0B33A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L01XX14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C943D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Tretinoín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3C757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DCE292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40705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237DF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Topotekan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A4794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27C459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0DC77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L01XX23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AAC5E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Mitotan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75F67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76EB82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87557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L01XX25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E7011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Bexaroten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20913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4FBA2E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9A8DB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L01XX35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3BD3D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Anagrelid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3AAC9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F1DC57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A62CE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L01XX43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1636D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Vismodegib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43DA6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D5888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2DDE6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L01XX46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B992F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Olaparib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4727F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12D60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E43DD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L01XX52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248E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Venetoklax</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8590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435C9D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A8EA4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L02AB01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2FD68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Megestrol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457F6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E80C23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8D301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7BE8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Tamoxifén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85364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C8FD9A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A6E82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261BC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Toremifén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039C4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20DA7B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9D2DB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F0783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Flutamid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41880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2EF366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E8633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L02BB03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32E3E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Bikalutamid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5D4A1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882023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E07118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L02BB04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37D7B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Enzalutamid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5B240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3677C7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9D25B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L02BG03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BBEC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Anastrozol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6694C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B382CD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1E2AE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L02BG04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60EC0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Letrozol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4BE2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566339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1CA47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L02BG06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DD84A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Exemestan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37C3F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235725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D55B8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L02BX03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243A2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Abiraterón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D8DA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73407A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70569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L04AA13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B6904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Leflunomid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CAFC0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525F5B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15E9A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L04AA27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B1AC0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Fingolimod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211B6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2D6815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516F5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L04AA29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2A077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Tofacitinib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6E5C4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102FC1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A2C718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L04AA31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0CCF6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Teriflunomid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7E014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0AE5D0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8E0A9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L04AA32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3A50C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Apremilast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3A968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C7FF0C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341CD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L04AA37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43B75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Baricitinib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DCED1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40EFF4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4409E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L04AA40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3C00E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Kladribín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FBD4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3B353F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650F0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FF5D0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Metotrexát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9FF62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E103A1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A9191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L04AX04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34C34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Lenalidomid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34438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D9E87A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912AD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M01AB05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266E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Diklofenak</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67150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EFCA12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C80BC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M01AB16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77DA6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Aceklofenak</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01B15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181103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C04E5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8AE16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Piroxikam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F73A3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6C356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571B3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M01AC05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BB0D2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Lornoxikam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F46FA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15E71C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48B0A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M01AC06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AE4F3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Meloxikam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21A25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E9DCFF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4078C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M01AE01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67143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Ibuprofén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7F16E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DEDBC7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3F235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M01AE02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3BDC2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Naproxén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79C7A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67204D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6511A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M01AE03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63126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Ketoprofén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C4DD7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147C3F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306C5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M01AE09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B852D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Flurbiprofén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4DEB4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64FD48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364F1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M01AE11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844C0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tiaprofénová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66080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153E2D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9A32C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M01AE17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9A414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Dexketoprofen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C608F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1415AC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31775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M01AH01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BD2C4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Celekoxib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57E6E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CB69A9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458C2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M01AH05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1F26B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Etorikoxib</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1CECD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794F16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56872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8C92D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Glukozamín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EA964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C6D362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FD9F5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M01AX17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D6727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Nimesulid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F14EE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665412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C288F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M01AX21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0E85E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Diacereín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333AD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A51F2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81DA2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M01AX25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9AC13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Chondroitínsulfát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F42E6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4A2A4C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A9E18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M01CC01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3EE71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Penicilamín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353E4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103B30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98135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M03BX01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2A375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Baklofén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9AA6F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2E0681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F741C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M03BX02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A4028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Tizanidín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00EF1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563CAB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054EE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M03BX04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B1085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Tolperizón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9A380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F71B8F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63CEF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M03BX07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073AA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Tetrazepam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614A7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80B83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D2263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M04AA01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0FD1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Allopurinol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DE982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ED04ED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27C7F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M04AA03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2EE1C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Febuxostat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97D4E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BA54C8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6D06D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M04AC01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AC283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Kolchicín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8EC19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9A1F5E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763B0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M05BA02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C4314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klodrónová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A406B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E5D6E2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63F9A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M05BA04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6C9DC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alendrónová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EDEB0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69209B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5905B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M05BA06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3C6AF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ibandrónová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E11F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634DC4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8C2DE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M05BA07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CA41D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risedrónová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4C10F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0E18BA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F3813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M05BX03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B1B4C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Stroncium </w:t>
                  </w:r>
                  <w:proofErr w:type="spellStart"/>
                  <w:r w:rsidRPr="00F42BD5">
                    <w:rPr>
                      <w:rFonts w:ascii="Times New Roman" w:hAnsi="Times New Roman"/>
                    </w:rPr>
                    <w:t>ranelát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7162A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ECA9C7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B6BB3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M09AX03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380B8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Ataluren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1E69B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0BB805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E1A59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N02AA08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9BB2A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Dihydrokodeín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22A90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004119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3804D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N02AX02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1E878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Tramadol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41C3D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710801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237D9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N02BA01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95B20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acetylsalicylová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DB2B1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3333E3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1007A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N02BB02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020B6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Metamizol</w:t>
                  </w:r>
                  <w:proofErr w:type="spellEnd"/>
                  <w:r w:rsidRPr="00F42BD5">
                    <w:rPr>
                      <w:rFonts w:ascii="Times New Roman" w:hAnsi="Times New Roman"/>
                    </w:rPr>
                    <w:t>, sodná soľ</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7B31D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9F421D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E6F0F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N02BE01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B8036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Paracetamol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367A36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A278DA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C3589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N02BG07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2ACC7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Maleinát</w:t>
                  </w:r>
                  <w:proofErr w:type="spellEnd"/>
                  <w:r w:rsidRPr="00F42BD5">
                    <w:rPr>
                      <w:rFonts w:ascii="Times New Roman" w:hAnsi="Times New Roman"/>
                    </w:rPr>
                    <w:t xml:space="preserve"> </w:t>
                  </w:r>
                  <w:proofErr w:type="spellStart"/>
                  <w:r w:rsidRPr="00F42BD5">
                    <w:rPr>
                      <w:rFonts w:ascii="Times New Roman" w:hAnsi="Times New Roman"/>
                    </w:rPr>
                    <w:t>flupirtínu</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F28D6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8BE14A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71DBF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N02CC01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116C1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Sumatriptan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6BF5B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6788B4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2BBDF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N02CC03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23581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Zolmitriptan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F830E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43A6CB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84AEB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N02CC04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30511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Rizatriptan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A4B82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44682E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6A791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N02CC06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B30B9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Eletriptan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D0833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3E9441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190BB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N02CC07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E48CD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Frovatriptan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FB975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D0AD64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E5E04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N02CX01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D9C6E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Pizotifén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B168B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FFB6FB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CB124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88CEF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Fenobarbital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79854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54DD22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FA187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N03AD01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89B4F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Etosuximid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F168C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A23CF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848BD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N03AF01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F6B21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Karbamazepín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1B128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11963E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091EC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N03AF02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EF873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Oxkarbazepín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236D0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8F1708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1B6D8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N03AF03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45228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Rufinamid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49F96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0F4C6E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77E1C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N03AF04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1CB81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Eslikarbazepín</w:t>
                  </w:r>
                  <w:proofErr w:type="spellEnd"/>
                  <w:r w:rsidRPr="00F42BD5">
                    <w:rPr>
                      <w:rFonts w:ascii="Times New Roman" w:hAnsi="Times New Roman"/>
                    </w:rPr>
                    <w:t xml:space="preserve"> </w:t>
                  </w:r>
                  <w:proofErr w:type="spellStart"/>
                  <w:r w:rsidRPr="00F42BD5">
                    <w:rPr>
                      <w:rFonts w:ascii="Times New Roman" w:hAnsi="Times New Roman"/>
                    </w:rPr>
                    <w:t>acetát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CEA09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93E3F9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808A2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N03AG01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3FDC8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Kyselina </w:t>
                  </w:r>
                  <w:proofErr w:type="spellStart"/>
                  <w:r w:rsidRPr="00F42BD5">
                    <w:rPr>
                      <w:rFonts w:ascii="Times New Roman" w:hAnsi="Times New Roman"/>
                    </w:rPr>
                    <w:t>valproová</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FBAD9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DB81E4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1A21E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N03AG04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936E8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Vigabatrín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0472E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326C27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6E128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CADB7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Sultiam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51D36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0AA240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FE6E9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E4CB4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Lamotrigín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564BE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24C549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35BF5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FB5F4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Topiramát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82F0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87CC4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55E3C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10D2C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Gabapentín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7271E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B9B809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B4D68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N03AX14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97A46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Levetiracetam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8A102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FF4D00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A1E0F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N03AX15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3FA2E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Zonisamid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59E6B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05BF95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DE46D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N03AX16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50379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Pregabalín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70759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088569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7AA85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N03AX18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993B7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Lakosamid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8B3BF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9DA4B7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6F7D6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N03AX22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29E2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Perampanel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F0C59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F0213E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8ED55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N03AX23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9C8AF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Brivaracetam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8CA77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D12788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C1F57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N04AA02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F35F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Biperidén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B104D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17C45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A5B7A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N04BB01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82F30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Amantadín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B3502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4FD3D1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D4DA7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N04BC04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CEA87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Ropinirol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21491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1D7FE0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1C5C8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N04BC05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15F54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Pramipexol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7000B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D24DE9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38A64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N04BD02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4F24C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Rasagilín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42578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CB7F31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A7B123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N04BX01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76313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Tolkapon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4A695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26FB77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F593F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N04BX02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39759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Entakapon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620B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AC003A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DF526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6966E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Chlórpromazín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9C8C5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7B361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59CE2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47756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Levomepromazín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6EECB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55829F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D5F61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N05AD01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4E372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Haloperidol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A7B85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1581A1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4EB75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N05AE03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DC001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Sertindol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FD0F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09BF27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EE946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N05AE04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C0841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Ziprasidón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986D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1D3F27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B1DDA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N05AF03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9042E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Chlórprotixén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627FF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7C55A8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0A4B0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N05AF05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ED061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Zuklopentixol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0E685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1638E4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2E91C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N05AH02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9A997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Klozapín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FE49D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ABC517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55229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N05AH03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1CBF9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Olanzapín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EDE6C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312C21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8E19E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N05AH04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8453F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Kvetiapín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95E22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37B721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AC11B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N05AL01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2F956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Sulpirid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82A18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60FF1F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D593A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N05AL03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8F6F8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Tiaprid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B738E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89D463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C2024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N05AL05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DDE8B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Amisulprid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363BB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A89B46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9AFC4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N05AN01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CC086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Lítium</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6B397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F91C6D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DB73A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N05AX08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F1383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Risperidón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059E2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F7C6E3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68508A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N05AX11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AAE35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Zotepín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E12CB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01F2DE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9C639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N05AX12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A528D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Aripiprazol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1D890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0A81B8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310A7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N05AX13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6AD09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Paliperidón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D02F0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9834A1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34953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N05AX15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4CEE9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Kariprazín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69021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14E5BB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BEEEC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N05BA01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DA797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Diazepam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72C72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DE12E1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203DD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N05BA04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F11ED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Oxazepam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39438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D053CD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B23FA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N05BA08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401FC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Bromazepam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105E7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8B4187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FC121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N05BA09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4F04A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Klobazam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723DA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A0BA1A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1C780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N05BA12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35B81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Alprazolam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E3A3B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76206B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447FB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N05BB01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E494B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Hydroxyzín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2995B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D09107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A7936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N05BE01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CE03B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Buspiron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70AF7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6D53AF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CAB9E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N05BX01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4B47C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Mefenoxalón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0DB49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DFA86C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445EE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N05CD08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FA058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Midazolam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CB31A0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E0D064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10C95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N05CD13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0A15E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Cinolazepam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F646F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AAC8E9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B6095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N05CF01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910FA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Zopiklón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11F9E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42284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E662B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N05CF02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65BAA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Zolpidem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B59C8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9DD028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0F173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N05CH01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FA45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Melatonín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3762F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426406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B81DC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5C83B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Imipramín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34C99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614EAB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80AEC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BD73C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Klomipramín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0EE28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111197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7C9B7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N06AA08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64DB7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Dibenzepín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43C6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10CCAE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0ACE0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N06AA09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8F070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Amitriptylín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0CCC7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F7B878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D1837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N06AA16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AD743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Dosulepín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50A2A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FA28BF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0B10B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N06AA21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8E4CF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Maprotilín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E2BC14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EF3AA6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DFA3E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N06AB03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9E7DA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Fluoxetín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4728C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522446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DD7BB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N06AB04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E0528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Citalopram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CAFB9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1B60C2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A6922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N06AB05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42F77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Paroxetin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1C09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4A0EB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FC6D4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N06AB06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F969C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Sertralin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5CC6F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5AD098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22FDD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N06AB08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70CA8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Fluvoxamin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16FB2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66F560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52CF6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N06AB10</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EBF3C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Escitalopram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F3938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62786D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44C01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N06AG02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89C88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Moklobemid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DF009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945778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6DA17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D8B36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Mianserin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66D6A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F7B8CF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07F62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7AE3C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Trazodon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81FAB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EA3176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DB441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N06AX11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CFB29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Mirtazapín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0255D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54C0D4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C5BA8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N06AX12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91033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Bupropión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36183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D530F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A592E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N06AX14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01F14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Tianeptín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9100B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DEDF17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3C44E5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N06AX16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FD6A6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Venlafaxín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E8616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697599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55CA9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499A3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Milnacipran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AEBD0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234D68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55B73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N06AX21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62E1C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Duloxetín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7D0BA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947218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165F6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N06AX22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57611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Agomelatín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3390C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4874D7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DEFB9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N06AX26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66696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Vortioxetín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E6924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2A8361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B2CE1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N06BA07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99A46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Modafinil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45891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C6A8B9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3076F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N06BA09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517ED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Atomoxetín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7B90B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434EBE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7965D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N06BX03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45928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Piracetam</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11E96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19620B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4A55E2"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N06BX18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CD809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Vinpocetín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CAF14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36638E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718E4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N06DA02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6C216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Donepezil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4AF35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78D202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3A1F020"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N06DA03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85EAC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Rivastigmín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8CD32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3EB3E4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16B58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N06DA04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3FF66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Galantamín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DDBEB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54E352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C075D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N06DX01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76A43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Memantín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8667E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9ECBB78"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59361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N06DX02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7DCB6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Ginkgo</w:t>
                  </w:r>
                  <w:proofErr w:type="spellEnd"/>
                  <w:r w:rsidRPr="00F42BD5">
                    <w:rPr>
                      <w:rFonts w:ascii="Times New Roman" w:hAnsi="Times New Roman"/>
                    </w:rPr>
                    <w:t xml:space="preserve"> </w:t>
                  </w:r>
                  <w:proofErr w:type="spellStart"/>
                  <w:r w:rsidRPr="00F42BD5">
                    <w:rPr>
                      <w:rFonts w:ascii="Times New Roman" w:hAnsi="Times New Roman"/>
                    </w:rPr>
                    <w:t>biloba</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F20D1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CF0D76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E0A01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N07AA01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6A86B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Neostigmín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BF1E0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318400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85506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6B720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Pyridostigmín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01C61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8044C5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5C71A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N07AA03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81074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Distigmín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601396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AD00F1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F134E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N07BB03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86EAC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Akamprosat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E9362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773057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DF24B1"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N07BB04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D8F7D8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Naltrexón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CEAA9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088A1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A5C9A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N07BB05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35C53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Nalmefén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DB95A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E7DD22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A5B80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N07CA01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92773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Betahistín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F4E83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C40D43C"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F4479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N07CA02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6C07E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Cinarizín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78402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B83E6D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1AB5A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N07XX04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B76F7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Nátriumoxybát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3BA05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70CB38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E3C159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N07XX05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14CD9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Amifampridín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21141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3F40F9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5162C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N07XX06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47EAA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Tetrabenazín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002BC0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4B0837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07E74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N07XX09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40888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Dimetylfumarát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C3696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ED2B8D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B14D2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P01AB01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E94C2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Metronidazol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1B212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2AC81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0AFA3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P01AB03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2EA4B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Ornidazol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70EC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D8B7EF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4A366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P01BA01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15DB6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Chlorochin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8F751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657A54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92CFD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P01BA02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A3CBD4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Hydroxychlorochin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3639E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334960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6CCA0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P01BC02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78FF0D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Meflochin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16868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8348D5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36C7D5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P02CA01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110A3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Mebendazol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CC18C6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D4D31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1ED30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P02CA03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9211D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Albendazol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C2AF8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42B81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B3F02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R03BC01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10E23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Nátrium </w:t>
                  </w:r>
                  <w:proofErr w:type="spellStart"/>
                  <w:r w:rsidRPr="00F42BD5">
                    <w:rPr>
                      <w:rFonts w:ascii="Times New Roman" w:hAnsi="Times New Roman"/>
                    </w:rPr>
                    <w:t>chromoglykolát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C3D80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368BAA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9E263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R03CC02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2E267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Salbutamol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8571B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9AE747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CD301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R03CC08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BBE97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Prokaterol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F8F3D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AE0363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B7B7E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R03CC13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16E04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Klenbuterol</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A5CE1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812F70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8C274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R03DA04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9CCC0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Teofylín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129CB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2B8C24B"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9C1D7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R03DC01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23281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Zafirlukast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9C697C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FE8411A"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02A8C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R03DC03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1121C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Montelukast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4A6A9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48BBBC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16744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R03DX07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7704E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Roflumilast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03241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2700DD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B08B9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R05DA04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2E77A0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Kodeín</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40CFC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DB4E6B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CEBC9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lastRenderedPageBreak/>
                    <w:t>R05CB01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264A32"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Acetylcysteín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CF9295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BAF5EB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0500E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R05CB15</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01989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Erdosteín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484C9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D6FEDA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D0E00E"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R06AA02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30498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Difenhydramín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882CF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8EADE2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FBD8E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R06AA04</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DBC340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Klemastin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261B1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3672A6A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5598E5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R06AB03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7B618A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Dimetindén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DC032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461E0D0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6FE4E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R06AD02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AE41E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Prometazín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22DA51"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95CC996"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9E6707B"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R06AD03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75D53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Tietilperazín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821B4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BB5A495"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AE36B8"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R06AE07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75DF4D"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Cetirizín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04581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0A30A20"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277C3C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R06AE09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79E15A9"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Levocetirizín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B1DE1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41105D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C856A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5B1F7C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Ostatné </w:t>
                  </w:r>
                  <w:proofErr w:type="spellStart"/>
                  <w:r w:rsidRPr="00F42BD5">
                    <w:rPr>
                      <w:rFonts w:ascii="Times New Roman" w:hAnsi="Times New Roman"/>
                    </w:rPr>
                    <w:t>antihistaminiká</w:t>
                  </w:r>
                  <w:proofErr w:type="spellEnd"/>
                  <w:r w:rsidRPr="00F42BD5">
                    <w:rPr>
                      <w:rFonts w:ascii="Times New Roman" w:hAnsi="Times New Roman"/>
                    </w:rPr>
                    <w:t xml:space="preserve"> na systémové použitie</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7C3BD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2B8642BD"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1AF029"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7C3EEB"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Cyproheptadin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986981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780BCE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BB1AF6"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R06AX13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D06221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Loratadin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569437"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ABDCFB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DAAE5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R06AX17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6059E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Ketotifén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B6632F5"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9F7E2E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D7BE0F"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R06AX26</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A320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Fexofenadín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10EA43"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A6EB804"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5C7CA1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R06AX27</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A009C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Desloratadín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A4E19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152FD841"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49655B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R06AX28</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62DBF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Rupatadín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99C889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58363DE"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87E43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R06AX29</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4B116F"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Bilastín</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E8A80A"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748C5D2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9B2C7D"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S01EC01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06A660"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Acetazolamid</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29B18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6C438FD9"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DED4E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V03AC03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9B3248"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Deferasirox</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EE4D81C"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EB81653"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F26453"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V03AE01</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FFC4F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Sulfonát</w:t>
                  </w:r>
                  <w:proofErr w:type="spellEnd"/>
                  <w:r w:rsidRPr="00F42BD5">
                    <w:rPr>
                      <w:rFonts w:ascii="Times New Roman" w:hAnsi="Times New Roman"/>
                    </w:rPr>
                    <w:t xml:space="preserve"> polystyrénu</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33A7C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0FAA6947"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3D14E4"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V03AE02</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57452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Sevelamer</w:t>
                  </w:r>
                  <w:proofErr w:type="spellEnd"/>
                  <w:r w:rsidRPr="00F42BD5">
                    <w:rPr>
                      <w:rFonts w:ascii="Times New Roman" w:hAnsi="Times New Roman"/>
                    </w:rPr>
                    <w:t xml:space="preserve"> karbonát</w:t>
                  </w:r>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047FDE"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06BC9AF"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795856A"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V03AE03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2BE4F5"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Hydrát uhličitanu </w:t>
                  </w:r>
                  <w:proofErr w:type="spellStart"/>
                  <w:r w:rsidRPr="00F42BD5">
                    <w:rPr>
                      <w:rFonts w:ascii="Times New Roman" w:hAnsi="Times New Roman"/>
                    </w:rPr>
                    <w:t>lantanitého</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FB86B6"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r w:rsidR="00F42BD5" w:rsidRPr="00F42BD5" w14:paraId="5F8512C2" w14:textId="77777777" w:rsidTr="00046B38">
              <w:tc>
                <w:tcPr>
                  <w:tcW w:w="146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25290C"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V03AF03</w:t>
                  </w:r>
                </w:p>
              </w:tc>
              <w:tc>
                <w:tcPr>
                  <w:tcW w:w="2021"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6A48F77" w14:textId="77777777" w:rsidR="00F42BD5" w:rsidRPr="00F42BD5" w:rsidRDefault="00F42BD5" w:rsidP="007922F2">
                  <w:pPr>
                    <w:framePr w:hSpace="180" w:wrap="around" w:vAnchor="text" w:hAnchor="margin" w:xAlign="center" w:y="1428"/>
                    <w:tabs>
                      <w:tab w:val="left" w:pos="0"/>
                    </w:tabs>
                    <w:rPr>
                      <w:rFonts w:ascii="Times New Roman" w:hAnsi="Times New Roman"/>
                    </w:rPr>
                  </w:pPr>
                  <w:r w:rsidRPr="00F42BD5">
                    <w:rPr>
                      <w:rFonts w:ascii="Times New Roman" w:hAnsi="Times New Roman"/>
                    </w:rPr>
                    <w:t xml:space="preserve">Kalcium </w:t>
                  </w:r>
                  <w:proofErr w:type="spellStart"/>
                  <w:r w:rsidRPr="00F42BD5">
                    <w:rPr>
                      <w:rFonts w:ascii="Times New Roman" w:hAnsi="Times New Roman"/>
                    </w:rPr>
                    <w:t>folinát</w:t>
                  </w:r>
                  <w:proofErr w:type="spellEnd"/>
                </w:p>
              </w:tc>
              <w:tc>
                <w:tcPr>
                  <w:tcW w:w="127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20CDD4" w14:textId="77777777" w:rsidR="00F42BD5" w:rsidRPr="00F42BD5" w:rsidRDefault="00F42BD5" w:rsidP="007922F2">
                  <w:pPr>
                    <w:framePr w:hSpace="180" w:wrap="around" w:vAnchor="text" w:hAnchor="margin" w:xAlign="center" w:y="1428"/>
                    <w:tabs>
                      <w:tab w:val="left" w:pos="0"/>
                    </w:tabs>
                    <w:rPr>
                      <w:rFonts w:ascii="Times New Roman" w:hAnsi="Times New Roman"/>
                    </w:rPr>
                  </w:pPr>
                  <w:proofErr w:type="spellStart"/>
                  <w:r w:rsidRPr="00F42BD5">
                    <w:rPr>
                      <w:rFonts w:ascii="Times New Roman" w:hAnsi="Times New Roman"/>
                    </w:rPr>
                    <w:t>p.o</w:t>
                  </w:r>
                  <w:proofErr w:type="spellEnd"/>
                  <w:r w:rsidRPr="00F42BD5">
                    <w:rPr>
                      <w:rFonts w:ascii="Times New Roman" w:hAnsi="Times New Roman"/>
                    </w:rPr>
                    <w:t>.</w:t>
                  </w:r>
                </w:p>
              </w:tc>
            </w:tr>
          </w:tbl>
          <w:p w14:paraId="0F2D8707" w14:textId="77777777" w:rsidR="00F42BD5" w:rsidRPr="00F42BD5" w:rsidRDefault="00F42BD5" w:rsidP="00F42BD5">
            <w:pPr>
              <w:tabs>
                <w:tab w:val="left" w:pos="0"/>
              </w:tabs>
              <w:rPr>
                <w:rFonts w:ascii="Times New Roman" w:hAnsi="Times New Roman"/>
              </w:rPr>
            </w:pPr>
          </w:p>
        </w:tc>
      </w:tr>
    </w:tbl>
    <w:p w14:paraId="25297E09" w14:textId="39C83AF6" w:rsidR="00F42BD5" w:rsidRPr="00F42BD5" w:rsidRDefault="00F42BD5">
      <w:pPr>
        <w:rPr>
          <w:rFonts w:ascii="Times New Roman" w:hAnsi="Times New Roman"/>
        </w:rPr>
      </w:pPr>
    </w:p>
    <w:p w14:paraId="3342BC0D" w14:textId="77777777" w:rsidR="00F42BD5" w:rsidRPr="00F42BD5" w:rsidRDefault="00F42BD5">
      <w:pPr>
        <w:rPr>
          <w:rFonts w:ascii="Times New Roman" w:hAnsi="Times New Roman"/>
        </w:rPr>
      </w:pPr>
    </w:p>
    <w:sectPr w:rsidR="00F42BD5" w:rsidRPr="00F42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3299"/>
    <w:multiLevelType w:val="hybridMultilevel"/>
    <w:tmpl w:val="F20AF0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87F4196"/>
    <w:multiLevelType w:val="hybridMultilevel"/>
    <w:tmpl w:val="45FE84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0A1538"/>
    <w:multiLevelType w:val="hybridMultilevel"/>
    <w:tmpl w:val="B5DC39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A1"/>
    <w:rsid w:val="001D2793"/>
    <w:rsid w:val="00331DBA"/>
    <w:rsid w:val="003A0313"/>
    <w:rsid w:val="003F07A6"/>
    <w:rsid w:val="004911CD"/>
    <w:rsid w:val="006F14B1"/>
    <w:rsid w:val="00701377"/>
    <w:rsid w:val="007922F2"/>
    <w:rsid w:val="007A7F7E"/>
    <w:rsid w:val="009039E5"/>
    <w:rsid w:val="009128F9"/>
    <w:rsid w:val="00A50AA1"/>
    <w:rsid w:val="00B467DC"/>
    <w:rsid w:val="00C92FB0"/>
    <w:rsid w:val="00CD4843"/>
    <w:rsid w:val="00CD7853"/>
    <w:rsid w:val="00D52D64"/>
    <w:rsid w:val="00E408F5"/>
    <w:rsid w:val="00F42BD5"/>
    <w:rsid w:val="00FA7B50"/>
    <w:rsid w:val="00FC32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5381"/>
  <w15:chartTrackingRefBased/>
  <w15:docId w15:val="{BEB7975F-EB97-4A3E-998B-DEFBF251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77"/>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F42B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Odsek"/>
    <w:basedOn w:val="Normal"/>
    <w:link w:val="ListParagraphChar"/>
    <w:uiPriority w:val="34"/>
    <w:qFormat/>
    <w:rsid w:val="00701377"/>
    <w:pPr>
      <w:spacing w:after="0" w:line="240" w:lineRule="auto"/>
      <w:ind w:left="708"/>
    </w:pPr>
    <w:rPr>
      <w:rFonts w:ascii="Times New Roman" w:eastAsia="Times New Roman" w:hAnsi="Times New Roman"/>
      <w:sz w:val="24"/>
      <w:szCs w:val="24"/>
      <w:lang w:eastAsia="cs-CZ"/>
    </w:rPr>
  </w:style>
  <w:style w:type="character" w:customStyle="1" w:styleId="ListParagraphChar">
    <w:name w:val="List Paragraph Char"/>
    <w:aliases w:val="body Char,Odsek zoznamu2 Char,Odsek Char"/>
    <w:link w:val="ListParagraph"/>
    <w:uiPriority w:val="34"/>
    <w:rsid w:val="00701377"/>
    <w:rPr>
      <w:rFonts w:ascii="Times New Roman" w:eastAsia="Times New Roman" w:hAnsi="Times New Roman" w:cs="Times New Roman"/>
      <w:sz w:val="24"/>
      <w:szCs w:val="24"/>
      <w:lang w:eastAsia="cs-CZ"/>
    </w:rPr>
  </w:style>
  <w:style w:type="character" w:customStyle="1" w:styleId="Heading3Char">
    <w:name w:val="Heading 3 Char"/>
    <w:basedOn w:val="DefaultParagraphFont"/>
    <w:link w:val="Heading3"/>
    <w:uiPriority w:val="9"/>
    <w:rsid w:val="00F42BD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65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26">
          <w:marLeft w:val="0"/>
          <w:marRight w:val="0"/>
          <w:marTop w:val="0"/>
          <w:marBottom w:val="0"/>
          <w:divBdr>
            <w:top w:val="none" w:sz="0" w:space="0" w:color="auto"/>
            <w:left w:val="none" w:sz="0" w:space="0" w:color="auto"/>
            <w:bottom w:val="none" w:sz="0" w:space="0" w:color="auto"/>
            <w:right w:val="none" w:sz="0" w:space="0" w:color="auto"/>
          </w:divBdr>
          <w:divsChild>
            <w:div w:id="17524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07500">
      <w:bodyDiv w:val="1"/>
      <w:marLeft w:val="0"/>
      <w:marRight w:val="0"/>
      <w:marTop w:val="0"/>
      <w:marBottom w:val="0"/>
      <w:divBdr>
        <w:top w:val="none" w:sz="0" w:space="0" w:color="auto"/>
        <w:left w:val="none" w:sz="0" w:space="0" w:color="auto"/>
        <w:bottom w:val="none" w:sz="0" w:space="0" w:color="auto"/>
        <w:right w:val="none" w:sz="0" w:space="0" w:color="auto"/>
      </w:divBdr>
      <w:divsChild>
        <w:div w:id="27682645">
          <w:marLeft w:val="0"/>
          <w:marRight w:val="0"/>
          <w:marTop w:val="0"/>
          <w:marBottom w:val="0"/>
          <w:divBdr>
            <w:top w:val="none" w:sz="0" w:space="0" w:color="auto"/>
            <w:left w:val="none" w:sz="0" w:space="0" w:color="auto"/>
            <w:bottom w:val="none" w:sz="0" w:space="0" w:color="auto"/>
            <w:right w:val="none" w:sz="0" w:space="0" w:color="auto"/>
          </w:divBdr>
          <w:divsChild>
            <w:div w:id="16296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3214">
      <w:bodyDiv w:val="1"/>
      <w:marLeft w:val="0"/>
      <w:marRight w:val="0"/>
      <w:marTop w:val="0"/>
      <w:marBottom w:val="0"/>
      <w:divBdr>
        <w:top w:val="none" w:sz="0" w:space="0" w:color="auto"/>
        <w:left w:val="none" w:sz="0" w:space="0" w:color="auto"/>
        <w:bottom w:val="none" w:sz="0" w:space="0" w:color="auto"/>
        <w:right w:val="none" w:sz="0" w:space="0" w:color="auto"/>
      </w:divBdr>
      <w:divsChild>
        <w:div w:id="1108887722">
          <w:marLeft w:val="0"/>
          <w:marRight w:val="0"/>
          <w:marTop w:val="0"/>
          <w:marBottom w:val="0"/>
          <w:divBdr>
            <w:top w:val="none" w:sz="0" w:space="0" w:color="auto"/>
            <w:left w:val="none" w:sz="0" w:space="0" w:color="auto"/>
            <w:bottom w:val="none" w:sz="0" w:space="0" w:color="auto"/>
            <w:right w:val="none" w:sz="0" w:space="0" w:color="auto"/>
          </w:divBdr>
          <w:divsChild>
            <w:div w:id="900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80489">
      <w:bodyDiv w:val="1"/>
      <w:marLeft w:val="0"/>
      <w:marRight w:val="0"/>
      <w:marTop w:val="0"/>
      <w:marBottom w:val="0"/>
      <w:divBdr>
        <w:top w:val="none" w:sz="0" w:space="0" w:color="auto"/>
        <w:left w:val="none" w:sz="0" w:space="0" w:color="auto"/>
        <w:bottom w:val="none" w:sz="0" w:space="0" w:color="auto"/>
        <w:right w:val="none" w:sz="0" w:space="0" w:color="auto"/>
      </w:divBdr>
      <w:divsChild>
        <w:div w:id="534922908">
          <w:marLeft w:val="0"/>
          <w:marRight w:val="0"/>
          <w:marTop w:val="0"/>
          <w:marBottom w:val="0"/>
          <w:divBdr>
            <w:top w:val="none" w:sz="0" w:space="0" w:color="auto"/>
            <w:left w:val="none" w:sz="0" w:space="0" w:color="auto"/>
            <w:bottom w:val="none" w:sz="0" w:space="0" w:color="auto"/>
            <w:right w:val="none" w:sz="0" w:space="0" w:color="auto"/>
          </w:divBdr>
          <w:divsChild>
            <w:div w:id="9573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B0BD0BFFF1548A2496CF7FD25207D" ma:contentTypeVersion="13" ma:contentTypeDescription="Create a new document." ma:contentTypeScope="" ma:versionID="cc7beb1fa9c4825f4a9069b3bfe45e6d">
  <xsd:schema xmlns:xsd="http://www.w3.org/2001/XMLSchema" xmlns:xs="http://www.w3.org/2001/XMLSchema" xmlns:p="http://schemas.microsoft.com/office/2006/metadata/properties" xmlns:ns2="6348134b-2833-414c-9ec4-3481f06493a1" xmlns:ns3="d48e029a-99e9-49c4-ba77-6818bfc35ea9" targetNamespace="http://schemas.microsoft.com/office/2006/metadata/properties" ma:root="true" ma:fieldsID="1fe441793b414c004f9bf8deb2440732" ns2:_="" ns3:_="">
    <xsd:import namespace="6348134b-2833-414c-9ec4-3481f06493a1"/>
    <xsd:import namespace="d48e029a-99e9-49c4-ba77-6818bfc35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8134b-2833-414c-9ec4-3481f0649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e029a-99e9-49c4-ba77-6818bfc35e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9_Návrh-vyhlášky-o-podmienkach-stanovenia-prahovej-hodnoty"/>
    <f:field ref="objsubject" par="" edit="true" text=""/>
    <f:field ref="objcreatedby" par="" text="Vincová, Veronika, Mgr."/>
    <f:field ref="objcreatedat" par="" text="31.12.2021 13:06:21"/>
    <f:field ref="objchangedby" par="" text="Administrator, System"/>
    <f:field ref="objmodifiedat" par="" text="31.12.2021 13:06: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5B28ABF-8B16-4DE6-BB2A-7774FE5FA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8134b-2833-414c-9ec4-3481f06493a1"/>
    <ds:schemaRef ds:uri="d48e029a-99e9-49c4-ba77-6818bfc35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9A7BE-475A-4F9B-9C53-E1D267D24C31}">
  <ds:schemaRefs>
    <ds:schemaRef ds:uri="http://schemas.microsoft.com/sharepoint/v3/contenttype/forms"/>
  </ds:schemaRefs>
</ds:datastoreItem>
</file>

<file path=customXml/itemProps3.xml><?xml version="1.0" encoding="utf-8"?>
<ds:datastoreItem xmlns:ds="http://schemas.openxmlformats.org/officeDocument/2006/customXml" ds:itemID="{36C07137-3C8E-4D1E-B5D4-A5BB4A86F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25</Pages>
  <Words>2364</Words>
  <Characters>13475</Characters>
  <Application>Microsoft Office Word</Application>
  <DocSecurity>0</DocSecurity>
  <Lines>112</Lines>
  <Paragraphs>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Kubek Dávid</dc:creator>
  <cp:keywords/>
  <dc:description/>
  <cp:lastModifiedBy>Dutková Patrícia</cp:lastModifiedBy>
  <cp:revision>14</cp:revision>
  <dcterms:created xsi:type="dcterms:W3CDTF">2021-11-11T09:37:00Z</dcterms:created>
  <dcterms:modified xsi:type="dcterms:W3CDTF">2022-02-05T15:13:00Z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0x0101009FEB0BD0BFFF1548A2496CF7FD25207D</vt:lpwstr>
  </property>
  <property fmtid="{D5CDD505-2E9C-101B-9397-08002B2CF9AE}" pid="3" name="FSC#SKEDITIONSLOVLEX@103.510:spravaucastverej">
    <vt:lpwstr>&lt;p align="center"&gt;&amp;nbsp;&lt;/p&gt;&lt;table align="left" border="1" cellpadding="0" cellspacing="0" style="width: 99%;" width="99%"&gt;	&lt;tbody&gt;		&lt;tr&gt;			&lt;td colspan="5" style="width: 100%; height: 36px;"&gt;			&lt;h2 align="center"&gt;Správa o účasti verejnosti na tvorbe právneho predpisu&lt;/h2&gt;			&lt;h2&gt;&amp;nbsp;&lt;/h2&gt;			&lt;/td&gt;		&lt;/tr&gt;		&lt;tr&gt;			&lt;td style="width: 17%; height: 27px;"&gt;			&lt;p&gt;&lt;strong&gt;Fáza procesu&lt;/strong&gt;&lt;/p&gt;			&lt;/td&gt;			&lt;td style="width: 23.2%; height: 27px;"&gt;			&lt;p&gt;&lt;strong&gt;Subfáza&lt;/strong&gt;&lt;/p&gt;			&lt;/td&gt;			&lt;td style="width: 48.5%; height: 27px;"&gt;			&lt;p&gt;&lt;strong&gt;Kontrolná otázka&lt;/strong&gt;&lt;/p&gt;			&lt;/td&gt;			&lt;td style="width: 5.16%; height: 27px;"&gt;			&lt;p&gt;&lt;strong&gt;Á&lt;/strong&gt;&lt;/p&gt;			&lt;/td&gt;			&lt;td style="width: 6.14%; height: 27px;"&gt;			&lt;p&gt;&lt;strong&gt;N&lt;/strong&gt;&lt;/p&gt;			&lt;/td&gt;		&lt;/tr&gt;		&lt;tr&gt;			&lt;td rowspan="2" style="width: 17%; height: 37px;"&gt;			&lt;p&gt;&lt;strong&gt;1. Príprava tvorby právneho predpisu&lt;/strong&gt;&lt;/p&gt;			&lt;/td&gt;			&lt;td style="width: 23.2%; height: 37px;"&gt;			&lt;p&gt;1.1 Identifikácia cieľa&lt;/p&gt;			&lt;/td&gt;			&lt;td style="width: 48.5%; height: 37px;"&gt;			&lt;p&gt;Bol zadefinovaný cieľ účasti verejnosti na tvorbe právneho predpisu?&lt;sup&gt;1&lt;/sup&gt;)&lt;/p&gt;			&lt;/td&gt;			&lt;td style="width: 5.16%; height: 37px;"&gt;			&lt;p align="center"&gt;X&lt;/p&gt;			&lt;/td&gt;			&lt;td style="width: 6.14%; height: 37px;"&gt;&amp;nbsp;&lt;/td&gt;		&lt;/tr&gt;		&lt;tr&gt;			&lt;td style="width: 23.2%; height: 37px;"&gt;			&lt;p&gt;1.2 Identifikácia problému a alternatív&lt;/p&gt;			&lt;/td&gt;			&lt;td style="width: 48.5%; height: 37px;"&gt;			&lt;p&gt;Bola vykonaná identifikácia problému a alternatív riešení?&lt;sup&gt;2&lt;/sup&gt;)&lt;/p&gt;			&lt;/td&gt;			&lt;td style="width: 5.16%; height: 37px;"&gt;			&lt;p align="center"&gt;X&lt;/p&gt;			&lt;/td&gt;			&lt;td style="width: 6.14%; height: 37px;"&gt;&amp;nbsp;&lt;/td&gt;		&lt;/tr&gt;		&lt;tr&gt;			&lt;td rowspan="9" style="width: 17%; height: 37px;"&gt;			&lt;p&gt;&lt;strong&gt;2. Informovanie verejnosti o&amp;nbsp;tvorbe právneho predpisu&lt;/strong&gt;&lt;/p&gt;			&lt;/td&gt;			&lt;td rowspan="3" style="width: 23.2%; height: 37px;"&gt;			&lt;p&gt;2.1 Rozsah informácií&lt;/p&gt;			&lt;/td&gt;			&lt;td style="width: 48.5%; height: 37px;"&gt;			&lt;p&gt;Boli verejnosti poskytnuté informácie o probléme, ktorý má predmetný právny predpis riešiť?&lt;/p&gt;			&lt;/td&gt;			&lt;td style="width: 5.16%; height: 37px;"&gt;			&lt;p align="center"&gt;X&lt;/p&gt;			&lt;/td&gt;			&lt;td style="width: 6.14%; height: 37px;"&gt;&amp;nbsp;&lt;/td&gt;		&lt;/tr&gt;		&lt;tr&gt;			&lt;td style="width: 48.5%; height: 37px;"&gt;			&lt;p&gt;Boli verejnosti poskytnuté informácie o cieli účasti verejnosti na tvorbe právneho predpisu spolu s&amp;nbsp;časovým rámcom jeho tvorby?&lt;/p&gt;			&lt;/td&gt;			&lt;td style="width: 5.16%; height: 37px;"&gt;			&lt;p align="center"&gt;X&lt;/p&gt;			&lt;/td&gt;			&lt;td style="width: 6.14%; height: 37px;"&gt;&amp;nbsp;&lt;/td&gt;		&lt;/tr&gt;		&lt;tr&gt;			&lt;td style="width: 48.5%; height: 37px;"&gt;			&lt;p&gt;Boli verejnosti poskytnuté informácie o plánovanom procese tvorby právneho predpisu?&lt;/p&gt;			&lt;/td&gt;			&lt;td style="width: 5.16%; height: 37px;"&gt;			&lt;p align="center"&gt;X&lt;/p&gt;			&lt;/td&gt;			&lt;td style="width: 6.14%; height: 37px;"&gt;&amp;nbsp;&lt;/td&gt;		&lt;/tr&gt;		&lt;tr&gt;			&lt;td rowspan="3" style="width: 23.2%; height: 37px;"&gt;			&lt;p&gt;2.2 Kontinuita informovania&lt;/p&gt;			&lt;/td&gt;			&lt;td style="width: 48.5%; height: 37px;"&gt;			&lt;p&gt;Boli verejnosti poskytnuté relevantné informácie pred začatím tvorby právneho predpisu?&lt;/p&gt;			&lt;/td&gt;			&lt;td style="width: 5.16%; height: 37px;"&gt;			&lt;p align="center"&gt;X&lt;/p&gt;			&lt;/td&gt;			&lt;td style="width: 6.14%; height: 37px;"&gt;&amp;nbsp;&lt;/td&gt;		&lt;/tr&gt;		&lt;tr&gt;			&lt;td style="width: 48.5%; height: 37px;"&gt;			&lt;p&gt;Boli verejnosti poskytnuté relevantné informácie počas tvorby právneho predpisu?&lt;/p&gt;			&lt;/td&gt;			&lt;td style="width: 5.16%; height: 37px;"&gt;			&lt;p align="center"&gt;X&lt;/p&gt;			&lt;/td&gt;			&lt;td style="width: 6.14%; height: 37px;"&gt;&amp;nbsp;&lt;/td&gt;		&lt;/tr&gt;		&lt;tr&gt;			&lt;td style="width: 48.5%; height: 37px;"&gt;			&lt;p&gt;Boli verejnosti poskytnuté relevantné informácie aj po ukončení tvorby právneho predpisu?&lt;/p&gt;			&lt;/td&gt;			&lt;td style="width: 5.16%; height: 37px;"&gt;			&lt;p align="center"&gt;X&lt;/p&gt;			&lt;/td&gt;			&lt;td style="width: 6.14%; height: 37px;"&gt;&amp;nbsp;&lt;/td&gt;		&lt;/tr&gt;		&lt;tr&gt;			&lt;td rowspan="2" style="width: 23.2%; height: 37px;"&gt;			&lt;p&gt;2.3 Kvalita a včasnosť informácií&lt;/p&gt;			&lt;/td&gt;			&lt;td style="width: 48.5%; height: 37px;"&gt;			&lt;p&gt;Boli relevantné informácie o&amp;nbsp;tvorbe právneho predpisu verejnosti poskytnuté včas?&lt;/p&gt;			&lt;/td&gt;			&lt;td style="width: 5.16%; height: 37px;"&gt;			&lt;p align="center"&gt;X&lt;/p&gt;			&lt;/td&gt;			&lt;td style="width: 6.14%; height: 37px;"&gt;&amp;nbsp;&lt;/td&gt;		&lt;/tr&gt;		&lt;tr&gt;			&lt;td style="width: 48.5%; height: 37px;"&gt;			&lt;p&gt;Boli relevantné informácie o&amp;nbsp;tvorbe právneho predpisu a&amp;nbsp;o samotnom&amp;nbsp;právnom predpise poskytnuté vo vyhovujúcej technickej kvalite?&lt;sup&gt;3&lt;/sup&gt;)&lt;/p&gt;			&lt;/td&gt;			&lt;td style="width: 5.16%; height: 37px;"&gt;			&lt;p align="center"&gt;X&lt;/p&gt;			&lt;/td&gt;			&lt;td style="width: 6.14%; height: 37px;"&gt;&amp;nbsp;&lt;/td&gt;		&lt;/tr&gt;		&lt;tr&gt;			&lt;td style="width: 23.2%; height: 37px;"&gt;			&lt;p&gt;2.4 Adresnosť informácií&lt;/p&gt;			&lt;/td&gt;			&lt;td style="width: 48.5%; height: 37px;"&gt;			&lt;p&gt;Boli zvolené komunikačné kanály dostatočné vzhľadom na prenos relevantných informácií o&amp;nbsp; právnom predpise smerom k&amp;nbsp;verejnosti?&lt;/p&gt;			&lt;/td&gt;			&lt;td style="width: 5.16%; height: 37px;"&gt;			&lt;p align="center"&gt;X&lt;/p&gt;			&lt;/td&gt;			&lt;td style="width: 6.14%; height: 37px;"&gt;&amp;nbsp;&lt;/td&gt;		&lt;/tr&gt;		&lt;tr&gt;			&lt;td rowspan="3" style="width: 17%; height: 37px;"&gt;			&lt;p&gt;&lt;strong&gt;3. Vyhodnotenie procesu tvorby právneho predpisu&lt;/strong&gt;&lt;/p&gt;			&lt;/td&gt;			&lt;td rowspan="3" style="width: 23.2%; height: 37px;"&gt;			&lt;p&gt;4.1 Hodnotenie procesu&lt;/p&gt;			&lt;/td&gt;			&lt;td style="width: 48.5%; height: 37px;"&gt;			&lt;p&gt;Bolo vykonané hodnotenie procesu tvorby právneho predpisu?&lt;/p&gt;			&lt;/td&gt;			&lt;td style="width: 5.16%; height: 37px;"&gt;&amp;nbsp;&lt;/td&gt;			&lt;td style="width: 6.14%; height: 37px;"&gt;			&lt;p align="center"&gt;X&lt;/p&gt;			&lt;/td&gt;		&lt;/tr&gt;		&lt;tr&gt;			&lt;td style="width: 48.5%; height: 37px;"&gt;			&lt;p&gt;Bola zverejnená hodnotiaca správa procesu tvorby právneho predpisu?&lt;sup&gt;4&lt;/sup&gt;)&lt;/p&gt;			&lt;/td&gt;			&lt;td style="width: 5.16%; height: 37px;"&gt;&amp;nbsp;&lt;/td&gt;			&lt;td style="width: 6.14%; height: 37px;"&gt;			&lt;p align="center"&gt;X&lt;/p&gt;			&lt;/td&gt;		&lt;/tr&gt;		&lt;tr&gt;			&lt;td style="width: 48.5%; height: 37px;"&gt;			&lt;p&gt;Bol splnený cieľ účasti verejnosti na tvorbe právneho predpisu?&lt;/p&gt;			&lt;/td&gt;			&lt;td style="width: 5.16%; height: 37px;"&gt;			&lt;p align="center"&gt;X&lt;/p&gt;			&lt;/td&gt;			&lt;td style="width: 6.14%; height: 37px;"&gt;&amp;nbsp;&lt;/td&gt;		&lt;/tr&gt;	&lt;/tbody&gt;&lt;/table&gt;&lt;p&gt;Dotknuté subjekty boli o&amp;nbsp;príprave a&amp;nbsp;plánovanom predmete Návrhu zákona z ... 2021, ktorým sa mení zákon č. 363/2011 Z. z. o&amp;nbsp;rozsahu a&amp;nbsp;podmienkach úhrady liekov, zdravotníckych pomôcok a&amp;nbsp;dietetických potravín na základe verejného zdravotného poistenia a&amp;nbsp;o&amp;nbsp;zmene a&amp;nbsp;doplnení niektorých zákonov (ďalej len „návrh novely“) informovaná prostredníctvom stretnutí, ktoré sa uskutočnili nasledovne:&lt;/p&gt;&lt;table border="1" cellpadding="0" cellspacing="0"&gt;	&lt;tbody&gt;		&lt;tr&gt;			&lt;td style="width: 141px;"&gt;			&lt;p&gt;&lt;strong&gt;Dátum konzultácie&lt;/strong&gt;&lt;/p&gt;			&lt;/td&gt;			&lt;td style="width: 170px;"&gt;			&lt;p&gt;&lt;strong&gt;Účastníci konzultácie&lt;/strong&gt;&lt;/p&gt;			&lt;/td&gt;			&lt;td style="width: 156px;"&gt;			&lt;p&gt;&lt;strong&gt;Predmet konzultácie&lt;/strong&gt;&lt;/p&gt;			&lt;/td&gt;			&lt;td style="width: 156px;"&gt;			&lt;p&gt;&lt;strong&gt;Trvanie konzultácie&lt;/strong&gt;&lt;/p&gt;			&lt;/td&gt;		&lt;/tr&gt;		&lt;tr&gt;			&lt;td style="width: 141px;"&gt;			&lt;p&gt;22.9.2020&lt;/p&gt;			&lt;/td&gt;			&lt;td style="width: 170px;"&gt;			&lt;p&gt;MZSR&lt;/p&gt;			&lt;p&gt;AIFP&lt;/p&gt;			&lt;p&gt;GENAS&lt;/p&gt;			&lt;/td&gt;			&lt;td style="width: 156px;"&gt;			&lt;p&gt;Predstavenie predmetu návrhu novely a&amp;nbsp;poskytnutie spätnej väzby k&amp;nbsp;predmetu návrhu novely zo strany AIFP a&amp;nbsp;GENAS.&lt;/p&gt;			&lt;/td&gt;			&lt;td style="width: 156px;"&gt;			&lt;p&gt;Od 11:00 do 14:30&lt;/p&gt;			&lt;/td&gt;		&lt;/tr&gt;		&lt;tr&gt;			&lt;td style="width: 141px;"&gt;			&lt;p&gt;23.9.2021&lt;/p&gt;			&lt;/td&gt;			&lt;td style="width: 170px;"&gt;			&lt;p&gt;MZSR&lt;/p&gt;			&lt;p&gt;Všeobecná zdravotná poisťovňa, a.s.&lt;/p&gt;			&lt;p&gt;&amp;nbsp;&lt;/p&gt;			&lt;/td&gt;			&lt;td style="width: 156px;"&gt;			&lt;p&gt;Predstavenie predmetu návrhu novely a&amp;nbsp;poskytnutie spätnej väzby k&amp;nbsp;predmetu návrhu novely zo strany Všeobecnej zdravotnej poisťovne, a.s..&lt;/p&gt;			&lt;/td&gt;			&lt;td style="width: 156px;"&gt;			&lt;p&gt;Od 10:30 do 12:30&lt;/p&gt;			&lt;/td&gt;		&lt;/tr&gt;		&lt;tr&gt;			&lt;td style="width: 141px;"&gt;			&lt;p&gt;24.9.2020&lt;/p&gt;			&lt;/td&gt;			&lt;td style="width: 170px;"&gt;			&lt;p&gt;MZSR&lt;/p&gt;			&lt;p&gt;Union zdravotná poisťovňa, a.s.&lt;/p&gt;			&lt;/td&gt;			&lt;td style="width: 156px;"&gt;			&lt;p&gt;Predstavenie predmetu návrhu novely a&amp;nbsp;poskytnutie spätnej väzby k&amp;nbsp;predmetu návrhu novely zo strany Union zdravotnej poisťovne, a.s..&lt;/p&gt;			&lt;/td&gt;			&lt;td style="width: 156px;"&gt;			&lt;p&gt;Od 14:30 do 15:30&lt;/p&gt;			&lt;/td&gt;		&lt;/tr&gt;		&lt;tr&gt;			&lt;td style="width: 141px;"&gt;			&lt;p&gt;30.9.2020&lt;/p&gt;			&lt;/td&gt;			&lt;td style="width: 170px;"&gt;			&lt;p&gt;MZSR&lt;/p&gt;			&lt;p&gt;Dôvera zdravotná poisťovňa, a.s.&lt;/p&gt;			&lt;/td&gt;			&lt;td style="width: 156px;"&gt;			&lt;p&gt;Predstavenie predmetu návrhu novely a&amp;nbsp;poskytnutie spätnej väzby k&amp;nbsp;predmetu návrhu novely zo strany Dôvera zdravotnej poisťovňe, a.s.&lt;/p&gt;			&lt;/td&gt;			&lt;td style="width: 156px;"&gt;			&lt;p&gt;Od 10:00 do 11:30&lt;/p&gt;			&lt;/td&gt;		&lt;/tr&gt;		&lt;tr&gt;			&lt;td style="width: 141px;"&gt;			&lt;p&gt;15.10.2020&lt;/p&gt;			&lt;/td&gt;			&lt;td style="width: 170px;"&gt;			&lt;p&gt;MZSR&lt;/p&gt;			&lt;p&gt;GENAS&lt;/p&gt;			&lt;/td&gt;			&lt;td style="width: 156px;"&gt;			&lt;p&gt;Pokračovanie diskusie ohľadom predmetu návrhu novely.&lt;/p&gt;			&lt;/td&gt;			&lt;td style="width: 156px;"&gt;			&lt;p&gt;Od 13:00 do 15:00&lt;/p&gt;			&lt;/td&gt;		&lt;/tr&gt;		&lt;tr&gt;			&lt;td style="width: 141px;"&gt;			&lt;p&gt;16.10.2020&lt;/p&gt;			&lt;/td&gt;			&lt;td style="width: 170px;"&gt;			&lt;p&gt;MZSR&lt;/p&gt;			&lt;p&gt;AIFP&lt;/p&gt;			&lt;/td&gt;			&lt;td style="width: 156px;"&gt;			&lt;p&gt;Pokračovanie diskusie ohľadom predmetu návrhu novely.&lt;/p&gt;			&lt;/td&gt;			&lt;td style="width: 156px;"&gt;			&lt;p&gt;Od 10:30 do 12:30&lt;/p&gt;			&lt;/td&gt;		&lt;/tr&gt;	&lt;/tbody&gt;&lt;/table&gt;&lt;p&gt;Konkrétne znenie návrhu novely aj spolu s odôvodnením bolo zástupcom všetkých dotknutých subjektov zaslané prostredníctvom e-mailovej komunikácie zo dňa 17.6.2021. Materiál bol prerokovaný prostredníctvom spoločných a&amp;nbsp;individuálnych stretnutí, ktoré sa uskutočnili nasledovne:&lt;/p&gt;&lt;table border="0" cellpadding="0" cellspacing="0"&gt;	&lt;thead&gt;		&lt;tr&gt;			&lt;th style="width: 141px;"&gt;			&lt;p&gt;&lt;strong&gt;Dátum konzultácie&lt;/strong&gt;&lt;/p&gt;			&lt;/th&gt;			&lt;th style="width: 170px;"&gt;			&lt;p&gt;&lt;strong&gt;Účastníci konzultácie&lt;/strong&gt;&lt;/p&gt;			&lt;/th&gt;			&lt;th style="width: 151px;"&gt;			&lt;p&gt;&lt;strong&gt;Predmet konzultácie&lt;/strong&gt;&lt;/p&gt;			&lt;/th&gt;			&lt;th style="width: 160px;"&gt;			&lt;p&gt;&lt;strong&gt;Doba trvania konzultácie&lt;/strong&gt;&lt;/p&gt;			&lt;/th&gt;		&lt;/tr&gt;	&lt;/thead&gt;	&lt;tbody&gt;		&lt;tr&gt;			&lt;td style="width: 141px;"&gt;			&lt;p&gt;23.6.2021&lt;/p&gt;			&lt;/td&gt;			&lt;td style="width: 170px;"&gt;			&lt;p&gt;MZSR&lt;/p&gt;			&lt;p&gt;Všeobecná zdravotná poisťovňa, a.s.&lt;/p&gt;			&lt;p&gt;Dôvera zdravotná poisťovňa, a.s.&lt;/p&gt;			&lt;p&gt;Union zdravotná poisťovňa, a.s.&lt;/p&gt;			&lt;p&gt;AIFP&lt;/p&gt;			&lt;p&gt;GENAS&lt;/p&gt;			&lt;p&gt;AmCham&lt;/p&gt;			&lt;p&gt;AOPP&lt;/p&gt;			&lt;p&gt;NIE RAKOVINE&lt;/p&gt;			&lt;p&gt;Liga proti rakovine&lt;/p&gt;			&lt;/td&gt;			&lt;td style="width: 151px;"&gt;			&lt;p&gt;Predmetom konzultácie bolo predstavenie pripravovanej novely návrhu zákona zástupcom všetkých subjektom, ktorí budú novelou dotknutí. Po predstavení pripravovanej novely zákona bol následne poskytnutý priestor všetkým zástupcom sa k&amp;nbsp;pripravovanej novele vyjadriť. Následne bola otvorená diskusia.&lt;/p&gt;			&lt;/td&gt;			&lt;td style="width: 160px;"&gt;			&lt;p&gt;Od 13:00 do 18:00&lt;/p&gt;			&lt;/td&gt;		&lt;/tr&gt;		&lt;tr&gt;			&lt;td style="width: 141px;"&gt;			&lt;p&gt;28.6.2021&lt;/p&gt;			&lt;/td&gt;			&lt;td style="width: 170px;"&gt;			&lt;p&gt;MZSR&lt;/p&gt;			&lt;p&gt;Všeobecná zdravotná poisťovňa, a.s.&lt;/p&gt;			&lt;/td&gt;			&lt;td style="width: 151px;"&gt;			&lt;p&gt;Predmetom konzultácie bolo prerokovanie všetkých pripomienok a&amp;nbsp;návrhov Všeobecnej zdravotnej poisťovne ku paragrafovému zneniu pripravovanej novely zákona&lt;/p&gt;			&lt;/td&gt;			&lt;td style="width: 160px;"&gt;			&lt;p&gt;Od 9:00 do 13:00&lt;/p&gt;			&lt;/td&gt;		&lt;/tr&gt;		&lt;tr&gt;			&lt;td style="width: 141px;"&gt;			&lt;p&gt;28.6.2021&lt;/p&gt;			&lt;/td&gt;			&lt;td style="width: 170px;"&gt;			&lt;p&gt;MZSR&lt;/p&gt;			&lt;p&gt;SK+MED&lt;/p&gt;			&lt;/td&gt;			&lt;td style="width: 151px;"&gt;			&lt;p&gt;Predmetom konzultácie bolo prerokovanie všetkých návrhov asociácie SK+MED na zmenu zákona&lt;/p&gt;			&lt;/td&gt;			&lt;td style="width: 160px;"&gt;			&lt;p&gt;Od 13:30 do 16:00&lt;/p&gt;			&lt;/td&gt;		&lt;/tr&gt;		&lt;tr&gt;			&lt;td style="width: 141px;"&gt;			&lt;p&gt;29.6.2021&lt;/p&gt;			&lt;/td&gt;			&lt;td style="width: 170px;"&gt;			&lt;p&gt;MZSR&lt;/p&gt;			&lt;p&gt;Dôvera zdravotná poisťovňa, a.s.&lt;/p&gt;			&lt;/td&gt;			&lt;td style="width: 151px;"&gt;			&lt;p&gt;Predmetom konzultácie bolo prerokovanie všetkých pripomienok a&amp;nbsp;návrhov zdravotnej poisťovne Dôvera ku paragrafovému zneniu pripravovanej novely zákona&lt;/p&gt;			&lt;/td&gt;			&lt;td style="width: 160px;"&gt;			&lt;p&gt;Od 9:00 do 12:30&lt;/p&gt;			&lt;/td&gt;		&lt;/tr&gt;		&lt;tr&gt;			&lt;td style="width: 141px;"&gt;			&lt;p&gt;1.7.2021&lt;/p&gt;			&lt;/td&gt;			&lt;td style="width: 170px;"&gt;			&lt;p&gt;MZSR&lt;/p&gt;			&lt;p&gt;Všeobecná zdravotná poisťovňa, a.s.&lt;/p&gt;			&lt;p&gt;Dôvera zdravotná poisťovňa, a.s.&lt;/p&gt;			&lt;p&gt;Union zdravotná poisťovňa, a.s.&lt;/p&gt;			&lt;p&gt;AOPP&lt;/p&gt;			&lt;p&gt;NIE RAKOVINE&lt;/p&gt;			&lt;p&gt;Liga proti rakovine&lt;/p&gt;			&lt;p&gt;&amp;nbsp;&lt;/p&gt;			&lt;/td&gt;			&lt;td style="width: 151px;"&gt;			&lt;p&gt;Predmetom konzultácie bolo prerokovanie všetkých návrhov a&amp;nbsp;pripomienok zástupcov pacientskych organizácii k&amp;nbsp;pripravovanej novele zákona za prítomnosti zástupcov zdravotných poisťovní. Konzultácie bola zameraná primárne na pripravované zmeny úhrady liekov vo výnimkovom režime&lt;/p&gt;			&lt;/td&gt;			&lt;td style="width: 160px;"&gt;			&lt;p&gt;Od 9:00 do 13:00&lt;/p&gt;			&lt;/td&gt;		&lt;/tr&gt;		&lt;tr&gt;			&lt;td style="width: 141px;"&gt;			&lt;p&gt;2.7.2021&lt;/p&gt;			&lt;/td&gt;			&lt;td style="width: 170px;"&gt;			&lt;p&gt;MZSR&lt;/p&gt;			&lt;p&gt;AIFP&lt;/p&gt;			&lt;p&gt;AmCham&lt;/p&gt;			&lt;/td&gt;			&lt;td style="width: 151px;"&gt;			&lt;p&gt;Predmetom konzultácie bolo prerokovanie všetkých návrhov a&amp;nbsp;pripomienok zástupcov farmaceutických spoločností obchodujúcich s&amp;nbsp;originálnymi liekmi k&amp;nbsp;pripravovanej novele zákona.&lt;/p&gt;			&lt;/td&gt;			&lt;td style="width: 160px;"&gt;			&lt;p&gt;Od 9:00 do 13:00&lt;/p&gt;			&lt;/td&gt;		&lt;/tr&gt;		&lt;tr&gt;			&lt;td style="width: 141px;"&gt;			&lt;p&gt;7.7.2021&lt;/p&gt;			&lt;/td&gt;			&lt;td style="width: 170px;"&gt;			&lt;p&gt;MZSR&lt;/p&gt;			&lt;p&gt;GENAS&lt;/p&gt;			&lt;/td&gt;			&lt;td style="width: 151px;"&gt;			&lt;p&gt;Predmetom konzultácie bolo prerokovanie všetkých návrhov a&amp;nbsp;pripomienok zástupcov farmaceutických spoločností obchodujúcich s&amp;nbsp;generickými a biosimilárnymi liekmi k&amp;nbsp;pripravovanej novele zákona.&lt;/p&gt;			&lt;/td&gt;			&lt;td style="width: 160px;"&gt;			&lt;p&gt;Od 9:00 do 13:00&lt;/p&gt;			&lt;/td&gt;		&lt;/tr&gt;		&lt;tr&gt;			&lt;td style="width: 141px;"&gt;			&lt;p&gt;8.7.2021&lt;/p&gt;			&lt;/td&gt;			&lt;td style="width: 170px;"&gt;			&lt;p&gt;MZSR&lt;/p&gt;			&lt;p&gt;AIFP&lt;/p&gt;			&lt;p&gt;AmCham&lt;/p&gt;			&lt;/td&gt;			&lt;td style="width: 151px;"&gt;			&lt;p&gt;Pokračovanie konzultácie, predmetom ktorej bolo prerokovanie zvyšných návrhov a&amp;nbsp;pripomienok zástupcov farmaceutických spoločností obchodujúcich s&amp;nbsp;originálnymi liekmi k&amp;nbsp;pripravovanej novele zákona&lt;/p&gt;			&lt;/td&gt;			&lt;td style="width: 160px;"&gt;			&lt;p&gt;Od 9:00 do 11:00&lt;/p&gt;			&lt;/td&gt;		&lt;/tr&gt;		&lt;tr&gt;			&lt;td style="width: 141px;"&gt;			&lt;p&gt;4.12.2021&lt;/p&gt;			&lt;/td&gt;			&lt;td style="width: 170px;"&gt;			&lt;p&gt;MZSR&lt;/p&gt;			&lt;p&gt;AIFP&lt;/p&gt;			&lt;/td&gt;			&lt;td style="width: 151px;"&gt;			&lt;p&gt;Pokračovanie konzultácie, predmetom ktorej bolo prerokovanie zvyšných návrhov a&amp;nbsp;pripomienok zástupcov farmaceutických spoločností obchodujúcich s&amp;nbsp;originálnymi liekmi k&amp;nbsp;pripravovanej novele zákona.&lt;/p&gt;			&lt;/td&gt;			&lt;td style="width: 160px;"&gt;			&lt;p&gt;Od 9:00 do 10:30&lt;/p&gt;			&lt;/td&gt;		&lt;/tr&gt;		&lt;tr&gt;			&lt;td style="width: 141px;"&gt;			&lt;p&gt;4.12.2021&lt;/p&gt;			&lt;/td&gt;			&lt;td style="width: 170px;"&gt;			&lt;p&gt;MZSR&lt;/p&gt;			&lt;p&gt;GENAS&lt;/p&gt;			&lt;/td&gt;			&lt;td style="width: 151px;"&gt;			&lt;p&gt;Pokračovanie konzultácie, predmetom ktorej bolo prerokovanie zvyšných návrhov a&amp;nbsp;pripomienok zástupcov farmaceutických spoločností obchodujúcich s&amp;nbsp;generickými liekmi k&amp;nbsp;pripravovanej novele zákona.&lt;/p&gt;			&lt;/td&gt;			&lt;td style="width: 160px;"&gt;			&lt;p&gt;Od 13:00 do 14:30&lt;/p&gt;			&lt;/td&gt;		&lt;/tr&gt;		&lt;tr&gt;			&lt;td style="width: 141px;"&gt;			&lt;p&gt;9.11.2021&lt;/p&gt;			&lt;/td&gt;			&lt;td style="width: 170px;"&gt;			&lt;p&gt;MZSR&lt;/p&gt;			&lt;p&gt;AZP&lt;/p&gt;			&lt;p&gt;Všeobecná zdravotná poisťovňa, a.s.&lt;/p&gt;			&lt;p&gt;Dôvera zdravotná poisťovňa, a.s.&lt;/p&gt;			&lt;p&gt;Union zdravotná poisťovňa, a.s.&lt;/p&gt;			&lt;p&gt;&amp;nbsp;&lt;/p&gt;			&lt;/td&gt;			&lt;td style="width: 151px;"&gt;			&lt;p&gt;Pokračovanie konzultácie, predmetom ktorej bolo prerokovanie zvyšných návrhov a&amp;nbsp;pripomienok zástupcov všetkých zdravotných poisťovní.&lt;/p&gt;			&lt;/td&gt;			&lt;td style="width: 160px;"&gt;			&lt;p&gt;Od 9:00 do 10:30&lt;/p&gt;			&lt;/td&gt;		&lt;/tr&gt;		&lt;tr&gt;			&lt;td style="width: 141px;"&gt;			&lt;p&gt;9.11.2021&lt;/p&gt;			&lt;/td&gt;			&lt;td style="width: 170px;"&gt;			&lt;p&gt;MZSR&lt;/p&gt;			&lt;p&gt;AOPP&lt;/p&gt;			&lt;p&gt;Asociácia pre zriedkavé ochorenia&lt;/p&gt;			&lt;p&gt;Nie rakovine&lt;/p&gt;			&lt;/td&gt;			&lt;td style="width: 151px;"&gt;			&lt;p&gt;Pokračovanie konzultácie, predmetom ktorej bolo prerokovanie zvyšných návrhov a&amp;nbsp;pripomienok zástupcov pacientov.&lt;/p&gt;			&lt;/td&gt;			&lt;td style="width: 160px;"&gt;			&lt;p&gt;Od 13:00 do 15:00&lt;/p&gt;			&lt;/td&gt;		&lt;/tr&gt;		&lt;tr&gt;			&lt;td style="width: 141px;"&gt;			&lt;p&gt;3.12.2021&lt;/p&gt;			&lt;/td&gt;			&lt;td style="width: 170px;"&gt;			&lt;p&gt;MZSR,&lt;/p&gt;			&lt;p&gt;AIFP,&lt;/p&gt;			&lt;p&gt;GENAS,&lt;/p&gt;			&lt;p&gt;AZP,&lt;/p&gt;			&lt;p&gt;AOPP&lt;/p&gt;			&lt;/td&gt;			&lt;td style="width: 151px;"&gt;			&lt;p&gt;Posledná konzultácia pred začatím vnútrorezortného pripomienkového konania, predmetom ktorej bolo informovanie o&amp;nbsp;znení novely zákona, ktoré sa predkladá do vnútrorezortného pripomienkového konania.&lt;/p&gt;			&lt;/td&gt;			&lt;td style="width: 160px;"&gt;			&lt;p&gt;Od 9:30 do 14:00&lt;/p&gt;			&lt;/td&gt;		&lt;/tr&gt;	&lt;/tbody&gt;&lt;/table&gt;&lt;p&gt;&amp;nbsp;&lt;/p&gt;&lt;p&gt;Ostatná širšia verejnosť bola o&amp;nbsp;návrhu novely informovaná prostredníctvom predbežnej informácie, ktorá bola zverejnená v&amp;nbsp;informačnom systéme verejnej správy Slov-Lex dňa 22.7.2021. Predbežná informácia je verejne dostupná na nasledovnej elektronickej adrese &amp;lt; &lt;a href="https://www.slov-lex.sk/legislativne-procesy?p_p_id=processDetail_WAR_portletsel&amp;amp;p_p_lifecycle=0&amp;amp;p_p_state=normal&amp;amp;p_p_mode=view&amp;amp;p_p_col_id=column-2&amp;amp;p_p_col_count=1&amp;amp;_processDetail_WAR_portletsel_cisloLP=PI%2F2021%2F156&amp;amp;_processDetail_WAR_portletsel_action=files"&gt;https://www.slov-lex.sk/legislativne-procesy?p_p_id=processDetail_WAR_portletsel&amp;amp;p_p_lifecycle=0&amp;amp;p_p_state=normal&amp;amp;p_p_mode=view&amp;amp;p_p_col_id=column-2&amp;amp;p_p_col_count=1&amp;amp;_processDetail_WAR_portletsel_cisloLP=PI%2F2021%2F156&amp;amp;_processDetail_WAR_portletsel_action=files&lt;/a&gt; &amp;gt;.&lt;/p&gt;&lt;p&gt;Ako reakciu na predbežnú informáciu zaslal svoje podnety k&amp;nbsp;návrhu novely inštitút INESS, ktorý uviedol: „&lt;em&gt;Inštitút INESS oceňuje otvorenie diskusie k liekovej legislatíve na Slovensku. Lieková politika na Slovensku je dlho otvorený problém a jej reforma by mala byť súčasťou „reformného reštartu“. V nasledujúcom texte predstavujeme niekoľko opatrení, ktorými by sa ministerstvo malo zaoberať pri príprave novely zákona o liekoch. Ich efektívna aplikácia by prispela k dlhodobej udržateľnosti a hodnote za peniaze v liekovej politike. V prípade záujmu odporúčame čitateľom aj našu publikáciu z novembra 2020 nazvanú Zázračné lieky: ako ich zaplatiť a neskrachovať.&lt;/em&gt;&lt;/p&gt;&lt;p&gt;&amp;nbsp;&lt;/p&gt;&lt;p&gt;&lt;em&gt;Obsah&lt;/em&gt;&lt;/p&gt;&lt;p&gt;&lt;em&gt;1. Výdavky na lieky musia byť v súlade s rozpočtom zdravotníctva&lt;/em&gt;&lt;/p&gt;&lt;p&gt;&lt;em&gt;2. Nie všetky nové (a drahé) lieky liečia&lt;/em&gt;&lt;/p&gt;&lt;p&gt;&lt;em&gt;3. Dodržiavanie existujúcich pravidiel&lt;/em&gt;&lt;/p&gt;&lt;p&gt;&lt;em&gt;4. Generické a biosimilárne lieky sú ekonomickou nevyhnutnosťou&lt;/em&gt;&lt;/p&gt;&lt;p&gt;&lt;em&gt;5. Čo s výnimkami&lt;/em&gt;&lt;/p&gt;&lt;p&gt;&lt;em&gt;6. Na inovatívne spôsoby úhrad treba byť pripravený&lt;/em&gt;&lt;/p&gt;&lt;p&gt;&lt;em&gt;7. Spotreba verzus poistka&lt;/em&gt;&lt;/p&gt;&lt;p&gt;&lt;em&gt;8. Nielen liekmi je pacient živý&lt;/em&gt;&lt;/p&gt;&lt;p&gt;&amp;nbsp;&lt;/p&gt;&lt;p&gt;&lt;em&gt;1. Výdavky na lieky musia byť v súlade s rozpočtom zdravotníctva&lt;/em&gt;&lt;/p&gt;&lt;p&gt;&amp;nbsp;&lt;/p&gt;&lt;p&gt;&lt;em&gt;Na trhu každoročne pribudne niekoľko desiatok nových liekových molekúl (za rok 2020 ich bolo 53 v USA a 39 v EÚ), viaceré v cenách v rádoch stoviek tisícov eur za liečbu jedného pacienta. Slovenské rozpočtované výdavky na lieky dlhodobo stagnujú, čo je z hľadiska iných položiek v rozpočte aj z hľadiska príchodu nových liekov na svetový trh výnimočné. Zároveň však platí, že podiel výdavkov na lieky na celkových výdavkoch v zdravotníctve je nadpriemerný v porovnaní EÚ15, ale aj V3. Vyššie výdavky budú musieť byť v súlade buď s rastom celkových výdavkov v zdravotníctve, alebo na úkor iných výdavkov. Zároveň je potrebné vyhodnocovať rozpočtové aspekty prichádzajúcich liekov s predstihom („skenovanie horizontu“).Opatrenie: Výdavky vyplývajúce zo vstupu nových liekov vyvážené vyšším platbami za poistencov štátu vo &lt;/em&gt;&lt;/p&gt;&lt;p&gt;&lt;em&gt;viacročnom horizonte.&lt;/em&gt;&lt;/p&gt;&lt;p&gt;&amp;nbsp;&lt;/p&gt;&lt;p&gt;&lt;em&gt;2. Nie všetky nové (a drahé) lieky liečia&lt;/em&gt;&lt;/p&gt;&lt;p&gt;&amp;nbsp;&lt;/p&gt;&lt;p&gt;&lt;em&gt;Rigidnosťsúčasných pravidiel vstupu liekov na slovenský trh je dlhodobo a oprávnené kritizovaná. Zároveň ale platí, že prísne nezávislé transparentné a apolitické pravidlá hradenia nových liekov z verejných zdrojov sú nevyhnutné. Zďaleka nie všetky nové a drahé lieky znamenajú adekvátne zlepšenie pre pacienta. Mnoho nových liekov má účinky porovnateľné s existujúcou liečbou, stoja však násobne viac. Na túto skutočnosť opakovane upozorňujú aj vedecké štúdie. Štúdia, zverejnená v roku 2019 v časopise BMJ, sledovala 216 liekov, ktoré vstúpili na nemecký trh v rokoch 2011 - 2017. Pri 58 % liekov prišli k záveru, že tieto lieky nemali žiadnu pridanú hodnotu oproti existujúcej liečbe. V rokoch 2009 - 2013 Európska lieková agentúra povolila použitie 48 nových onkologických liekov na 68 indikácií. V čase schválenia vykazovalo ich použitie predĺženie prežívania pacienta pri tretine indikácií (24 zo 68). Toto predĺženie života sa pohybovalo od 1 mesiaca po 5,8 mesiaca, mediánová hodnota bola 2,7 mesiaca.&lt;/em&gt;&lt;/p&gt;&lt;p&gt;&amp;nbsp;&lt;/p&gt;&lt;p&gt;&lt;em&gt;Opatrenie: Základom vstupu nových liekov by malo ostať nákladové hodnotenie prínosov na princípe QALY/DALY. Výnimky z tohoto pravidla musia vyžadovať jasnú kvantifikáciu očakávaných spoločenských prínosov.&lt;/em&gt;&lt;/p&gt;&lt;p&gt;&amp;nbsp;&lt;/p&gt;&lt;p&gt;&lt;em&gt;3. Dodržiavanie existujúcich pravidiel&lt;/em&gt;&lt;/p&gt;&lt;p&gt;&amp;nbsp;&lt;/p&gt;&lt;p&gt;&lt;em&gt;V uplynulej dekáde štát opakovane zanedbával a porušoval svoje vlastné pravidlá. Je to najmä revízia výdavkov, referencovanie cien (nielen liekov ale aj zdravotníckych pomôcok a dietetických potravín), a vyhodnocovanie podmienených úhrad. Na tieto problémy opakovane upozorňuje aj revízia výdavkov UHP. Spolu majú potenciál ušetriť v systéme rádovo desiatky miliónov eur, ktoré môžu byť využité iným spôsobom. Pokiaľ tieto pravidlá spôsobujú iné problémy, riešením nie je ich ignorovať, ale opraviť tak, aby systém fungoval podľa zákona. Vytvorenie sebekvalitnejších legislatívnych podmienok v liekovej politike nebude nič platné, ak sa budú tieto pravidlá následne ignorovať. Preto je ich nedodržiavanie nutné sankcionovať aj v prípade, ak je porušiteľom verejná správa.&lt;/em&gt;&lt;/p&gt;&lt;p&gt;&amp;nbsp;&lt;/p&gt;&lt;p&gt;&lt;em&gt;Opatrenie: Zavedenie vymožiteľných finančných sankcií aj voči nečinnosti štátnych orgánov v prípade porušenia pravidiel, či nekonania.&lt;/em&gt;&lt;/p&gt;&lt;p&gt;&amp;nbsp;&lt;/p&gt;&lt;p&gt;&lt;em&gt;4. Generické a biosimilárne lieky sú ekonomickou nevyhnutnosťou&lt;/em&gt;&lt;/p&gt;&lt;p&gt;&amp;nbsp;&lt;/p&gt;&lt;p&gt;&lt;em&gt;Vo svete drahých nových liekov je nevyhnutné hľadať úspory v liekoch starých, ktoré majú lacnejšie generické a biosimilárne náhrady. Tie majú na Slovensku potenciál ušetriť minimálne 50 miliónov eur ročne (viac v štúdii kolegov z INEKO). Problémom je nielen legislatíva, ktorá pred generiká a biosimiláry kladie vysoké prekážky, ale aj nedostatočná informovanosť pacientov a chýbajúce, či rozporuplné štandardy. Zameniteľnosť originálnych a generických/biosimilárnych liekov by mala byť dôkladne odborne zvážená. Pokiaľ však zameniteľnosť existuje, je nevyhnutné z verejných zdrojov hradiť len náklady do výšky ceny najlacnejšieho lieku. Pacientovi by však malo byť umožnené rozdiel v cene doplatiť, pokiaľ na drahšom lieku trvá.&lt;/em&gt;&lt;/p&gt;&lt;p&gt;&amp;nbsp;&lt;/p&gt;&lt;p&gt;&lt;em&gt;Opatrenie: Zjednodušenie prístupu generických a biosimilárnych liekov na trh.&lt;/em&gt;&lt;/p&gt;&lt;p&gt;&amp;nbsp;&lt;/p&gt;&lt;p&gt;&lt;em&gt;5. Čo s&amp;nbsp;výnimkami&lt;/em&gt;&lt;/p&gt;&lt;p&gt;&amp;nbsp;&lt;/p&gt;&lt;p&gt;&lt;em&gt;Prístup štátu k liekom na výnimky bol dosiaľ značne rozpoltený. Na jednej strane novela zákona 363/2011 Z.z. pred pár rokmi mala za cieľ úplne zrušiť hradenie liekov formou výnimiek a presunúť časť z nich medzi kategorizované. To sa však nestalo, poisťovne ďalej hradili výnimky v prakticky nezmenenom finančnom objeme – de facto proti oficiálnej politike Ministerstva. Niekedy dokonca samotní výrobcovia preferujú zotrvávanie ich lieku na slovenskom trhu mimo kategorizáciu, keďže im to umožní dosiahnuť vyššiu cenu. Na druhej strane v nedávnej minulosti politickí predstavitelia radi smerujú kritiku za nedostatočné preplácanie výnimiek na poisťovne.&lt;/em&gt;&lt;/p&gt;&lt;p&gt;&amp;nbsp;&lt;/p&gt;&lt;p&gt;&lt;em&gt;Udeľovanie výnimiek je možné robiť transparentnejšie a s jasnejším časovým harmonogramom pre pacientov. No „výnimku“ nie je z definície možné zavrieť do pravidiel, pretože už by to nebola „výnimka“. V zahraničí sa financovanie takýchto liekov niekedy uskutočňuje cez vedu a výskum, napríklad formou inovačných fondov. Takéto nezávislé financovanie z verejných zdrojov by bolo rozpočtovo transparentnejšie a dala by sa jasnejšie stanoviť hodnota za peniaze takto vynaložených prostriedkov. Treba však otvorene povedať, že ani v zahraničí takáto spätná väzba nefunguje bezchybne a náklady na fondové financovanie liekov má tendenciu nekontrolovateľne rásť.&lt;/em&gt;&lt;/p&gt;&lt;p&gt;&amp;nbsp;&lt;/p&gt;&lt;p&gt;&lt;em&gt;Opatrenie: Zaviesť jasné administratívne pravidlá administrácie výnimiek, samotné rozhodovanie ponechať na zdravotných poisťovniach. Zvážiť financovanie niektorých výnimiek z iných ako zdravotníckych zdrojov.&lt;/em&gt;&lt;/p&gt;&lt;p&gt;&amp;nbsp;&lt;/p&gt;&lt;p&gt;&lt;em&gt;6. Na inovatívne spôsoby úhrad treba byť pripravený&lt;/em&gt;&lt;/p&gt;&lt;p&gt;&amp;nbsp;&lt;/p&gt;&lt;p&gt;&lt;em&gt;Štandardný „supermarketový“ (liek s pevnou cenovkou za kus) spôsob úhrad nie je vhodný pre drahé inovatívne lieky s nejasnou farmakoekonmikou. Inovatívne spôsoby úhrad nových liekov, napríklad Managed Entry Agreements, ukazujú významný potenciál. Zahraničné skúsenosti ukazujú, že nestačí vôľa a legislatíva, ale MEA potrebujú aj funkčnú „infraštruktúru“. Problémom býva zber pacientskych dát a motivácia zdravotníkov, administratívna záťaž, či chýbajúci experti na systematické vyhodnocovanie v krajine a ďalšie. Existujúci systém podmienených úhrad na Slovensku by mohol byť základom pre inovatívne spôsoby úhrad, trpí však na slabú spätnú väzbu.&lt;/em&gt;&lt;/p&gt;&lt;p&gt;&amp;nbsp;&lt;/p&gt;&lt;p&gt;&lt;em&gt;Opatrenie: Prepracovať a sfunkčniť systém podmienených úhrad.&lt;/em&gt;&lt;/p&gt;&lt;p&gt;&amp;nbsp;&lt;/p&gt;&lt;p&gt;&lt;em&gt;7. Spotreba verzus poistka&lt;/em&gt;&lt;/p&gt;&lt;p&gt;&amp;nbsp;&lt;/p&gt;&lt;p&gt;&lt;em&gt;K solidárnej funkcii verejného zdravotníctva sa časom pridala aj ďalšia, ktorá ju postupne prerástla – spotrebná. Zdravotné poistenie prepláca výkony pacientom aj v situáciách, kedy by nemali problém si ich zaplatiť. To nielen vedie k nadužívaniu týchto služieb, ale zároveň to znižuje množstvo dostupných zdrojov pre katastrofické situácie akými sú onkologické ochorenia, infarkty, či vážne úrazy.&lt;/em&gt;&lt;/p&gt;&lt;p&gt;&amp;nbsp;&lt;/p&gt;&lt;p&gt;&lt;em&gt;Ľudia si z vlastných prostriedkov kupujú životne dôležité potraviny, vodu, či ošatenie. Nie je dôvod, prečo by si rovnako nemohli kupovať bežnú zdravotnú spotrebu. To sa týka aj liekov – preplácanie množstva liekových položiek (častokrát v hodnote eura či dvoch) znižuje celkové množstvo zdrojov, ktoré rovnako slúžia na nákup drahej modernej liečby závažných ochorení. Pritom pacienti na Slovensku už dnes, čiastočne dobrovoľne, čiastočne z nevedomosti, doplácajú zhruba 65 miliónov eur ročne na lieky, ktoré majú lacnejšiu náhradu. Nanešťastie, vývoj na Slovensku naznačuje skôr postup smerom k podporovaniu „spotrebnej“ úlohy poistného systému. Reálna diskusia o spoluúčasti či vyňatí niektorých liekov a služieb zo zoznamu hradených dnes prakticky neexistuje. Viaceré nedávne opatrenia (fixný doplatok či úplné oslobodenie od doplatkov na lieky pre veľkú časť obyvateľstva) naopak smerujú k podporovaniu ilúzie, že solidárny zdravotný systém dokáže poskytnúť všetko všetkým a zadarmo.&lt;/em&gt;&lt;/p&gt;&lt;p&gt;&amp;nbsp;&lt;/p&gt;&lt;p&gt;&lt;em&gt;Opatrenie: Otvoriť diskusiu o spoluúčasti pacientov pri „spotrebných“ výdavkoch na lieky.&lt;/em&gt;&lt;/p&gt;&lt;p&gt;&amp;nbsp;&lt;/p&gt;&lt;p&gt;&lt;em&gt;8. Nielen liekmi je pacient živý&lt;/em&gt;&lt;/p&gt;&lt;p&gt;&amp;nbsp;&lt;/p&gt;&lt;p&gt;&lt;em&gt;Technické zmeny v liekovej politike by nemali zakrývať celkový pohľad na kvalitu života pacienta. K tomu patrí ale aj veci ako manažment a cestovná mapa pacienta, zlepšenie komunikácie medzi lekárom a pacientom, jasné čakacie doby či psychologická podpora, ale aj lepšia komunikácia medzi inštitúciami zdravotného a sociálneho systému, vrátane jasnejšieho rozdelenia kompetencií. Vážna choroba predstavuje väčšinou nielen zdravotný, ale aj sociálny problém. Zmeny v týchto oblastiach väčšinou nevyžadujú dramatické finančné investície, ale lepší manažérsky prístup.&lt;/em&gt;&lt;/p&gt;&lt;p&gt;&amp;nbsp;&lt;/p&gt;&lt;p&gt;&lt;em&gt;Opatrenie: V rámci budovania nároku pacienta zadefinovať „administratívne“ nároky a cestovné mapy aspoň pri ťažkých diagnózach.&lt;/em&gt;&lt;/p&gt;&lt;p&gt;&amp;nbsp;&lt;/p&gt;&lt;p&gt;&lt;em&gt;Všetky tvrdenia vychádzajú z našej publikácie Zázračné lieky: ako ich zaplatiť a neskrachovať, v ktorej sa nachádza aj prehľad ich zdrojov. &lt;/em&gt;&lt;a href="https://iness.sk/sites/default/files/documents/pdf/IPN/zazracne_lieky_iness_2020.pdf"&gt;&lt;em&gt;https://iness.sk/sites/default/files/documents/pdf/IPN/zazracne_lieky_iness_2020.pdf&lt;/em&gt;&lt;/a&gt;&lt;/p&gt;&lt;p&gt;&amp;nbsp;&lt;/p&gt;&lt;p&gt;&lt;em&gt;Činnosť INESS podporili aj poisťovne Dôvera a Union. Táto podpora nemá vplyv na výstupy inštitútu&lt;/em&gt;.“&lt;/p&gt;</vt:lpwstr>
  </property>
  <property fmtid="{D5CDD505-2E9C-101B-9397-08002B2CF9AE}" pid="4" name="FSC#SKEDITIONSLOVLEX@103.510:typpredpis">
    <vt:lpwstr>Zákon</vt:lpwstr>
  </property>
  <property fmtid="{D5CDD505-2E9C-101B-9397-08002B2CF9AE}" pid="5" name="FSC#SKEDITIONSLOVLEX@103.510:aktualnyrok">
    <vt:lpwstr>2022</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Mgr. Veronika Vincová</vt:lpwstr>
  </property>
  <property fmtid="{D5CDD505-2E9C-101B-9397-08002B2CF9AE}" pid="13" name="FSC#SKEDITIONSLOVLEX@103.510:zodppredkladatel">
    <vt:lpwstr>Vladimír Lengvarský</vt:lpwstr>
  </property>
  <property fmtid="{D5CDD505-2E9C-101B-9397-08002B2CF9AE}" pid="14" name="FSC#SKEDITIONSLOVLEX@103.510:dalsipredkladatel">
    <vt:lpwstr/>
  </property>
  <property fmtid="{D5CDD505-2E9C-101B-9397-08002B2CF9AE}" pid="15"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zdravotníctva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Plán legislatívnych úloh vlády SR na mesiace jún až december 2021</vt:lpwstr>
  </property>
  <property fmtid="{D5CDD505-2E9C-101B-9397-08002B2CF9AE}" pid="24"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S26301-2021-OL</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LP/2021/816</vt:lpwstr>
  </property>
  <property fmtid="{D5CDD505-2E9C-101B-9397-08002B2CF9AE}" pid="38" name="FSC#SKEDITIONSLOVLEX@103.510:typsprievdok">
    <vt:lpwstr>Príloha všeobecná</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a)	je upravený v primárnom práve Európskej únie, a to v Článku 168 ods. 7 Zmluvy o fungovaní Európskej únie,</vt:lpwstr>
  </property>
  <property fmtid="{D5CDD505-2E9C-101B-9397-08002B2CF9AE}" pid="48" name="FSC#SKEDITIONSLOVLEX@103.510:AttrStrListDocPropSekundarneLegPravoPO">
    <vt:lpwstr>b)	je upravený v sekundárnom práve Európskej únie prijatom pred nadobudnutím Lisabonskej zmluvy, a to v Smernici Rady 89/105/EHS z 21. decembra 1988 o transparentnosti opatrení upravujúcich stanovovanie cien humánnych liekov a ich zaraďovanie do vnútroštátnych systémov zdravotného poistenia (Mimoriadne vydanie Ú. v. EÚ, kap. 5/zv. 1; Ú. v. ES L 40, 11.2.1989) (ďalej len „smernica“)</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nie je upravený v judikatúre Súdneho dvora Európskej únie</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
  </property>
  <property fmtid="{D5CDD505-2E9C-101B-9397-08002B2CF9AE}" pid="62" name="FSC#SKEDITIONSLOVLEX@103.510:AttrStrDocPropVplyvPodnikatelskeProstr">
    <vt:lpwstr/>
  </property>
  <property fmtid="{D5CDD505-2E9C-101B-9397-08002B2CF9AE}" pid="63" name="FSC#SKEDITIONSLOVLEX@103.510:AttrStrDocPropVplyvSocialny">
    <vt:lpwstr/>
  </property>
  <property fmtid="{D5CDD505-2E9C-101B-9397-08002B2CF9AE}" pid="64" name="FSC#SKEDITIONSLOVLEX@103.510:AttrStrDocPropVplyvNaZivotProstr">
    <vt:lpwstr/>
  </property>
  <property fmtid="{D5CDD505-2E9C-101B-9397-08002B2CF9AE}" pid="65" name="FSC#SKEDITIONSLOVLEX@103.510:AttrStrDocPropVplyvNaInformatizaciu">
    <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vt:lpwstr>
  </property>
  <property fmtid="{D5CDD505-2E9C-101B-9397-08002B2CF9AE}" pid="143" name="FSC#SKEDITIONSLOVLEX@103.510:funkciaZodpPredAkuzativ">
    <vt:lpwstr>ministra</vt:lpwstr>
  </property>
  <property fmtid="{D5CDD505-2E9C-101B-9397-08002B2CF9AE}" pid="144" name="FSC#SKEDITIONSLOVLEX@103.510:funkciaZodpPredDativ">
    <vt:lpwstr>ministrovi</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Vladimír Lengvarský_x000d_
minister</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align="center"&gt;Predkladaným materiálom vláda realizuje svoju úlohu zlepšiť podmienky na vstup preukázateľne účinných inovatívnych liekov na náš trh, ku ktorej sa zaviazala v Programovom vyhlásení vlády. Jeho cieľom je odstrániť rozdielny prístup pacientov k&amp;nbsp;liečbe inovatívnymi liekmi prostredníctvom podpory vstupu nových liekov na trh tak, aby vynakladanie prostriedkov verejného zdravotného poistenia na tieto lieky bolo efektívne a&amp;nbsp;účelné a&amp;nbsp;zabezpečovalo finančnú stabilitu tohto systému.&lt;/p&gt;&lt;p&gt;&amp;nbsp;&lt;/p&gt;&lt;p&gt;V súčasnosti väčšina nových inovatívnych liekov je hradená v&amp;nbsp;tzv. výnimkovom režime. V&amp;nbsp;tomto režime je na posúdení a&amp;nbsp;uvážení zdravotnej poisťovne, či liek z&amp;nbsp;prostriedkov verejného zdravotného poistenia uhradí alebo nie. Rozhodnutia zdravotných poisťovní o&amp;nbsp;úhrade toho ktorého lieku sa v&amp;nbsp;jednotlivých prípadoch odlišujú. Z&amp;nbsp;uvedeného dôvodu prístup pacientov k&amp;nbsp;liečbe liekom sa líši v&amp;nbsp;závislosti od zdravotnej poisťovne, v&amp;nbsp;ktorej je pacient poistený.&lt;/p&gt;&lt;p&gt;&amp;nbsp;&lt;/p&gt;&lt;p&gt;Liek je z&amp;nbsp;prostriedkov verejného zdravotného poistenia bez akýchkoľvek rozdielov uhrádzaný všetkými zdravotnými poisťovňami, ak je zaradený v&amp;nbsp;zozname kategorizovaných liekov. Za účelom odstránenia rozdielov v&amp;nbsp;prístupe pacientov k&amp;nbsp;liečbe inovatívnymi liekmi je preto nevyhnutné podporiť vstup inovatívnych liekov do zoznamu kategorizovaných liekov, teda podporiť ich presun z&amp;nbsp;výnimkového režimu do režimu kategorizácie.&lt;/p&gt;&lt;p&gt;Zároveň je však nevyhnutné, aby z&amp;nbsp;prostriedkov verejného zdravotného poistenia boli lieky uhrádzané vo výške zodpovedajúcej náležite preukázanému klinickému prínosu, ktorý liek pacientovi prináša, a&amp;nbsp;vynakladanie verejných zdrojov bolo tak efektívne a&amp;nbsp;účelné.&lt;/p&gt;&lt;p&gt;Za účelom dosiahnutia vyššie uvedených cieľov obsahom predkladaného materiálu sú&lt;/p&gt;&lt;ul&gt;	&lt;li&gt;	&lt;p&gt;zmeny v&amp;nbsp;postupoch určených na podporu zabezpečenia štandardnej úhrady liekov (zmeny v&amp;nbsp;postupe uzatvárania zmlúv o&amp;nbsp;podmienkach úhrady lieku či v&amp;nbsp;postupe určovania podmienenej úhrady);&lt;/p&gt;	&lt;/li&gt;	&lt;li&gt;	&lt;p&gt;zavedenie nových nástrojov zabezpečujúcich efektívne a&amp;nbsp;účelné vynakladanie zdrojov (zavedenie nových procesných postup pre určovanie, zmenu a&amp;nbsp;zrušovanie úhradových skupín);&lt;/p&gt;	&lt;/li&gt;	&lt;li&gt;	&lt;p&gt;zmeny v&amp;nbsp;postupoch zabezpečujúcich úsporu nákladov vynakladaných na lieky (zmeny v revízii úhrad, referencovaní či vstupe generických a&amp;nbsp;biologicky podobných liekov).&lt;/p&gt;	&lt;/li&gt;&lt;/ul&gt;&lt;p&gt;Predmetom predkladaného materiálu je taktiež právna úprava zdravotníckych pomôcok, špeciálneho zdravotníckeho materiálu a&amp;nbsp;dietetických potravín. Predkladaný materiál obsahuje okrem iného zavedenie výnimky z&amp;nbsp;povinnosti predkladať medicínsko-ekonomický rozbor a&amp;nbsp;možnosti uzatvoriť zmluvu o&amp;nbsp;podmienkach úhrady zdravotníckej pomôcky, špeciálneho zdravotníckeho materiálu alebo dietetickej potraviny medzi ministerstvom alebo zdravotnou poisťovňou na jednej strane a&amp;nbsp;výrobcom alebo veľkodistribútorom zdravotníckej pomôcky, špeciálneho zdravotníckeho materiálu alebo dietetickej potraviny na druhej strane&lt;/p&gt;&lt;p&gt;Návrh zákona nemá byť predmetom vnútrokomunitárneho pripomienkového konania.&lt;/p&gt;&lt;p&gt;Termín nadobudnutia účinnosti novely zákona sa za účelom sprístupnenia inovatívnych liekov s klinickým prínosom pacientom v&amp;nbsp;čo najkratšom možnom čase navrhuje na 1. mája 2022.&lt;/p&gt;</vt:lpwstr>
  </property>
  <property fmtid="{D5CDD505-2E9C-101B-9397-08002B2CF9AE}" pid="151" name="FSC#SKEDITIONSLOVLEX@103.510:vytvorenedna">
    <vt:lpwstr>31. 12. 2021</vt:lpwstr>
  </property>
  <property fmtid="{D5CDD505-2E9C-101B-9397-08002B2CF9AE}" pid="152" name="FSC#COOSYSTEM@1.1:Container">
    <vt:lpwstr>COO.2145.1000.3.4771089</vt:lpwstr>
  </property>
  <property fmtid="{D5CDD505-2E9C-101B-9397-08002B2CF9AE}" pid="153" name="FSC#FSCFOLIO@1.1001:docpropproject">
    <vt:lpwstr/>
  </property>
</Properties>
</file>