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A9" w:rsidRPr="006045CB" w:rsidRDefault="000A70A9" w:rsidP="00AF0A3B">
      <w:pPr>
        <w:spacing w:after="0" w:line="240" w:lineRule="auto"/>
        <w:contextualSpacing/>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rsidR="000A70A9" w:rsidRPr="00B043B4" w:rsidRDefault="000A70A9" w:rsidP="00AF0A3B">
      <w:pPr>
        <w:spacing w:after="0" w:line="240"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A70A9" w:rsidRPr="00B043B4" w:rsidTr="00460B46">
        <w:tc>
          <w:tcPr>
            <w:tcW w:w="9180" w:type="dxa"/>
            <w:gridSpan w:val="11"/>
            <w:tcBorders>
              <w:bottom w:val="single" w:sz="4" w:space="0" w:color="FFFFFF"/>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0A70A9" w:rsidRPr="00B043B4" w:rsidTr="00460B46">
        <w:tc>
          <w:tcPr>
            <w:tcW w:w="9180" w:type="dxa"/>
            <w:gridSpan w:val="11"/>
            <w:tcBorders>
              <w:bottom w:val="single" w:sz="4" w:space="0" w:color="FFFFFF"/>
            </w:tcBorders>
            <w:shd w:val="clear" w:color="auto" w:fill="E2E2E2"/>
          </w:tcPr>
          <w:p w:rsidR="000A70A9" w:rsidRPr="00B043B4" w:rsidRDefault="000A70A9" w:rsidP="00AF0A3B">
            <w:pPr>
              <w:spacing w:after="0" w:line="240"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0A70A9" w:rsidRPr="00B043B4" w:rsidTr="00460B46">
        <w:tc>
          <w:tcPr>
            <w:tcW w:w="9180" w:type="dxa"/>
            <w:gridSpan w:val="11"/>
            <w:tcBorders>
              <w:top w:val="single" w:sz="4" w:space="0" w:color="FFFFFF"/>
              <w:bottom w:val="single" w:sz="4" w:space="0" w:color="auto"/>
            </w:tcBorders>
          </w:tcPr>
          <w:p w:rsidR="00AF0A3B" w:rsidRDefault="000A70A9" w:rsidP="00E63142">
            <w:pPr>
              <w:spacing w:after="0" w:line="240" w:lineRule="auto"/>
              <w:contextualSpacing/>
              <w:jc w:val="both"/>
              <w:rPr>
                <w:rFonts w:ascii="Times New Roman" w:eastAsia="Times New Roman" w:hAnsi="Times New Roman" w:cs="Times New Roman"/>
                <w:sz w:val="20"/>
                <w:szCs w:val="20"/>
                <w:lang w:eastAsia="sk-SK"/>
              </w:rPr>
            </w:pPr>
            <w:r w:rsidRPr="00B919A6">
              <w:rPr>
                <w:rFonts w:ascii="Times New Roman" w:eastAsia="Times New Roman" w:hAnsi="Times New Roman" w:cs="Times New Roman"/>
                <w:sz w:val="20"/>
                <w:szCs w:val="20"/>
                <w:lang w:eastAsia="sk-SK"/>
              </w:rPr>
              <w:t>Zákon, ktorým sa mení a dopĺňa zákon Národnej rady Slovenskej republiky č. 171/1993 Z. z. o Policajnom zbore v znení neskorších predpisov a ktorým sa menia a dopĺňajú niektoré zákony</w:t>
            </w:r>
          </w:p>
          <w:p w:rsidR="00AF0A3B" w:rsidRPr="00B043B4" w:rsidRDefault="00AF0A3B" w:rsidP="00AF0A3B">
            <w:pPr>
              <w:spacing w:after="0" w:line="240" w:lineRule="auto"/>
              <w:contextualSpacing/>
              <w:rPr>
                <w:rFonts w:ascii="Times New Roman" w:eastAsia="Times New Roman" w:hAnsi="Times New Roman" w:cs="Times New Roman"/>
                <w:sz w:val="20"/>
                <w:szCs w:val="20"/>
                <w:lang w:eastAsia="sk-SK"/>
              </w:rPr>
            </w:pPr>
          </w:p>
        </w:tc>
      </w:tr>
      <w:tr w:rsidR="000A70A9" w:rsidRPr="00B043B4" w:rsidTr="00460B46">
        <w:tc>
          <w:tcPr>
            <w:tcW w:w="9180" w:type="dxa"/>
            <w:gridSpan w:val="11"/>
            <w:tcBorders>
              <w:top w:val="single" w:sz="4" w:space="0" w:color="auto"/>
              <w:left w:val="single" w:sz="4" w:space="0" w:color="auto"/>
              <w:bottom w:val="single" w:sz="4" w:space="0" w:color="FFFFFF"/>
            </w:tcBorders>
            <w:shd w:val="clear" w:color="auto" w:fill="E2E2E2"/>
          </w:tcPr>
          <w:p w:rsidR="000A70A9" w:rsidRPr="00B043B4" w:rsidRDefault="000A70A9" w:rsidP="00AF0A3B">
            <w:pPr>
              <w:spacing w:after="0" w:line="240"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0A70A9" w:rsidRPr="00B043B4" w:rsidTr="00460B46">
        <w:tc>
          <w:tcPr>
            <w:tcW w:w="9180" w:type="dxa"/>
            <w:gridSpan w:val="11"/>
            <w:tcBorders>
              <w:top w:val="single" w:sz="4" w:space="0" w:color="FFFFFF"/>
              <w:left w:val="single" w:sz="4" w:space="0" w:color="auto"/>
              <w:bottom w:val="single" w:sz="4" w:space="0" w:color="auto"/>
            </w:tcBorders>
            <w:shd w:val="clear" w:color="auto" w:fill="FFFFFF"/>
          </w:tcPr>
          <w:p w:rsidR="000A70A9" w:rsidRDefault="000A70A9"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p w:rsidR="00AF0A3B" w:rsidRPr="00B043B4" w:rsidRDefault="00AF0A3B" w:rsidP="00AF0A3B">
            <w:pPr>
              <w:spacing w:after="0" w:line="240" w:lineRule="auto"/>
              <w:contextualSpacing/>
              <w:rPr>
                <w:rFonts w:ascii="Times New Roman" w:eastAsia="Times New Roman" w:hAnsi="Times New Roman" w:cs="Times New Roman"/>
                <w:sz w:val="20"/>
                <w:szCs w:val="20"/>
                <w:lang w:eastAsia="sk-SK"/>
              </w:rPr>
            </w:pPr>
          </w:p>
        </w:tc>
      </w:tr>
      <w:tr w:rsidR="000A70A9" w:rsidRPr="00B043B4" w:rsidTr="00460B4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0A70A9" w:rsidRPr="00B043B4" w:rsidRDefault="000A70A9" w:rsidP="00AF0A3B">
            <w:pPr>
              <w:spacing w:after="0" w:line="240"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0A70A9" w:rsidRPr="00B043B4" w:rsidTr="00460B46">
        <w:tc>
          <w:tcPr>
            <w:tcW w:w="4212" w:type="dxa"/>
            <w:gridSpan w:val="2"/>
            <w:vMerge/>
            <w:tcBorders>
              <w:top w:val="nil"/>
              <w:left w:val="single" w:sz="4" w:space="0" w:color="auto"/>
              <w:bottom w:val="single" w:sz="4" w:space="0" w:color="FFFFFF"/>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0A70A9" w:rsidRPr="00B043B4" w:rsidRDefault="000A70A9" w:rsidP="00AF0A3B">
            <w:pPr>
              <w:spacing w:after="0" w:line="240" w:lineRule="auto"/>
              <w:ind w:left="175" w:hanging="175"/>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0A70A9" w:rsidRPr="00B043B4" w:rsidTr="00460B46">
        <w:tc>
          <w:tcPr>
            <w:tcW w:w="4212" w:type="dxa"/>
            <w:gridSpan w:val="2"/>
            <w:vMerge/>
            <w:tcBorders>
              <w:top w:val="nil"/>
              <w:left w:val="single" w:sz="4" w:space="0" w:color="auto"/>
              <w:bottom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A70A9" w:rsidRPr="00B043B4" w:rsidRDefault="003A081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0A70A9" w:rsidRPr="00B043B4" w:rsidTr="00460B46">
        <w:tc>
          <w:tcPr>
            <w:tcW w:w="9180" w:type="dxa"/>
            <w:gridSpan w:val="11"/>
            <w:tcBorders>
              <w:top w:val="single" w:sz="4" w:space="0" w:color="auto"/>
              <w:left w:val="single" w:sz="4" w:space="0" w:color="auto"/>
              <w:bottom w:val="single" w:sz="4" w:space="0" w:color="FFFFFF"/>
            </w:tcBorders>
            <w:shd w:val="clear" w:color="auto" w:fill="FFFFFF"/>
          </w:tcPr>
          <w:p w:rsidR="000A70A9" w:rsidRDefault="000A70A9" w:rsidP="00AF0A3B">
            <w:pPr>
              <w:spacing w:after="0" w:line="240" w:lineRule="auto"/>
              <w:contextualSpacing/>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82132B" w:rsidRPr="0082132B" w:rsidRDefault="0082132B" w:rsidP="0082132B">
            <w:pPr>
              <w:pStyle w:val="Odsekzoznamu"/>
              <w:numPr>
                <w:ilvl w:val="0"/>
                <w:numId w:val="4"/>
              </w:numPr>
              <w:spacing w:after="0" w:line="240" w:lineRule="auto"/>
              <w:ind w:left="284" w:hanging="284"/>
              <w:jc w:val="both"/>
              <w:rPr>
                <w:rFonts w:ascii="Times New Roman" w:eastAsia="Times New Roman" w:hAnsi="Times New Roman" w:cs="Times New Roman"/>
                <w:sz w:val="20"/>
                <w:szCs w:val="20"/>
                <w:lang w:eastAsia="sk-SK"/>
              </w:rPr>
            </w:pPr>
            <w:r w:rsidRPr="0082132B">
              <w:rPr>
                <w:rFonts w:ascii="Times New Roman" w:eastAsia="Times New Roman" w:hAnsi="Times New Roman" w:cs="Times New Roman"/>
                <w:sz w:val="20"/>
                <w:szCs w:val="20"/>
                <w:lang w:eastAsia="sk-SK"/>
              </w:rPr>
              <w:t>smernica Rady 2004/82/ES z 29. apríla 2004 o povinnosti dopravcov oznamovať údaje o cestujúcich (Ú. v. EÚ L 261, 6. 8. 2004; Mimoriadne vydanie Ú. v. EÚ kap. 19/zv. 7)</w:t>
            </w:r>
          </w:p>
          <w:p w:rsidR="0082132B" w:rsidRPr="0082132B" w:rsidRDefault="0082132B" w:rsidP="0082132B">
            <w:pPr>
              <w:pStyle w:val="Odsekzoznamu"/>
              <w:numPr>
                <w:ilvl w:val="0"/>
                <w:numId w:val="4"/>
              </w:numPr>
              <w:spacing w:after="0" w:line="240" w:lineRule="auto"/>
              <w:ind w:left="284" w:hanging="284"/>
              <w:jc w:val="both"/>
              <w:rPr>
                <w:rFonts w:ascii="Times New Roman" w:eastAsia="Times New Roman" w:hAnsi="Times New Roman" w:cs="Times New Roman"/>
                <w:sz w:val="20"/>
                <w:szCs w:val="20"/>
                <w:lang w:eastAsia="sk-SK"/>
              </w:rPr>
            </w:pPr>
            <w:r w:rsidRPr="0082132B">
              <w:rPr>
                <w:rFonts w:ascii="Times New Roman" w:eastAsia="Times New Roman" w:hAnsi="Times New Roman" w:cs="Times New Roman"/>
                <w:sz w:val="20"/>
                <w:szCs w:val="20"/>
                <w:lang w:eastAsia="sk-SK"/>
              </w:rPr>
              <w:t>smernica Európskeho parlamentu a Rady (EÚ) 2016/681 z 27. apríla 2016 o využívaní údajov zo záznamov o cestujúcich (PNR) na účely prevencie, odhaľovania, vyšetrovania a stíhania teroristických trestných činov a závažnej trestnej činnosti (Ú. v. EÚ L 119, 4. 5. 2016)</w:t>
            </w:r>
          </w:p>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p>
        </w:tc>
      </w:tr>
      <w:tr w:rsidR="000A70A9" w:rsidRPr="00B043B4" w:rsidTr="00460B46">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0A70A9" w:rsidRPr="00B043B4" w:rsidRDefault="000A70A9" w:rsidP="00AF0A3B">
            <w:pPr>
              <w:spacing w:after="0" w:line="240"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0A70A9" w:rsidRPr="00B043B4" w:rsidRDefault="000A70A9" w:rsidP="00AF3DC4">
            <w:pPr>
              <w:spacing w:after="0" w:line="240" w:lineRule="auto"/>
              <w:contextualSpacing/>
              <w:rPr>
                <w:rFonts w:ascii="Times New Roman" w:eastAsia="Times New Roman" w:hAnsi="Times New Roman" w:cs="Times New Roman"/>
                <w:i/>
                <w:sz w:val="20"/>
                <w:szCs w:val="20"/>
                <w:lang w:eastAsia="sk-SK"/>
              </w:rPr>
            </w:pPr>
            <w:r w:rsidRPr="00870970">
              <w:rPr>
                <w:rFonts w:ascii="Times New Roman" w:eastAsia="Times New Roman" w:hAnsi="Times New Roman" w:cs="Times New Roman"/>
                <w:sz w:val="20"/>
                <w:szCs w:val="20"/>
                <w:lang w:eastAsia="sk-SK"/>
              </w:rPr>
              <w:t>16.</w:t>
            </w:r>
            <w:r w:rsidR="00AF0A3B">
              <w:rPr>
                <w:rFonts w:ascii="Times New Roman" w:eastAsia="Times New Roman" w:hAnsi="Times New Roman" w:cs="Times New Roman"/>
                <w:sz w:val="20"/>
                <w:szCs w:val="20"/>
                <w:lang w:eastAsia="sk-SK"/>
              </w:rPr>
              <w:t xml:space="preserve"> </w:t>
            </w:r>
            <w:r w:rsidRPr="00870970">
              <w:rPr>
                <w:rFonts w:ascii="Times New Roman" w:eastAsia="Times New Roman" w:hAnsi="Times New Roman" w:cs="Times New Roman"/>
                <w:sz w:val="20"/>
                <w:szCs w:val="20"/>
                <w:lang w:eastAsia="sk-SK"/>
              </w:rPr>
              <w:t>7.</w:t>
            </w:r>
            <w:r w:rsidR="00AF0A3B">
              <w:rPr>
                <w:rFonts w:ascii="Times New Roman" w:eastAsia="Times New Roman" w:hAnsi="Times New Roman" w:cs="Times New Roman"/>
                <w:sz w:val="20"/>
                <w:szCs w:val="20"/>
                <w:lang w:eastAsia="sk-SK"/>
              </w:rPr>
              <w:t xml:space="preserve"> </w:t>
            </w:r>
            <w:r w:rsidRPr="00870970">
              <w:rPr>
                <w:rFonts w:ascii="Times New Roman" w:eastAsia="Times New Roman" w:hAnsi="Times New Roman" w:cs="Times New Roman"/>
                <w:sz w:val="20"/>
                <w:szCs w:val="20"/>
                <w:lang w:eastAsia="sk-SK"/>
              </w:rPr>
              <w:t>2021</w:t>
            </w:r>
            <w:r w:rsidR="00AF0A3B">
              <w:rPr>
                <w:rFonts w:ascii="Times New Roman" w:eastAsia="Times New Roman" w:hAnsi="Times New Roman" w:cs="Times New Roman"/>
                <w:sz w:val="20"/>
                <w:szCs w:val="20"/>
                <w:lang w:eastAsia="sk-SK"/>
              </w:rPr>
              <w:t xml:space="preserve"> </w:t>
            </w:r>
            <w:r w:rsidR="00AF3DC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27.</w:t>
            </w:r>
            <w:r w:rsidR="00AF0A3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r w:rsidR="00AF0A3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2021</w:t>
            </w:r>
          </w:p>
        </w:tc>
      </w:tr>
      <w:tr w:rsidR="000A70A9" w:rsidRPr="00B043B4" w:rsidTr="00460B4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spacing w:after="0" w:line="240"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0A70A9" w:rsidRPr="00870970" w:rsidRDefault="00AF3DC4"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 8 – 10. 9. 2021</w:t>
            </w:r>
          </w:p>
        </w:tc>
      </w:tr>
      <w:tr w:rsidR="000A70A9" w:rsidRPr="00B043B4" w:rsidTr="00460B46">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spacing w:after="0" w:line="240"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0A70A9" w:rsidRPr="00B043B4" w:rsidRDefault="000A70A9" w:rsidP="00AF0A3B">
            <w:pPr>
              <w:spacing w:after="0" w:line="240" w:lineRule="auto"/>
              <w:contextualSpacing/>
              <w:rPr>
                <w:rFonts w:ascii="Times New Roman" w:eastAsia="Times New Roman" w:hAnsi="Times New Roman" w:cs="Times New Roman"/>
                <w:i/>
                <w:sz w:val="20"/>
                <w:szCs w:val="20"/>
                <w:lang w:eastAsia="sk-SK"/>
              </w:rPr>
            </w:pPr>
          </w:p>
        </w:tc>
      </w:tr>
      <w:tr w:rsidR="000A70A9" w:rsidRPr="00B043B4" w:rsidTr="00460B46">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spacing w:after="0" w:line="240"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0A70A9" w:rsidRPr="00870970" w:rsidRDefault="00AF3DC4"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december </w:t>
            </w:r>
            <w:r w:rsidR="000A70A9">
              <w:rPr>
                <w:rFonts w:ascii="Times New Roman" w:eastAsia="Times New Roman" w:hAnsi="Times New Roman" w:cs="Times New Roman"/>
                <w:sz w:val="20"/>
                <w:szCs w:val="20"/>
                <w:lang w:eastAsia="sk-SK"/>
              </w:rPr>
              <w:t xml:space="preserve"> 2021</w:t>
            </w:r>
          </w:p>
        </w:tc>
      </w:tr>
      <w:tr w:rsidR="000A70A9" w:rsidRPr="00B043B4" w:rsidTr="00460B46">
        <w:tc>
          <w:tcPr>
            <w:tcW w:w="9180" w:type="dxa"/>
            <w:gridSpan w:val="11"/>
            <w:tcBorders>
              <w:top w:val="single" w:sz="4" w:space="0" w:color="auto"/>
              <w:left w:val="nil"/>
              <w:bottom w:val="single" w:sz="4" w:space="0" w:color="auto"/>
              <w:right w:val="nil"/>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p>
        </w:tc>
      </w:tr>
      <w:tr w:rsidR="000A70A9" w:rsidRPr="00B043B4" w:rsidTr="00460B4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0A70A9" w:rsidRPr="00B043B4" w:rsidTr="00460B46">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A70A9" w:rsidRDefault="000A70A9" w:rsidP="00AF0A3B">
            <w:pPr>
              <w:spacing w:after="0" w:line="240" w:lineRule="auto"/>
              <w:contextualSpacing/>
              <w:jc w:val="both"/>
              <w:rPr>
                <w:rFonts w:ascii="Times New Roman" w:eastAsia="Times New Roman" w:hAnsi="Times New Roman" w:cs="Times New Roman"/>
                <w:color w:val="000000" w:themeColor="text1"/>
                <w:sz w:val="20"/>
                <w:szCs w:val="20"/>
                <w:lang w:eastAsia="sk-SK"/>
              </w:rPr>
            </w:pPr>
            <w:r w:rsidRPr="00CE3D2C">
              <w:rPr>
                <w:rFonts w:ascii="Times New Roman" w:eastAsia="Times New Roman" w:hAnsi="Times New Roman" w:cs="Times New Roman"/>
                <w:color w:val="000000" w:themeColor="text1"/>
                <w:sz w:val="20"/>
                <w:szCs w:val="20"/>
                <w:lang w:eastAsia="sk-SK"/>
              </w:rPr>
              <w:t xml:space="preserve">Potreba vypracovať návrh zákona vyplýva z dôvodu implementácie nariadenia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07. 12. 2018) v platnom znení. Nariadenie (EÚ) 2018/1862 rozširuje okruh používateľov Schengenského informačného systému pre orgány registrujúce lode a lodné motory, lietadlá a letecké motory. Ďalej sa pozmeňuje inštitút monitoringu, pričom je možné vykonávať monitorovanie aj po ďalších veciach, čím sa rozšíri doterajší okruh objektov, po ktorých je možné vykonávať monitorovanie. </w:t>
            </w:r>
          </w:p>
          <w:p w:rsidR="00AF0A3B" w:rsidRPr="00AF0A3B" w:rsidRDefault="00AF0A3B" w:rsidP="00AF0A3B">
            <w:pPr>
              <w:spacing w:after="0" w:line="240" w:lineRule="auto"/>
              <w:contextualSpacing/>
              <w:jc w:val="both"/>
              <w:rPr>
                <w:rFonts w:ascii="Times New Roman" w:eastAsia="Times New Roman" w:hAnsi="Times New Roman" w:cs="Times New Roman"/>
                <w:color w:val="000000" w:themeColor="text1"/>
                <w:sz w:val="20"/>
                <w:szCs w:val="20"/>
                <w:lang w:eastAsia="sk-SK"/>
              </w:rPr>
            </w:pPr>
          </w:p>
        </w:tc>
      </w:tr>
      <w:tr w:rsidR="000A70A9" w:rsidRPr="00B043B4" w:rsidTr="00460B46">
        <w:tc>
          <w:tcPr>
            <w:tcW w:w="9180" w:type="dxa"/>
            <w:gridSpan w:val="11"/>
            <w:tcBorders>
              <w:top w:val="single" w:sz="4" w:space="0" w:color="auto"/>
              <w:left w:val="single" w:sz="4" w:space="0" w:color="auto"/>
              <w:bottom w:val="nil"/>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0A70A9" w:rsidRPr="00B043B4" w:rsidTr="00460B46">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A70A9" w:rsidRDefault="000A70A9" w:rsidP="00AF0A3B">
            <w:pPr>
              <w:spacing w:after="0" w:line="240" w:lineRule="auto"/>
              <w:contextualSpacing/>
              <w:jc w:val="both"/>
              <w:rPr>
                <w:i/>
                <w:color w:val="000000" w:themeColor="text1"/>
                <w:sz w:val="20"/>
                <w:szCs w:val="20"/>
              </w:rPr>
            </w:pPr>
            <w:r w:rsidRPr="00316998">
              <w:rPr>
                <w:rFonts w:ascii="Times New Roman" w:hAnsi="Times New Roman" w:cs="Times New Roman"/>
                <w:color w:val="000000" w:themeColor="text1"/>
                <w:sz w:val="20"/>
                <w:szCs w:val="20"/>
              </w:rPr>
              <w:t>Udelenie prístupu k údajom v Schengenskom informačnom systéme pre orgány registrujúce lode a lodné motory, lietadlá a letecké motory. Nastavenie pravidiel a činností dotknutých orgánov v prípade stotožnenia registrovaného objektu s objektom v pátraní.</w:t>
            </w:r>
            <w:r w:rsidRPr="00316998">
              <w:rPr>
                <w:i/>
                <w:color w:val="000000" w:themeColor="text1"/>
                <w:sz w:val="20"/>
                <w:szCs w:val="20"/>
              </w:rPr>
              <w:t xml:space="preserve"> </w:t>
            </w:r>
          </w:p>
          <w:p w:rsidR="00AF0A3B" w:rsidRPr="004E0AD0" w:rsidRDefault="00AF0A3B" w:rsidP="00AF0A3B">
            <w:pPr>
              <w:spacing w:after="0" w:line="240" w:lineRule="auto"/>
              <w:contextualSpacing/>
              <w:jc w:val="both"/>
              <w:rPr>
                <w:sz w:val="20"/>
                <w:szCs w:val="20"/>
              </w:rPr>
            </w:pPr>
          </w:p>
        </w:tc>
      </w:tr>
      <w:tr w:rsidR="000A70A9" w:rsidRPr="00B043B4" w:rsidTr="00460B46">
        <w:tc>
          <w:tcPr>
            <w:tcW w:w="9180" w:type="dxa"/>
            <w:gridSpan w:val="11"/>
            <w:tcBorders>
              <w:top w:val="single" w:sz="4" w:space="0" w:color="auto"/>
              <w:left w:val="single" w:sz="4" w:space="0" w:color="auto"/>
              <w:bottom w:val="nil"/>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0A70A9" w:rsidRPr="00B043B4" w:rsidTr="00460B46">
        <w:tc>
          <w:tcPr>
            <w:tcW w:w="9180" w:type="dxa"/>
            <w:gridSpan w:val="11"/>
            <w:tcBorders>
              <w:top w:val="nil"/>
              <w:left w:val="single" w:sz="4" w:space="0" w:color="auto"/>
              <w:bottom w:val="single" w:sz="4" w:space="0" w:color="auto"/>
              <w:right w:val="single" w:sz="4" w:space="0" w:color="auto"/>
            </w:tcBorders>
            <w:shd w:val="clear" w:color="auto" w:fill="FFFFFF"/>
          </w:tcPr>
          <w:p w:rsidR="000A70A9" w:rsidRPr="00316998" w:rsidRDefault="000A70A9" w:rsidP="00AF0A3B">
            <w:pPr>
              <w:numPr>
                <w:ilvl w:val="0"/>
                <w:numId w:val="2"/>
              </w:numPr>
              <w:spacing w:after="0" w:line="240" w:lineRule="auto"/>
              <w:ind w:left="284" w:hanging="284"/>
              <w:contextualSpacing/>
              <w:rPr>
                <w:rFonts w:ascii="Times New Roman" w:eastAsia="Times New Roman" w:hAnsi="Times New Roman" w:cs="Times New Roman"/>
                <w:bCs/>
                <w:color w:val="000000" w:themeColor="text1"/>
                <w:sz w:val="20"/>
                <w:szCs w:val="20"/>
                <w:lang w:eastAsia="sk-SK"/>
              </w:rPr>
            </w:pPr>
            <w:r w:rsidRPr="00316998">
              <w:rPr>
                <w:rFonts w:ascii="Times New Roman" w:eastAsia="Times New Roman" w:hAnsi="Times New Roman" w:cs="Times New Roman"/>
                <w:bCs/>
                <w:color w:val="000000" w:themeColor="text1"/>
                <w:sz w:val="20"/>
                <w:szCs w:val="20"/>
                <w:lang w:eastAsia="sk-SK"/>
              </w:rPr>
              <w:t xml:space="preserve">fyzické osoby </w:t>
            </w:r>
          </w:p>
          <w:p w:rsidR="000A70A9" w:rsidRPr="00316998" w:rsidRDefault="000A70A9" w:rsidP="00AF0A3B">
            <w:pPr>
              <w:numPr>
                <w:ilvl w:val="0"/>
                <w:numId w:val="2"/>
              </w:numPr>
              <w:spacing w:after="0" w:line="240" w:lineRule="auto"/>
              <w:ind w:left="284" w:hanging="284"/>
              <w:contextualSpacing/>
              <w:rPr>
                <w:rFonts w:ascii="Times New Roman" w:eastAsia="Times New Roman" w:hAnsi="Times New Roman" w:cs="Times New Roman"/>
                <w:bCs/>
                <w:color w:val="000000" w:themeColor="text1"/>
                <w:sz w:val="20"/>
                <w:szCs w:val="20"/>
                <w:lang w:eastAsia="sk-SK"/>
              </w:rPr>
            </w:pPr>
            <w:r w:rsidRPr="00316998">
              <w:rPr>
                <w:rFonts w:ascii="Times New Roman" w:eastAsia="Times New Roman" w:hAnsi="Times New Roman" w:cs="Times New Roman"/>
                <w:bCs/>
                <w:color w:val="000000" w:themeColor="text1"/>
                <w:sz w:val="20"/>
                <w:szCs w:val="20"/>
                <w:lang w:eastAsia="sk-SK"/>
              </w:rPr>
              <w:t>vlastník objektu registrovaného v Schengenskom informačnom systéme</w:t>
            </w:r>
          </w:p>
          <w:p w:rsidR="000A70A9" w:rsidRPr="00316998" w:rsidRDefault="000A70A9" w:rsidP="00AF0A3B">
            <w:pPr>
              <w:numPr>
                <w:ilvl w:val="0"/>
                <w:numId w:val="2"/>
              </w:numPr>
              <w:spacing w:after="0" w:line="240" w:lineRule="auto"/>
              <w:ind w:left="284" w:hanging="284"/>
              <w:contextualSpacing/>
              <w:rPr>
                <w:rFonts w:ascii="Times New Roman" w:eastAsia="Times New Roman" w:hAnsi="Times New Roman" w:cs="Times New Roman"/>
                <w:bCs/>
                <w:color w:val="000000" w:themeColor="text1"/>
                <w:sz w:val="20"/>
                <w:szCs w:val="20"/>
                <w:lang w:eastAsia="sk-SK"/>
              </w:rPr>
            </w:pPr>
            <w:r w:rsidRPr="00316998">
              <w:rPr>
                <w:rFonts w:ascii="Times New Roman" w:eastAsia="Times New Roman" w:hAnsi="Times New Roman" w:cs="Times New Roman"/>
                <w:bCs/>
                <w:color w:val="000000" w:themeColor="text1"/>
                <w:sz w:val="20"/>
                <w:szCs w:val="20"/>
                <w:lang w:eastAsia="sk-SK"/>
              </w:rPr>
              <w:t>záložný veriteľ</w:t>
            </w:r>
          </w:p>
          <w:p w:rsidR="000A70A9" w:rsidRPr="00AF0A3B" w:rsidRDefault="000A70A9" w:rsidP="00AF0A3B">
            <w:pPr>
              <w:numPr>
                <w:ilvl w:val="0"/>
                <w:numId w:val="2"/>
              </w:numPr>
              <w:spacing w:after="0" w:line="240" w:lineRule="auto"/>
              <w:ind w:left="284" w:hanging="284"/>
              <w:contextualSpacing/>
              <w:rPr>
                <w:rFonts w:ascii="Times New Roman" w:eastAsia="Times New Roman" w:hAnsi="Times New Roman" w:cs="Times New Roman"/>
                <w:bCs/>
                <w:i/>
                <w:sz w:val="20"/>
                <w:szCs w:val="20"/>
                <w:lang w:eastAsia="sk-SK"/>
              </w:rPr>
            </w:pPr>
            <w:r w:rsidRPr="00316998">
              <w:rPr>
                <w:rFonts w:ascii="Times New Roman" w:eastAsia="Times New Roman" w:hAnsi="Times New Roman" w:cs="Times New Roman"/>
                <w:bCs/>
                <w:color w:val="000000" w:themeColor="text1"/>
                <w:sz w:val="20"/>
                <w:szCs w:val="20"/>
                <w:lang w:eastAsia="sk-SK"/>
              </w:rPr>
              <w:t>Dopravný úrad</w:t>
            </w:r>
          </w:p>
          <w:p w:rsidR="00AF0A3B" w:rsidRPr="00B919A6" w:rsidRDefault="00AF0A3B" w:rsidP="00AF0A3B">
            <w:pPr>
              <w:spacing w:after="0" w:line="240" w:lineRule="auto"/>
              <w:ind w:left="284"/>
              <w:contextualSpacing/>
              <w:rPr>
                <w:rFonts w:ascii="Times New Roman" w:eastAsia="Times New Roman" w:hAnsi="Times New Roman" w:cs="Times New Roman"/>
                <w:bCs/>
                <w:i/>
                <w:sz w:val="20"/>
                <w:szCs w:val="20"/>
                <w:lang w:eastAsia="sk-SK"/>
              </w:rPr>
            </w:pPr>
          </w:p>
        </w:tc>
      </w:tr>
      <w:tr w:rsidR="000A70A9" w:rsidRPr="00B043B4" w:rsidTr="00460B46">
        <w:tc>
          <w:tcPr>
            <w:tcW w:w="9180" w:type="dxa"/>
            <w:gridSpan w:val="11"/>
            <w:tcBorders>
              <w:top w:val="single" w:sz="4" w:space="0" w:color="auto"/>
              <w:left w:val="single" w:sz="4" w:space="0" w:color="auto"/>
              <w:bottom w:val="nil"/>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0A70A9" w:rsidRPr="00B043B4" w:rsidTr="00AF0A3B">
        <w:trPr>
          <w:trHeight w:val="532"/>
        </w:trPr>
        <w:tc>
          <w:tcPr>
            <w:tcW w:w="9180" w:type="dxa"/>
            <w:gridSpan w:val="11"/>
            <w:tcBorders>
              <w:top w:val="nil"/>
              <w:left w:val="single" w:sz="4" w:space="0" w:color="auto"/>
              <w:bottom w:val="single" w:sz="4" w:space="0" w:color="auto"/>
              <w:right w:val="single" w:sz="4" w:space="0" w:color="auto"/>
            </w:tcBorders>
            <w:shd w:val="clear" w:color="auto" w:fill="FFFFFF"/>
          </w:tcPr>
          <w:p w:rsidR="000A70A9" w:rsidRDefault="000A70A9" w:rsidP="00AF0A3B">
            <w:pPr>
              <w:spacing w:after="0" w:line="240" w:lineRule="auto"/>
              <w:contextualSpacing/>
              <w:jc w:val="both"/>
              <w:rPr>
                <w:rFonts w:ascii="Times" w:hAnsi="Times" w:cs="Times"/>
                <w:color w:val="000000" w:themeColor="text1"/>
                <w:sz w:val="20"/>
                <w:szCs w:val="20"/>
              </w:rPr>
            </w:pPr>
            <w:r w:rsidRPr="00316998">
              <w:rPr>
                <w:rFonts w:ascii="Times" w:hAnsi="Times" w:cs="Times"/>
                <w:color w:val="000000" w:themeColor="text1"/>
                <w:sz w:val="20"/>
                <w:szCs w:val="20"/>
              </w:rPr>
              <w:t>Alternatívnym riešením je ponechanie súčasného stavu</w:t>
            </w:r>
            <w:r w:rsidR="00AF0A3B">
              <w:rPr>
                <w:rFonts w:ascii="Times" w:hAnsi="Times" w:cs="Times"/>
                <w:color w:val="000000" w:themeColor="text1"/>
                <w:sz w:val="20"/>
                <w:szCs w:val="20"/>
              </w:rPr>
              <w:t xml:space="preserve"> (nulový variant)</w:t>
            </w:r>
            <w:r w:rsidRPr="00316998">
              <w:rPr>
                <w:rFonts w:ascii="Times" w:hAnsi="Times" w:cs="Times"/>
                <w:color w:val="000000" w:themeColor="text1"/>
                <w:sz w:val="20"/>
                <w:szCs w:val="20"/>
              </w:rPr>
              <w:t>. V tomto prípade by to znamenalo nesplnenie povinností vyplývajúcich z nariadenia (EÚ) 2018/1862 a zároveň absenciu právnej úpravy v danej oblasti.</w:t>
            </w:r>
          </w:p>
          <w:p w:rsidR="00AF0A3B" w:rsidRPr="00B043B4" w:rsidRDefault="00AF0A3B" w:rsidP="00AF0A3B">
            <w:pPr>
              <w:spacing w:after="0" w:line="240" w:lineRule="auto"/>
              <w:contextualSpacing/>
              <w:jc w:val="both"/>
              <w:rPr>
                <w:rFonts w:ascii="Times New Roman" w:eastAsia="Times New Roman" w:hAnsi="Times New Roman" w:cs="Times New Roman"/>
                <w:i/>
                <w:sz w:val="20"/>
                <w:szCs w:val="20"/>
                <w:lang w:eastAsia="sk-SK"/>
              </w:rPr>
            </w:pPr>
          </w:p>
        </w:tc>
      </w:tr>
      <w:tr w:rsidR="000A70A9" w:rsidRPr="00B043B4" w:rsidTr="00460B4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0A70A9" w:rsidRPr="00B043B4" w:rsidTr="00460B46">
        <w:tc>
          <w:tcPr>
            <w:tcW w:w="6203" w:type="dxa"/>
            <w:gridSpan w:val="7"/>
            <w:tcBorders>
              <w:top w:val="single" w:sz="4" w:space="0" w:color="FFFFFF"/>
              <w:left w:val="single" w:sz="4" w:space="0" w:color="auto"/>
              <w:bottom w:val="nil"/>
              <w:right w:val="nil"/>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A70A9" w:rsidRPr="00B043B4" w:rsidRDefault="0028013D" w:rsidP="00AF0A3B">
            <w:pPr>
              <w:spacing w:after="0" w:line="240" w:lineRule="auto"/>
              <w:contextualSpacing/>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0A70A9" w:rsidRPr="00B043B4" w:rsidRDefault="0028013D" w:rsidP="00AF0A3B">
            <w:pPr>
              <w:spacing w:after="0" w:line="240" w:lineRule="auto"/>
              <w:contextualSpacing/>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sidRPr="00B043B4">
              <w:rPr>
                <w:rFonts w:ascii="Times New Roman" w:eastAsia="Times New Roman" w:hAnsi="Times New Roman" w:cs="Times New Roman"/>
                <w:b/>
                <w:sz w:val="20"/>
                <w:szCs w:val="20"/>
                <w:lang w:eastAsia="sk-SK"/>
              </w:rPr>
              <w:t xml:space="preserve">  Nie</w:t>
            </w:r>
          </w:p>
        </w:tc>
      </w:tr>
      <w:tr w:rsidR="000A70A9" w:rsidRPr="00B043B4" w:rsidTr="00460B46">
        <w:tc>
          <w:tcPr>
            <w:tcW w:w="9180" w:type="dxa"/>
            <w:gridSpan w:val="11"/>
            <w:tcBorders>
              <w:top w:val="nil"/>
              <w:left w:val="single" w:sz="4" w:space="0" w:color="auto"/>
              <w:bottom w:val="single" w:sz="4" w:space="0" w:color="auto"/>
              <w:right w:val="single" w:sz="4" w:space="0" w:color="auto"/>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0A70A9" w:rsidRDefault="00AF3DC4" w:rsidP="00AF3DC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Vykonávací predpis ministerstva dopravy k leteckému zákonu, ktorým sa ustanovia náležitosti</w:t>
            </w:r>
            <w:r w:rsidR="000A70A9" w:rsidRPr="00AF3DC4">
              <w:rPr>
                <w:rFonts w:ascii="Times New Roman" w:hAnsi="Times New Roman" w:cs="Times New Roman"/>
                <w:color w:val="000000" w:themeColor="text1"/>
                <w:sz w:val="20"/>
                <w:szCs w:val="20"/>
              </w:rPr>
              <w:t xml:space="preserve"> žiadosti o zápis </w:t>
            </w:r>
            <w:r w:rsidR="000A70A9" w:rsidRPr="00AF3DC4">
              <w:rPr>
                <w:rFonts w:ascii="Times New Roman" w:hAnsi="Times New Roman" w:cs="Times New Roman"/>
                <w:color w:val="000000" w:themeColor="text1"/>
                <w:sz w:val="20"/>
                <w:szCs w:val="20"/>
              </w:rPr>
              <w:lastRenderedPageBreak/>
              <w:t>objektu do príslušných registrov, žiadosti o zmenu údajov zapísaných v registri, žiadosti o výmaz objektu z registra; náležitosti žiadosti o predbežné pridelenie registrovej značky lietadlu a podrobnosti o prideľovaní registrových značiek a špeciálnych registrových značiek.</w:t>
            </w:r>
          </w:p>
          <w:p w:rsidR="00AF3DC4" w:rsidRPr="00AF3DC4" w:rsidRDefault="00AF3DC4" w:rsidP="00AF3DC4">
            <w:pPr>
              <w:spacing w:after="0" w:line="240" w:lineRule="auto"/>
              <w:jc w:val="both"/>
              <w:rPr>
                <w:rFonts w:ascii="Times New Roman" w:eastAsia="Times New Roman" w:hAnsi="Times New Roman" w:cs="Times New Roman"/>
                <w:sz w:val="20"/>
                <w:szCs w:val="20"/>
                <w:lang w:eastAsia="sk-SK"/>
              </w:rPr>
            </w:pPr>
          </w:p>
        </w:tc>
      </w:tr>
      <w:tr w:rsidR="000A70A9" w:rsidRPr="00B043B4" w:rsidTr="00460B4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0A70A9" w:rsidRPr="00B043B4" w:rsidTr="00460B46">
        <w:trPr>
          <w:trHeight w:val="157"/>
        </w:trPr>
        <w:tc>
          <w:tcPr>
            <w:tcW w:w="9180" w:type="dxa"/>
            <w:gridSpan w:val="11"/>
            <w:tcBorders>
              <w:top w:val="nil"/>
              <w:left w:val="single" w:sz="4" w:space="0" w:color="000000"/>
              <w:bottom w:val="nil"/>
              <w:right w:val="single" w:sz="4" w:space="0" w:color="auto"/>
            </w:tcBorders>
            <w:shd w:val="clear" w:color="auto" w:fill="FFFFFF"/>
          </w:tcPr>
          <w:p w:rsidR="000A70A9" w:rsidRPr="00AF3DC4" w:rsidRDefault="0082132B" w:rsidP="00AF3DC4">
            <w:pPr>
              <w:spacing w:after="0" w:line="240" w:lineRule="auto"/>
              <w:jc w:val="both"/>
              <w:rPr>
                <w:rFonts w:ascii="Times New Roman" w:eastAsia="Times New Roman" w:hAnsi="Times New Roman" w:cs="Times New Roman"/>
                <w:sz w:val="20"/>
                <w:szCs w:val="20"/>
                <w:lang w:eastAsia="sk-SK"/>
              </w:rPr>
            </w:pPr>
            <w:r w:rsidRPr="00AF3DC4">
              <w:rPr>
                <w:rFonts w:ascii="Times New Roman" w:eastAsia="Times New Roman" w:hAnsi="Times New Roman" w:cs="Times New Roman"/>
                <w:sz w:val="20"/>
                <w:szCs w:val="20"/>
                <w:lang w:eastAsia="sk-SK"/>
              </w:rPr>
              <w:t>Návrhom</w:t>
            </w:r>
            <w:r w:rsidR="00AF3DC4" w:rsidRPr="00AF3DC4">
              <w:rPr>
                <w:rFonts w:ascii="Times New Roman" w:eastAsia="Times New Roman" w:hAnsi="Times New Roman" w:cs="Times New Roman"/>
                <w:sz w:val="20"/>
                <w:szCs w:val="20"/>
                <w:lang w:eastAsia="sk-SK"/>
              </w:rPr>
              <w:t xml:space="preserve"> zákona</w:t>
            </w:r>
            <w:r w:rsidRPr="00AF3DC4">
              <w:rPr>
                <w:rFonts w:ascii="Times New Roman" w:eastAsia="Times New Roman" w:hAnsi="Times New Roman" w:cs="Times New Roman"/>
                <w:sz w:val="20"/>
                <w:szCs w:val="20"/>
                <w:lang w:eastAsia="sk-SK"/>
              </w:rPr>
              <w:t xml:space="preserve"> sa v niektorých parciálnych ustanoveniach upravuje transpozícia smernice Rady 2004/82/ES a smernice (EÚ) 2016/681 bez toho, aby dochádzalo k</w:t>
            </w:r>
            <w:r w:rsidR="00AF3DC4" w:rsidRPr="00AF3DC4">
              <w:rPr>
                <w:rFonts w:ascii="Times New Roman" w:eastAsia="Times New Roman" w:hAnsi="Times New Roman" w:cs="Times New Roman"/>
                <w:sz w:val="20"/>
                <w:szCs w:val="20"/>
                <w:lang w:eastAsia="sk-SK"/>
              </w:rPr>
              <w:t> </w:t>
            </w:r>
            <w:r w:rsidRPr="00AF3DC4">
              <w:rPr>
                <w:rFonts w:ascii="Times New Roman" w:eastAsia="Times New Roman" w:hAnsi="Times New Roman" w:cs="Times New Roman"/>
                <w:sz w:val="20"/>
                <w:szCs w:val="20"/>
                <w:lang w:eastAsia="sk-SK"/>
              </w:rPr>
              <w:t>pre</w:t>
            </w:r>
            <w:r w:rsidR="00AF3DC4" w:rsidRPr="00AF3DC4">
              <w:rPr>
                <w:rFonts w:ascii="Times New Roman" w:eastAsia="Times New Roman" w:hAnsi="Times New Roman" w:cs="Times New Roman"/>
                <w:sz w:val="20"/>
                <w:szCs w:val="20"/>
                <w:lang w:eastAsia="sk-SK"/>
              </w:rPr>
              <w:t>kračovaniu minimálnych požiadaviek požadovaných EÚ.</w:t>
            </w:r>
          </w:p>
        </w:tc>
      </w:tr>
      <w:tr w:rsidR="000A70A9" w:rsidRPr="00B043B4" w:rsidTr="00460B46">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p>
        </w:tc>
      </w:tr>
      <w:tr w:rsidR="000A70A9" w:rsidRPr="00B043B4" w:rsidTr="00460B4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0A70A9" w:rsidRPr="00B043B4" w:rsidTr="00460B4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A70A9" w:rsidRDefault="000A70A9" w:rsidP="00AF0A3B">
            <w:pPr>
              <w:pStyle w:val="Default"/>
              <w:contextualSpacing/>
              <w:jc w:val="both"/>
              <w:rPr>
                <w:sz w:val="20"/>
                <w:szCs w:val="20"/>
              </w:rPr>
            </w:pPr>
            <w:r w:rsidRPr="00301D90">
              <w:rPr>
                <w:sz w:val="20"/>
                <w:szCs w:val="20"/>
              </w:rPr>
              <w:t xml:space="preserve">Implementácia nariadenia (EÚ) 2018/1862 bude predmetom schengenského hodnotenia, ktoré sa uskutoční v roku 2024. Hodnotiaci a monitorovací mechanizmus na overenie uplatňovania schengenského acquis je upravený nariadením Rady (EÚ) č. 1053/2013 zo 7. októbra, ktorým sa vytvára hodnotiaci a monitorovací mechanizmus na overenie uplatňovania schengenského acquis a ktorým sa zrušuje rozhodnutie výkonného výboru zo 16. septembra 1998, ktorým bol zriadený Stály výbor pre hodnotenie a vykonávanie Schengenu. </w:t>
            </w:r>
          </w:p>
          <w:p w:rsidR="00AF0A3B" w:rsidRPr="00B043B4" w:rsidRDefault="00AF0A3B" w:rsidP="00AF0A3B">
            <w:pPr>
              <w:pStyle w:val="Default"/>
              <w:contextualSpacing/>
              <w:jc w:val="both"/>
              <w:rPr>
                <w:rFonts w:eastAsia="Times New Roman"/>
                <w:i/>
                <w:sz w:val="20"/>
                <w:szCs w:val="20"/>
                <w:lang w:eastAsia="sk-SK"/>
              </w:rPr>
            </w:pPr>
          </w:p>
        </w:tc>
      </w:tr>
      <w:tr w:rsidR="000A70A9" w:rsidRPr="00B043B4" w:rsidTr="00460B46">
        <w:tc>
          <w:tcPr>
            <w:tcW w:w="9180" w:type="dxa"/>
            <w:gridSpan w:val="11"/>
            <w:tcBorders>
              <w:top w:val="nil"/>
              <w:left w:val="nil"/>
              <w:bottom w:val="single" w:sz="4" w:space="0" w:color="auto"/>
              <w:right w:val="nil"/>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p w:rsidR="000A70A9" w:rsidRPr="00B043B4" w:rsidRDefault="000A70A9" w:rsidP="00AF0A3B">
            <w:pPr>
              <w:spacing w:after="0" w:line="240" w:lineRule="auto"/>
              <w:ind w:left="142" w:hanging="142"/>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0A70A9"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tc>
      </w:tr>
      <w:tr w:rsidR="000A70A9" w:rsidRPr="00B043B4" w:rsidTr="00460B46">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0A70A9" w:rsidRPr="00B043B4" w:rsidTr="00460B46">
        <w:tc>
          <w:tcPr>
            <w:tcW w:w="3812" w:type="dxa"/>
            <w:tcBorders>
              <w:top w:val="single" w:sz="4" w:space="0" w:color="auto"/>
              <w:left w:val="single" w:sz="4" w:space="0" w:color="auto"/>
              <w:bottom w:val="nil"/>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0A70A9" w:rsidRPr="00B043B4" w:rsidRDefault="000A70A9" w:rsidP="00AF0A3B">
                <w:pPr>
                  <w:spacing w:after="0" w:line="240" w:lineRule="auto"/>
                  <w:ind w:left="-107" w:right="-108"/>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0A70A9" w:rsidRPr="00B043B4" w:rsidRDefault="000A70A9" w:rsidP="00AF0A3B">
            <w:pPr>
              <w:spacing w:after="0" w:line="240" w:lineRule="auto"/>
              <w:ind w:left="3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A70A9" w:rsidRPr="00B043B4" w:rsidTr="00460B46">
        <w:tc>
          <w:tcPr>
            <w:tcW w:w="3812" w:type="dxa"/>
            <w:tcBorders>
              <w:top w:val="nil"/>
              <w:left w:val="single" w:sz="4" w:space="0" w:color="auto"/>
              <w:bottom w:val="single" w:sz="4" w:space="0" w:color="000000"/>
              <w:right w:val="single" w:sz="4" w:space="0" w:color="auto"/>
            </w:tcBorders>
            <w:shd w:val="clear" w:color="auto" w:fill="E2E2E2"/>
          </w:tcPr>
          <w:p w:rsidR="000A70A9" w:rsidRDefault="000A70A9"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0A70A9" w:rsidRDefault="000A70A9"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0A70A9" w:rsidRPr="00A340BB" w:rsidRDefault="000A70A9"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0A70A9" w:rsidRPr="00B043B4" w:rsidRDefault="009B58D2"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A70A9" w:rsidRPr="00B043B4" w:rsidRDefault="000A70A9" w:rsidP="00AF0A3B">
                <w:pPr>
                  <w:spacing w:after="0" w:line="240" w:lineRule="auto"/>
                  <w:ind w:left="-107" w:right="-108"/>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0A70A9" w:rsidRPr="00B043B4" w:rsidRDefault="000A70A9" w:rsidP="00AF0A3B">
            <w:pPr>
              <w:spacing w:after="0" w:line="240" w:lineRule="auto"/>
              <w:ind w:left="34"/>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0A70A9" w:rsidRPr="00B043B4" w:rsidTr="00460B46">
        <w:tc>
          <w:tcPr>
            <w:tcW w:w="3812" w:type="dxa"/>
            <w:tcBorders>
              <w:top w:val="single" w:sz="4" w:space="0" w:color="000000"/>
              <w:left w:val="single" w:sz="4" w:space="0" w:color="auto"/>
              <w:bottom w:val="nil"/>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A70A9" w:rsidRPr="00B043B4" w:rsidTr="00460B46">
        <w:tc>
          <w:tcPr>
            <w:tcW w:w="3812" w:type="dxa"/>
            <w:tcBorders>
              <w:top w:val="nil"/>
              <w:left w:val="single" w:sz="4" w:space="0" w:color="000000"/>
              <w:bottom w:val="nil"/>
              <w:right w:val="single" w:sz="4" w:space="0" w:color="000000"/>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0A70A9" w:rsidRPr="00B043B4" w:rsidRDefault="000A70A9" w:rsidP="00AF0A3B">
            <w:pPr>
              <w:spacing w:after="0" w:line="240" w:lineRule="auto"/>
              <w:ind w:right="-108"/>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0A70A9" w:rsidRPr="00B043B4" w:rsidRDefault="000A70A9" w:rsidP="00AF0A3B">
            <w:pPr>
              <w:spacing w:after="0" w:line="240" w:lineRule="auto"/>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0A70A9" w:rsidRPr="00B043B4" w:rsidRDefault="000A70A9" w:rsidP="00AF0A3B">
            <w:pPr>
              <w:spacing w:after="0" w:line="240" w:lineRule="auto"/>
              <w:ind w:left="54"/>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0A70A9" w:rsidRPr="00B043B4" w:rsidTr="00460B46">
        <w:tc>
          <w:tcPr>
            <w:tcW w:w="3812" w:type="dxa"/>
            <w:tcBorders>
              <w:top w:val="nil"/>
              <w:left w:val="single" w:sz="4" w:space="0" w:color="auto"/>
              <w:bottom w:val="single" w:sz="4" w:space="0" w:color="auto"/>
              <w:right w:val="single" w:sz="4" w:space="0" w:color="auto"/>
            </w:tcBorders>
            <w:shd w:val="clear" w:color="auto" w:fill="E2E2E2"/>
          </w:tcPr>
          <w:p w:rsidR="000A70A9" w:rsidRDefault="000A70A9" w:rsidP="00AF0A3B">
            <w:pPr>
              <w:spacing w:after="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0A70A9" w:rsidRPr="00B043B4" w:rsidTr="00460B46">
        <w:tc>
          <w:tcPr>
            <w:tcW w:w="3812" w:type="dxa"/>
            <w:tcBorders>
              <w:top w:val="single" w:sz="4" w:space="0" w:color="000000"/>
              <w:left w:val="single" w:sz="4" w:space="0" w:color="auto"/>
              <w:bottom w:val="single" w:sz="4" w:space="0" w:color="auto"/>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A70A9" w:rsidRPr="00B043B4" w:rsidTr="00460B46">
        <w:tc>
          <w:tcPr>
            <w:tcW w:w="3812" w:type="dxa"/>
            <w:tcBorders>
              <w:top w:val="single" w:sz="4" w:space="0" w:color="auto"/>
              <w:left w:val="single" w:sz="4" w:space="0" w:color="auto"/>
              <w:bottom w:val="single" w:sz="4" w:space="0" w:color="auto"/>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A70A9" w:rsidRPr="00B043B4" w:rsidTr="00460B46">
        <w:tc>
          <w:tcPr>
            <w:tcW w:w="3812" w:type="dxa"/>
            <w:tcBorders>
              <w:top w:val="single" w:sz="4" w:space="0" w:color="auto"/>
              <w:left w:val="single" w:sz="4" w:space="0" w:color="auto"/>
              <w:bottom w:val="single" w:sz="4" w:space="0" w:color="auto"/>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A70A9" w:rsidRPr="00B043B4" w:rsidTr="00460B46">
        <w:tc>
          <w:tcPr>
            <w:tcW w:w="3812" w:type="dxa"/>
            <w:tcBorders>
              <w:top w:val="single" w:sz="4" w:space="0" w:color="auto"/>
              <w:left w:val="single" w:sz="4" w:space="0" w:color="auto"/>
              <w:bottom w:val="nil"/>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A70A9" w:rsidRPr="00B043B4" w:rsidRDefault="000A70A9" w:rsidP="00AF0A3B">
            <w:pPr>
              <w:spacing w:after="0" w:line="240" w:lineRule="auto"/>
              <w:contextualSpacing/>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A70A9" w:rsidRPr="00B043B4" w:rsidRDefault="000A70A9" w:rsidP="00AF0A3B">
            <w:pPr>
              <w:spacing w:after="0" w:line="240" w:lineRule="auto"/>
              <w:contextualSpacing/>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A70A9" w:rsidRPr="00B043B4" w:rsidRDefault="000A70A9" w:rsidP="00AF0A3B">
            <w:pPr>
              <w:spacing w:after="0" w:line="240" w:lineRule="auto"/>
              <w:contextualSpacing/>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p>
        </w:tc>
      </w:tr>
      <w:tr w:rsidR="000A70A9" w:rsidRPr="00B043B4" w:rsidTr="00460B46">
        <w:tc>
          <w:tcPr>
            <w:tcW w:w="3812" w:type="dxa"/>
            <w:tcBorders>
              <w:top w:val="nil"/>
              <w:left w:val="single" w:sz="4" w:space="0" w:color="auto"/>
              <w:bottom w:val="nil"/>
              <w:right w:val="single" w:sz="4" w:space="0" w:color="auto"/>
            </w:tcBorders>
            <w:shd w:val="clear" w:color="auto" w:fill="E2E2E2"/>
          </w:tcPr>
          <w:p w:rsidR="000A70A9" w:rsidRPr="00B043B4" w:rsidRDefault="000A70A9" w:rsidP="00AF0A3B">
            <w:pPr>
              <w:spacing w:after="0" w:line="240" w:lineRule="auto"/>
              <w:ind w:left="196" w:hanging="196"/>
              <w:contextualSpacing/>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A70A9" w:rsidRPr="00B043B4" w:rsidTr="00460B46">
        <w:tc>
          <w:tcPr>
            <w:tcW w:w="3812" w:type="dxa"/>
            <w:tcBorders>
              <w:top w:val="nil"/>
              <w:left w:val="single" w:sz="4" w:space="0" w:color="auto"/>
              <w:bottom w:val="nil"/>
              <w:right w:val="single" w:sz="4" w:space="0" w:color="auto"/>
            </w:tcBorders>
            <w:shd w:val="clear" w:color="auto" w:fill="E2E2E2"/>
          </w:tcPr>
          <w:p w:rsidR="000A70A9" w:rsidRPr="00B043B4" w:rsidRDefault="000A70A9" w:rsidP="00AF0A3B">
            <w:pPr>
              <w:spacing w:after="0" w:line="240" w:lineRule="auto"/>
              <w:ind w:left="168" w:hanging="168"/>
              <w:contextualSpacing/>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A70A9" w:rsidRPr="00B043B4" w:rsidTr="00460B46">
        <w:tc>
          <w:tcPr>
            <w:tcW w:w="3812" w:type="dxa"/>
            <w:tcBorders>
              <w:top w:val="single" w:sz="4" w:space="0" w:color="000000"/>
              <w:left w:val="single" w:sz="4" w:space="0" w:color="auto"/>
              <w:bottom w:val="single" w:sz="4" w:space="0" w:color="auto"/>
              <w:right w:val="single" w:sz="4" w:space="0" w:color="auto"/>
            </w:tcBorders>
            <w:shd w:val="clear" w:color="auto" w:fill="E2E2E2"/>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0A70A9" w:rsidRPr="00B043B4" w:rsidRDefault="000A70A9" w:rsidP="00AF0A3B">
            <w:pPr>
              <w:spacing w:after="0" w:line="240" w:lineRule="auto"/>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0A70A9" w:rsidRPr="00B043B4" w:rsidRDefault="000A70A9" w:rsidP="00AF0A3B">
                <w:pPr>
                  <w:spacing w:after="0" w:line="240" w:lineRule="auto"/>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0A70A9" w:rsidRPr="00B043B4" w:rsidRDefault="000A70A9" w:rsidP="00AF0A3B">
            <w:pPr>
              <w:spacing w:after="0" w:line="240" w:lineRule="auto"/>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0A70A9" w:rsidRPr="00B043B4" w:rsidRDefault="000A70A9" w:rsidP="00AF0A3B">
      <w:pPr>
        <w:spacing w:after="0" w:line="240" w:lineRule="auto"/>
        <w:ind w:right="141"/>
        <w:contextualSpacing/>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A70A9" w:rsidRPr="00B043B4" w:rsidTr="00460B46">
        <w:tc>
          <w:tcPr>
            <w:tcW w:w="9176" w:type="dxa"/>
            <w:tcBorders>
              <w:top w:val="single" w:sz="4" w:space="0" w:color="auto"/>
              <w:left w:val="single" w:sz="4" w:space="0" w:color="auto"/>
              <w:bottom w:val="nil"/>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0A70A9" w:rsidRPr="00B043B4" w:rsidTr="00460B46">
        <w:trPr>
          <w:trHeight w:val="713"/>
        </w:trPr>
        <w:tc>
          <w:tcPr>
            <w:tcW w:w="9176" w:type="dxa"/>
            <w:tcBorders>
              <w:top w:val="nil"/>
              <w:left w:val="single" w:sz="4" w:space="0" w:color="auto"/>
              <w:bottom w:val="single" w:sz="4" w:space="0" w:color="FFFFFF"/>
              <w:right w:val="single" w:sz="4" w:space="0" w:color="auto"/>
            </w:tcBorders>
            <w:shd w:val="clear" w:color="auto" w:fill="auto"/>
          </w:tcPr>
          <w:p w:rsidR="000A70A9" w:rsidRPr="00316998" w:rsidRDefault="000A70A9" w:rsidP="00AF0A3B">
            <w:pPr>
              <w:spacing w:after="0" w:line="240" w:lineRule="auto"/>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Vybrané vplyvy na rozpočet verejnej správy a na podnikateľské prostredie sú definované vo vzťahu k ustanoveniam v</w:t>
            </w:r>
            <w:r w:rsidR="00AF0A3B">
              <w:rPr>
                <w:rFonts w:ascii="Times New Roman" w:eastAsia="Calibri" w:hAnsi="Times New Roman" w:cs="Times New Roman"/>
                <w:color w:val="000000" w:themeColor="text1"/>
                <w:sz w:val="20"/>
                <w:szCs w:val="20"/>
              </w:rPr>
              <w:t> čl.</w:t>
            </w:r>
            <w:r w:rsidRPr="00316998">
              <w:rPr>
                <w:rFonts w:ascii="Times New Roman" w:eastAsia="Calibri" w:hAnsi="Times New Roman" w:cs="Times New Roman"/>
                <w:color w:val="000000" w:themeColor="text1"/>
                <w:sz w:val="20"/>
                <w:szCs w:val="20"/>
              </w:rPr>
              <w:t xml:space="preserve"> V predkladanej novely zákona, ktorou sa upravuje zákon č. 143/1998 Z.</w:t>
            </w:r>
            <w:r>
              <w:rPr>
                <w:rFonts w:ascii="Times New Roman" w:eastAsia="Calibri" w:hAnsi="Times New Roman" w:cs="Times New Roman"/>
                <w:color w:val="000000" w:themeColor="text1"/>
                <w:sz w:val="20"/>
                <w:szCs w:val="20"/>
              </w:rPr>
              <w:t xml:space="preserve"> </w:t>
            </w:r>
            <w:r w:rsidRPr="00316998">
              <w:rPr>
                <w:rFonts w:ascii="Times New Roman" w:eastAsia="Calibri" w:hAnsi="Times New Roman" w:cs="Times New Roman"/>
                <w:color w:val="000000" w:themeColor="text1"/>
                <w:sz w:val="20"/>
                <w:szCs w:val="20"/>
              </w:rPr>
              <w:t xml:space="preserve">z. o civilnom letectve. </w:t>
            </w:r>
          </w:p>
          <w:p w:rsidR="000A70A9" w:rsidRPr="00316998" w:rsidRDefault="000A70A9" w:rsidP="00AF0A3B">
            <w:pPr>
              <w:spacing w:after="0" w:line="240" w:lineRule="auto"/>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Návrhom zákona nedochádza k zavádzaniu nových povinností, nových správnych poplatkov a ani k zmene výšky aktuálne platných správnych poplatkov. Z tohto dôvodu nevznikajú na podnikateľské prostredie nové priame finančné náklady [dane, odvody, clá a poplatky, ktorých cieľom je znižovať negatívne externality; iné poplatky], nové nepriame finančné náklady a ani nové administratívne náklady.</w:t>
            </w:r>
          </w:p>
          <w:p w:rsidR="000A70A9" w:rsidRPr="00316998" w:rsidRDefault="000A70A9" w:rsidP="00AF0A3B">
            <w:pPr>
              <w:spacing w:after="0" w:line="240" w:lineRule="auto"/>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Návrhom zákona nie je možné jednoznačne kvantifikovať charakter a rozsah celkových príjmov a prínosov, keďže nie je možné konkrétne určiť počet vybraných správnych poplatkov (výška správnych poplatkov sa nemení) a pokút (zavádzajú sa nové sankcie). Správne poplatky vyberané Dopravným úradom za jednotlivé služby sú nepravidelné.</w:t>
            </w:r>
          </w:p>
          <w:p w:rsidR="000A70A9" w:rsidRPr="00AF3DC4" w:rsidRDefault="000A70A9" w:rsidP="00AF0A3B">
            <w:pPr>
              <w:spacing w:after="0" w:line="240" w:lineRule="auto"/>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 xml:space="preserve">Návrhom zákona vznikajú nové Iné vplyvy na podnikateľské prostredie – sankcie (pokuta, priestupok). V súvislosti s kompetenciou Dopravného úradu udeliť sankcie sa predpokladá, že na základe doterajších </w:t>
            </w:r>
            <w:r w:rsidRPr="00316998">
              <w:rPr>
                <w:rFonts w:ascii="Times New Roman" w:eastAsia="Calibri" w:hAnsi="Times New Roman" w:cs="Times New Roman"/>
                <w:color w:val="000000" w:themeColor="text1"/>
                <w:sz w:val="20"/>
                <w:szCs w:val="20"/>
              </w:rPr>
              <w:lastRenderedPageBreak/>
              <w:t>skúseností z uplatňovania zákona č. 143/1998 Z. z. si osoby činné v civilnom letectve budú plniť stanovené povinnosti. Súčasne sa poukazuje na skutočnosť, že sa stanovujú dostatočne odrádzajúce sankcie. Z uvedených dôvodov sa predpokladá, že stanovené povinnosti budú osobami činnými v civilnom letectve dodržiavané.</w:t>
            </w:r>
          </w:p>
          <w:p w:rsidR="00AF0A3B" w:rsidRPr="00B043B4" w:rsidRDefault="00AF0A3B" w:rsidP="00AF0A3B">
            <w:pPr>
              <w:spacing w:after="0" w:line="240" w:lineRule="auto"/>
              <w:contextualSpacing/>
              <w:jc w:val="both"/>
              <w:rPr>
                <w:rFonts w:ascii="Times New Roman" w:eastAsia="Calibri" w:hAnsi="Times New Roman" w:cs="Times New Roman"/>
                <w:b/>
              </w:rPr>
            </w:pPr>
          </w:p>
        </w:tc>
      </w:tr>
      <w:tr w:rsidR="000A70A9" w:rsidRPr="00B043B4" w:rsidTr="00460B46">
        <w:tc>
          <w:tcPr>
            <w:tcW w:w="9176" w:type="dxa"/>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0A70A9" w:rsidRPr="00B043B4" w:rsidTr="00460B46">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70A9" w:rsidRDefault="000A70A9" w:rsidP="00AF0A3B">
            <w:pPr>
              <w:spacing w:after="0" w:line="240" w:lineRule="auto"/>
              <w:contextualSpacing/>
              <w:jc w:val="both"/>
              <w:rPr>
                <w:rFonts w:ascii="Times New Roman" w:hAnsi="Times New Roman" w:cs="Times New Roman"/>
                <w:sz w:val="20"/>
                <w:szCs w:val="20"/>
              </w:rPr>
            </w:pPr>
            <w:r w:rsidRPr="00301D90">
              <w:rPr>
                <w:rFonts w:ascii="Times New Roman" w:hAnsi="Times New Roman" w:cs="Times New Roman"/>
                <w:sz w:val="20"/>
                <w:szCs w:val="20"/>
              </w:rPr>
              <w:t>Pre oblasť návrhu zákona týkajúcu sa implementácie nariadenia Európskeho parlamentu a Rady (EÚ) 2018/1862:</w:t>
            </w:r>
          </w:p>
          <w:p w:rsidR="00AF0A3B" w:rsidRDefault="000A70A9" w:rsidP="00AF0A3B">
            <w:pPr>
              <w:spacing w:after="0" w:line="240" w:lineRule="auto"/>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Peter Lőrincz, </w:t>
            </w:r>
          </w:p>
          <w:p w:rsidR="00AF0A3B" w:rsidRDefault="000A70A9" w:rsidP="00AF0A3B">
            <w:pPr>
              <w:spacing w:after="0" w:line="240" w:lineRule="auto"/>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národná ústredňa SIRENE, úrad medzinárodnej policajnej  spolupráce Prezídia PZ, </w:t>
            </w:r>
          </w:p>
          <w:p w:rsidR="000A70A9" w:rsidRPr="00301D90" w:rsidRDefault="000A70A9" w:rsidP="00AF0A3B">
            <w:pPr>
              <w:spacing w:after="0" w:line="240" w:lineRule="auto"/>
              <w:contextualSpacing/>
              <w:jc w:val="both"/>
              <w:rPr>
                <w:rFonts w:ascii="Times New Roman" w:hAnsi="Times New Roman" w:cs="Times New Roman"/>
                <w:sz w:val="20"/>
                <w:szCs w:val="20"/>
              </w:rPr>
            </w:pPr>
            <w:r w:rsidRPr="00301D90">
              <w:rPr>
                <w:rFonts w:ascii="Times New Roman" w:hAnsi="Times New Roman" w:cs="Times New Roman"/>
                <w:sz w:val="20"/>
                <w:szCs w:val="20"/>
              </w:rPr>
              <w:t>tel:</w:t>
            </w:r>
            <w:r>
              <w:rPr>
                <w:rFonts w:ascii="Times New Roman" w:hAnsi="Times New Roman" w:cs="Times New Roman"/>
                <w:sz w:val="20"/>
                <w:szCs w:val="20"/>
              </w:rPr>
              <w:t> </w:t>
            </w:r>
            <w:r w:rsidRPr="00301D90">
              <w:rPr>
                <w:rFonts w:ascii="Times New Roman" w:hAnsi="Times New Roman" w:cs="Times New Roman"/>
                <w:sz w:val="20"/>
                <w:szCs w:val="20"/>
              </w:rPr>
              <w:t xml:space="preserve">0961056520, </w:t>
            </w:r>
            <w:hyperlink r:id="rId7" w:history="1">
              <w:r w:rsidRPr="00301D90">
                <w:rPr>
                  <w:rStyle w:val="Hypertextovprepojenie"/>
                  <w:rFonts w:ascii="Times New Roman" w:hAnsi="Times New Roman" w:cs="Times New Roman"/>
                  <w:sz w:val="20"/>
                  <w:szCs w:val="20"/>
                </w:rPr>
                <w:t>peter.lorincz@minv.sk</w:t>
              </w:r>
            </w:hyperlink>
          </w:p>
          <w:p w:rsidR="00AF0A3B" w:rsidRDefault="000A70A9" w:rsidP="00AF0A3B">
            <w:pPr>
              <w:spacing w:after="0" w:line="240" w:lineRule="auto"/>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Michal Hýsek, </w:t>
            </w:r>
          </w:p>
          <w:p w:rsidR="00AF0A3B" w:rsidRDefault="000A70A9" w:rsidP="00AF0A3B">
            <w:pPr>
              <w:spacing w:after="0" w:line="240" w:lineRule="auto"/>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sekcia civilného letectva, Ministerstvo dopravy a výstavby Slovenskej republiky, </w:t>
            </w:r>
          </w:p>
          <w:p w:rsidR="000A70A9" w:rsidRDefault="000A70A9" w:rsidP="00AF0A3B">
            <w:pPr>
              <w:spacing w:after="0" w:line="240" w:lineRule="auto"/>
              <w:contextualSpacing/>
              <w:jc w:val="both"/>
              <w:rPr>
                <w:rStyle w:val="Hypertextovprepojenie"/>
                <w:rFonts w:ascii="Times New Roman" w:hAnsi="Times New Roman" w:cs="Times New Roman"/>
                <w:sz w:val="20"/>
                <w:szCs w:val="20"/>
              </w:rPr>
            </w:pPr>
            <w:r w:rsidRPr="00301D90">
              <w:rPr>
                <w:rFonts w:ascii="Times New Roman" w:hAnsi="Times New Roman" w:cs="Times New Roman"/>
                <w:sz w:val="20"/>
                <w:szCs w:val="20"/>
              </w:rPr>
              <w:t>tel:</w:t>
            </w:r>
            <w:r>
              <w:rPr>
                <w:rFonts w:ascii="Times New Roman" w:hAnsi="Times New Roman" w:cs="Times New Roman"/>
                <w:sz w:val="20"/>
                <w:szCs w:val="20"/>
              </w:rPr>
              <w:t> </w:t>
            </w:r>
            <w:r w:rsidRPr="00301D90">
              <w:rPr>
                <w:rFonts w:ascii="Times New Roman" w:hAnsi="Times New Roman" w:cs="Times New Roman"/>
                <w:sz w:val="20"/>
                <w:szCs w:val="20"/>
              </w:rPr>
              <w:t xml:space="preserve">02/59494617, </w:t>
            </w:r>
            <w:hyperlink r:id="rId8" w:history="1">
              <w:r w:rsidRPr="00301D90">
                <w:rPr>
                  <w:rStyle w:val="Hypertextovprepojenie"/>
                  <w:rFonts w:ascii="Times New Roman" w:hAnsi="Times New Roman" w:cs="Times New Roman"/>
                  <w:sz w:val="20"/>
                  <w:szCs w:val="20"/>
                </w:rPr>
                <w:t>michal.hysek@mindop.sk</w:t>
              </w:r>
            </w:hyperlink>
          </w:p>
          <w:p w:rsidR="00AF0A3B" w:rsidRPr="00301D90" w:rsidRDefault="00AF0A3B" w:rsidP="00AF0A3B">
            <w:pPr>
              <w:spacing w:after="0" w:line="240" w:lineRule="auto"/>
              <w:contextualSpacing/>
              <w:jc w:val="both"/>
              <w:rPr>
                <w:rFonts w:ascii="Times New Roman" w:hAnsi="Times New Roman" w:cs="Times New Roman"/>
                <w:sz w:val="20"/>
                <w:szCs w:val="20"/>
              </w:rPr>
            </w:pPr>
          </w:p>
        </w:tc>
      </w:tr>
      <w:tr w:rsidR="000A70A9" w:rsidRPr="00B043B4" w:rsidTr="00460B46">
        <w:tc>
          <w:tcPr>
            <w:tcW w:w="9176" w:type="dxa"/>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0A70A9" w:rsidRPr="00B043B4" w:rsidTr="00460B46">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70A9" w:rsidRDefault="000A70A9" w:rsidP="00AF0A3B">
            <w:pPr>
              <w:pStyle w:val="Default"/>
              <w:contextualSpacing/>
              <w:jc w:val="both"/>
              <w:rPr>
                <w:sz w:val="20"/>
                <w:szCs w:val="20"/>
              </w:rPr>
            </w:pPr>
            <w:r w:rsidRPr="00301D90">
              <w:rPr>
                <w:sz w:val="20"/>
                <w:szCs w:val="20"/>
              </w:rPr>
              <w:t xml:space="preserve">Pri príprave návrhu zákona boli zohľadnené závery rokovaní medzirezortnej pracovnej skupiny zriadenej pre účely implementácie nariadenia Európskeho parlamentu a Rady (EÚ) 2018/1862 a závery schengenského hodnotenia Slovenskej republiky v roku 2019, ktoré upozornilo na nesúlad so Smernicou Rady 2004/82/ES o povinnosti dopravcov oznamovať údaje o cestujúcich. Pri tvorbe doložky vybraných vplyvov boli podkladom interné dokumenty Ministerstva dopravy a výstavby </w:t>
            </w:r>
            <w:r w:rsidR="00122A8E">
              <w:rPr>
                <w:sz w:val="20"/>
                <w:szCs w:val="20"/>
              </w:rPr>
              <w:t>SR</w:t>
            </w:r>
            <w:r w:rsidRPr="00301D90">
              <w:rPr>
                <w:sz w:val="20"/>
                <w:szCs w:val="20"/>
              </w:rPr>
              <w:t xml:space="preserve"> a Dopravného úradu. </w:t>
            </w:r>
          </w:p>
          <w:p w:rsidR="00AF0A3B" w:rsidRPr="00B043B4" w:rsidRDefault="00AF0A3B" w:rsidP="00AF0A3B">
            <w:pPr>
              <w:pStyle w:val="Default"/>
              <w:contextualSpacing/>
              <w:jc w:val="both"/>
              <w:rPr>
                <w:rFonts w:eastAsia="Times New Roman"/>
                <w:b/>
                <w:sz w:val="20"/>
                <w:szCs w:val="20"/>
                <w:lang w:eastAsia="sk-SK"/>
              </w:rPr>
            </w:pPr>
          </w:p>
        </w:tc>
      </w:tr>
      <w:tr w:rsidR="000A70A9" w:rsidRPr="00B043B4" w:rsidTr="00460B46">
        <w:tc>
          <w:tcPr>
            <w:tcW w:w="9176" w:type="dxa"/>
            <w:tcBorders>
              <w:top w:val="single" w:sz="4" w:space="0" w:color="auto"/>
              <w:left w:val="single" w:sz="4" w:space="0" w:color="auto"/>
              <w:bottom w:val="single" w:sz="4" w:space="0" w:color="FFFFFF"/>
              <w:right w:val="single" w:sz="4" w:space="0" w:color="auto"/>
            </w:tcBorders>
            <w:shd w:val="clear" w:color="auto" w:fill="E2E2E2"/>
          </w:tcPr>
          <w:p w:rsidR="000A70A9" w:rsidRPr="00B043B4" w:rsidRDefault="000A70A9" w:rsidP="00AF0A3B">
            <w:pPr>
              <w:numPr>
                <w:ilvl w:val="0"/>
                <w:numId w:val="1"/>
              </w:numPr>
              <w:spacing w:after="0" w:line="240" w:lineRule="auto"/>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w:t>
            </w:r>
            <w:r>
              <w:rPr>
                <w:rFonts w:ascii="Times New Roman" w:eastAsia="Calibri" w:hAnsi="Times New Roman" w:cs="Times New Roman"/>
                <w:b/>
              </w:rPr>
              <w:t xml:space="preserve">nie vybraných vplyvov z PPK č. </w:t>
            </w:r>
            <w:r w:rsidRPr="007A0872">
              <w:rPr>
                <w:rFonts w:ascii="Times New Roman" w:eastAsia="Calibri" w:hAnsi="Times New Roman" w:cs="Times New Roman"/>
                <w:b/>
              </w:rPr>
              <w:t>130/2021</w:t>
            </w:r>
          </w:p>
          <w:p w:rsidR="000A70A9" w:rsidRPr="00B043B4" w:rsidRDefault="000A70A9" w:rsidP="00AF0A3B">
            <w:pPr>
              <w:spacing w:after="0" w:line="240" w:lineRule="auto"/>
              <w:ind w:left="502"/>
              <w:contextualSpacing/>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0A70A9" w:rsidRPr="00B043B4" w:rsidTr="00460B46">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A70A9" w:rsidRPr="00B043B4" w:rsidTr="00460B46">
              <w:trPr>
                <w:trHeight w:val="396"/>
              </w:trPr>
              <w:tc>
                <w:tcPr>
                  <w:tcW w:w="2552" w:type="dxa"/>
                </w:tcPr>
                <w:p w:rsidR="000A70A9" w:rsidRPr="00B043B4" w:rsidRDefault="0028013D" w:rsidP="00AF0A3B">
                  <w:pPr>
                    <w:spacing w:after="0" w:line="240" w:lineRule="auto"/>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Pr>
                      <w:rFonts w:ascii="Times New Roman" w:eastAsia="Times New Roman" w:hAnsi="Times New Roman" w:cs="Times New Roman"/>
                      <w:b/>
                      <w:sz w:val="20"/>
                      <w:szCs w:val="20"/>
                      <w:lang w:eastAsia="sk-SK"/>
                    </w:rPr>
                    <w:t xml:space="preserve">  </w:t>
                  </w:r>
                  <w:r w:rsidR="000A70A9" w:rsidRPr="00B043B4">
                    <w:rPr>
                      <w:rFonts w:ascii="Times New Roman" w:eastAsia="Times New Roman" w:hAnsi="Times New Roman" w:cs="Times New Roman"/>
                      <w:b/>
                      <w:sz w:val="20"/>
                      <w:szCs w:val="20"/>
                      <w:lang w:eastAsia="sk-SK"/>
                    </w:rPr>
                    <w:t xml:space="preserve">Súhlasné </w:t>
                  </w:r>
                </w:p>
              </w:tc>
              <w:tc>
                <w:tcPr>
                  <w:tcW w:w="3827" w:type="dxa"/>
                </w:tcPr>
                <w:p w:rsidR="000A70A9" w:rsidRPr="00B043B4" w:rsidRDefault="0028013D" w:rsidP="00AF0A3B">
                  <w:pPr>
                    <w:spacing w:after="0" w:line="240" w:lineRule="auto"/>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Pr>
                      <w:rFonts w:ascii="Times New Roman" w:eastAsia="Times New Roman" w:hAnsi="Times New Roman" w:cs="Times New Roman"/>
                      <w:b/>
                      <w:sz w:val="20"/>
                      <w:szCs w:val="20"/>
                      <w:lang w:eastAsia="sk-SK"/>
                    </w:rPr>
                    <w:t xml:space="preserve">  </w:t>
                  </w:r>
                  <w:r w:rsidR="000A70A9" w:rsidRPr="00B043B4">
                    <w:rPr>
                      <w:rFonts w:ascii="Times New Roman" w:eastAsia="Times New Roman" w:hAnsi="Times New Roman" w:cs="Times New Roman"/>
                      <w:b/>
                      <w:sz w:val="20"/>
                      <w:szCs w:val="20"/>
                      <w:lang w:eastAsia="sk-SK"/>
                    </w:rPr>
                    <w:t>Súhlasné s návrhom na dopracovanie</w:t>
                  </w:r>
                </w:p>
              </w:tc>
              <w:tc>
                <w:tcPr>
                  <w:tcW w:w="2534" w:type="dxa"/>
                </w:tcPr>
                <w:p w:rsidR="000A70A9" w:rsidRPr="00B043B4" w:rsidRDefault="0028013D" w:rsidP="00AF0A3B">
                  <w:pPr>
                    <w:spacing w:after="0" w:line="240" w:lineRule="auto"/>
                    <w:ind w:right="459"/>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Pr>
                      <w:rFonts w:ascii="Times New Roman" w:eastAsia="Times New Roman" w:hAnsi="Times New Roman" w:cs="Times New Roman"/>
                      <w:b/>
                      <w:sz w:val="20"/>
                      <w:szCs w:val="20"/>
                      <w:lang w:eastAsia="sk-SK"/>
                    </w:rPr>
                    <w:t xml:space="preserve">  </w:t>
                  </w:r>
                  <w:r w:rsidR="000A70A9" w:rsidRPr="00B043B4">
                    <w:rPr>
                      <w:rFonts w:ascii="Times New Roman" w:eastAsia="Times New Roman" w:hAnsi="Times New Roman" w:cs="Times New Roman"/>
                      <w:b/>
                      <w:sz w:val="20"/>
                      <w:szCs w:val="20"/>
                      <w:lang w:eastAsia="sk-SK"/>
                    </w:rPr>
                    <w:t>Nesúhlasné</w:t>
                  </w:r>
                </w:p>
              </w:tc>
            </w:tr>
          </w:tbl>
          <w:p w:rsidR="000A70A9" w:rsidRPr="00B043B4" w:rsidRDefault="000A70A9" w:rsidP="00AF0A3B">
            <w:pPr>
              <w:spacing w:after="0" w:line="240" w:lineRule="auto"/>
              <w:contextualSpacing/>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A70A9" w:rsidRDefault="000A70A9" w:rsidP="00AF0A3B">
            <w:pPr>
              <w:spacing w:after="0" w:line="240" w:lineRule="auto"/>
              <w:contextualSpacing/>
              <w:jc w:val="both"/>
              <w:rPr>
                <w:rFonts w:ascii="Times New Roman" w:hAnsi="Times New Roman" w:cs="Times New Roman"/>
                <w:sz w:val="20"/>
                <w:szCs w:val="20"/>
              </w:rPr>
            </w:pPr>
            <w:r w:rsidRPr="007A0872">
              <w:rPr>
                <w:rFonts w:ascii="Times New Roman" w:hAnsi="Times New Roman" w:cs="Times New Roman"/>
                <w:sz w:val="20"/>
                <w:szCs w:val="20"/>
              </w:rPr>
              <w:t>Komisia odporúča predkladateľovi materiálu doplniť chýbajúce časti doložky – 1. Základné údaje – doplniť termíny, 8. Preskúmanie účelnosti – doplniť časovú lehotu a indikátory, 11. Kontakt na spracovateľa a 12. Zdroje – odkiaľ predkladateľ čerpal.</w:t>
            </w:r>
          </w:p>
          <w:p w:rsidR="000A70A9" w:rsidRDefault="000A70A9" w:rsidP="00AF0A3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Pripomienky boli zapracované</w:t>
            </w:r>
          </w:p>
          <w:p w:rsidR="00AF0A3B" w:rsidRPr="007A0872" w:rsidRDefault="00AF0A3B" w:rsidP="00AF0A3B">
            <w:pPr>
              <w:spacing w:after="0" w:line="240" w:lineRule="auto"/>
              <w:contextualSpacing/>
              <w:jc w:val="both"/>
              <w:rPr>
                <w:rFonts w:ascii="Times New Roman" w:eastAsia="Times New Roman" w:hAnsi="Times New Roman" w:cs="Times New Roman"/>
                <w:b/>
                <w:sz w:val="20"/>
                <w:szCs w:val="20"/>
                <w:lang w:eastAsia="sk-SK"/>
              </w:rPr>
            </w:pPr>
          </w:p>
        </w:tc>
      </w:tr>
      <w:tr w:rsidR="000A70A9" w:rsidRPr="00B043B4" w:rsidTr="00460B46">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0A70A9" w:rsidRPr="00B043B4" w:rsidRDefault="000A70A9" w:rsidP="00AF0A3B">
            <w:pPr>
              <w:numPr>
                <w:ilvl w:val="0"/>
                <w:numId w:val="1"/>
              </w:numPr>
              <w:spacing w:after="0" w:line="240" w:lineRule="auto"/>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0A70A9" w:rsidRPr="00B043B4" w:rsidTr="00460B46">
        <w:tblPrEx>
          <w:tblBorders>
            <w:insideH w:val="single" w:sz="4" w:space="0" w:color="FFFFFF"/>
            <w:insideV w:val="single" w:sz="4" w:space="0" w:color="FFFFFF"/>
          </w:tblBorders>
        </w:tblPrEx>
        <w:tc>
          <w:tcPr>
            <w:tcW w:w="9176" w:type="dxa"/>
            <w:shd w:val="clear" w:color="auto" w:fill="FFFFFF"/>
          </w:tcPr>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A70A9" w:rsidRPr="00B043B4" w:rsidTr="00460B46">
              <w:trPr>
                <w:trHeight w:val="396"/>
              </w:trPr>
              <w:tc>
                <w:tcPr>
                  <w:tcW w:w="2552" w:type="dxa"/>
                </w:tcPr>
                <w:p w:rsidR="000A70A9" w:rsidRPr="00B043B4" w:rsidRDefault="0028013D" w:rsidP="00AF0A3B">
                  <w:pPr>
                    <w:spacing w:after="0" w:line="240" w:lineRule="auto"/>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Pr>
                      <w:rFonts w:ascii="Times New Roman" w:eastAsia="Times New Roman" w:hAnsi="Times New Roman" w:cs="Times New Roman"/>
                      <w:b/>
                      <w:sz w:val="20"/>
                      <w:szCs w:val="20"/>
                      <w:lang w:eastAsia="sk-SK"/>
                    </w:rPr>
                    <w:t xml:space="preserve">   </w:t>
                  </w:r>
                  <w:r w:rsidR="000A70A9" w:rsidRPr="00B043B4">
                    <w:rPr>
                      <w:rFonts w:ascii="Times New Roman" w:eastAsia="Times New Roman" w:hAnsi="Times New Roman" w:cs="Times New Roman"/>
                      <w:b/>
                      <w:sz w:val="20"/>
                      <w:szCs w:val="20"/>
                      <w:lang w:eastAsia="sk-SK"/>
                    </w:rPr>
                    <w:t xml:space="preserve">Súhlasné </w:t>
                  </w:r>
                </w:p>
              </w:tc>
              <w:tc>
                <w:tcPr>
                  <w:tcW w:w="3827" w:type="dxa"/>
                </w:tcPr>
                <w:p w:rsidR="000A70A9" w:rsidRPr="00B043B4" w:rsidRDefault="0028013D" w:rsidP="00AF0A3B">
                  <w:pPr>
                    <w:spacing w:after="0" w:line="240" w:lineRule="auto"/>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Pr>
                      <w:rFonts w:ascii="Times New Roman" w:eastAsia="Times New Roman" w:hAnsi="Times New Roman" w:cs="Times New Roman"/>
                      <w:b/>
                      <w:sz w:val="20"/>
                      <w:szCs w:val="20"/>
                      <w:lang w:eastAsia="sk-SK"/>
                    </w:rPr>
                    <w:t xml:space="preserve">  </w:t>
                  </w:r>
                  <w:r w:rsidR="000A70A9" w:rsidRPr="00B043B4">
                    <w:rPr>
                      <w:rFonts w:ascii="Times New Roman" w:eastAsia="Times New Roman" w:hAnsi="Times New Roman" w:cs="Times New Roman"/>
                      <w:b/>
                      <w:sz w:val="20"/>
                      <w:szCs w:val="20"/>
                      <w:lang w:eastAsia="sk-SK"/>
                    </w:rPr>
                    <w:t>Súhlasné s  návrhom na dopracovanie</w:t>
                  </w:r>
                </w:p>
              </w:tc>
              <w:tc>
                <w:tcPr>
                  <w:tcW w:w="2534" w:type="dxa"/>
                </w:tcPr>
                <w:p w:rsidR="000A70A9" w:rsidRPr="00B043B4" w:rsidRDefault="0028013D" w:rsidP="00AF0A3B">
                  <w:pPr>
                    <w:spacing w:after="0" w:line="240" w:lineRule="auto"/>
                    <w:ind w:right="459"/>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0A70A9">
                        <w:rPr>
                          <w:rFonts w:ascii="MS Gothic" w:eastAsia="MS Gothic" w:hAnsi="MS Gothic" w:cs="Times New Roman" w:hint="eastAsia"/>
                          <w:b/>
                          <w:sz w:val="20"/>
                          <w:szCs w:val="20"/>
                          <w:lang w:eastAsia="sk-SK"/>
                        </w:rPr>
                        <w:t>☐</w:t>
                      </w:r>
                    </w:sdtContent>
                  </w:sdt>
                  <w:r w:rsidR="000A70A9">
                    <w:rPr>
                      <w:rFonts w:ascii="Times New Roman" w:eastAsia="Times New Roman" w:hAnsi="Times New Roman" w:cs="Times New Roman"/>
                      <w:b/>
                      <w:sz w:val="20"/>
                      <w:szCs w:val="20"/>
                      <w:lang w:eastAsia="sk-SK"/>
                    </w:rPr>
                    <w:t xml:space="preserve">  </w:t>
                  </w:r>
                  <w:r w:rsidR="000A70A9" w:rsidRPr="00B043B4">
                    <w:rPr>
                      <w:rFonts w:ascii="Times New Roman" w:eastAsia="Times New Roman" w:hAnsi="Times New Roman" w:cs="Times New Roman"/>
                      <w:b/>
                      <w:sz w:val="20"/>
                      <w:szCs w:val="20"/>
                      <w:lang w:eastAsia="sk-SK"/>
                    </w:rPr>
                    <w:t>Nesúhlasné</w:t>
                  </w:r>
                </w:p>
              </w:tc>
            </w:tr>
          </w:tbl>
          <w:p w:rsidR="000A70A9" w:rsidRPr="00B043B4" w:rsidRDefault="000A70A9" w:rsidP="00AF0A3B">
            <w:pPr>
              <w:spacing w:after="0" w:line="240" w:lineRule="auto"/>
              <w:contextualSpacing/>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p w:rsidR="000A70A9" w:rsidRPr="00B043B4" w:rsidRDefault="000A70A9" w:rsidP="00AF0A3B">
            <w:pPr>
              <w:spacing w:after="0" w:line="240" w:lineRule="auto"/>
              <w:contextualSpacing/>
              <w:rPr>
                <w:rFonts w:ascii="Times New Roman" w:eastAsia="Times New Roman" w:hAnsi="Times New Roman" w:cs="Times New Roman"/>
                <w:b/>
                <w:sz w:val="20"/>
                <w:szCs w:val="20"/>
                <w:lang w:eastAsia="sk-SK"/>
              </w:rPr>
            </w:pPr>
          </w:p>
        </w:tc>
      </w:tr>
    </w:tbl>
    <w:p w:rsidR="000A70A9" w:rsidRDefault="000A70A9" w:rsidP="00AF0A3B">
      <w:pPr>
        <w:spacing w:after="0" w:line="240" w:lineRule="auto"/>
        <w:contextualSpacing/>
      </w:pPr>
    </w:p>
    <w:p w:rsidR="00752150" w:rsidRDefault="00752150">
      <w:pPr>
        <w:spacing w:after="0" w:line="240" w:lineRule="auto"/>
      </w:pPr>
      <w:r>
        <w:br w:type="page"/>
      </w:r>
    </w:p>
    <w:p w:rsidR="00752150" w:rsidRPr="00752150" w:rsidRDefault="00752150" w:rsidP="00752150">
      <w:pPr>
        <w:spacing w:after="0" w:line="240" w:lineRule="auto"/>
        <w:jc w:val="cente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lastRenderedPageBreak/>
        <w:t>Analýza vplyvov na rozpočet verejnej správy,</w:t>
      </w:r>
    </w:p>
    <w:p w:rsidR="00752150" w:rsidRPr="00752150" w:rsidRDefault="00752150" w:rsidP="00752150">
      <w:pPr>
        <w:spacing w:after="0" w:line="240" w:lineRule="auto"/>
        <w:jc w:val="cente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na zamestnanosť vo verejnej správe a financovanie návrhu</w:t>
      </w:r>
    </w:p>
    <w:p w:rsidR="00752150" w:rsidRPr="00752150" w:rsidRDefault="00752150" w:rsidP="00752150">
      <w:pPr>
        <w:spacing w:after="0" w:line="240" w:lineRule="auto"/>
        <w:jc w:val="right"/>
        <w:rPr>
          <w:rFonts w:ascii="Times New Roman" w:eastAsia="Times New Roman" w:hAnsi="Times New Roman" w:cs="Times New Roman"/>
          <w:b/>
          <w:bCs/>
          <w:sz w:val="24"/>
          <w:szCs w:val="24"/>
          <w:lang w:eastAsia="sk-SK"/>
        </w:rPr>
      </w:pPr>
    </w:p>
    <w:p w:rsidR="00752150" w:rsidRPr="00752150" w:rsidRDefault="00752150" w:rsidP="00752150">
      <w:pPr>
        <w:spacing w:after="0" w:line="240" w:lineRule="auto"/>
        <w:rPr>
          <w:rFonts w:ascii="Times New Roman" w:eastAsia="Times New Roman" w:hAnsi="Times New Roman" w:cs="Times New Roman"/>
          <w:b/>
          <w:bCs/>
          <w:sz w:val="24"/>
          <w:szCs w:val="24"/>
          <w:lang w:eastAsia="sk-SK"/>
        </w:rPr>
      </w:pPr>
    </w:p>
    <w:p w:rsidR="00752150" w:rsidRPr="00752150" w:rsidRDefault="00752150" w:rsidP="00752150">
      <w:pPr>
        <w:spacing w:after="0" w:line="240" w:lineRule="auto"/>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2.1 Zhrnutie vplyvov na rozpočet verejnej správy v návrhu</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p>
    <w:p w:rsidR="00752150" w:rsidRPr="00752150" w:rsidRDefault="00752150" w:rsidP="00752150">
      <w:pPr>
        <w:spacing w:after="0" w:line="240" w:lineRule="auto"/>
        <w:jc w:val="right"/>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Tabuľka č.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15"/>
        <w:gridCol w:w="1256"/>
        <w:gridCol w:w="1256"/>
        <w:gridCol w:w="1256"/>
        <w:gridCol w:w="1256"/>
      </w:tblGrid>
      <w:tr w:rsidR="00752150" w:rsidRPr="00752150" w:rsidTr="005F0C5C">
        <w:trPr>
          <w:trHeight w:val="194"/>
          <w:jc w:val="center"/>
        </w:trPr>
        <w:tc>
          <w:tcPr>
            <w:tcW w:w="4615" w:type="dxa"/>
            <w:vMerge w:val="restart"/>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bookmarkStart w:id="0" w:name="OLE_LINK1"/>
            <w:r w:rsidRPr="00752150">
              <w:rPr>
                <w:rFonts w:ascii="Times New Roman" w:eastAsia="Times New Roman" w:hAnsi="Times New Roman" w:cs="Times New Roman"/>
                <w:b/>
                <w:bCs/>
                <w:sz w:val="20"/>
                <w:szCs w:val="20"/>
                <w:lang w:eastAsia="sk-SK"/>
              </w:rPr>
              <w:t>Vplyvy na rozpočet verejnej správy</w:t>
            </w:r>
          </w:p>
        </w:tc>
        <w:tc>
          <w:tcPr>
            <w:tcW w:w="5024" w:type="dxa"/>
            <w:gridSpan w:val="4"/>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 (v eurách)</w:t>
            </w:r>
          </w:p>
        </w:tc>
      </w:tr>
      <w:tr w:rsidR="00752150" w:rsidRPr="00752150" w:rsidTr="005F0C5C">
        <w:trPr>
          <w:trHeight w:val="70"/>
          <w:jc w:val="center"/>
        </w:trPr>
        <w:tc>
          <w:tcPr>
            <w:tcW w:w="4615" w:type="dxa"/>
            <w:vMerge/>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256"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256"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256"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256"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r>
      <w:tr w:rsidR="00752150" w:rsidRPr="00752150" w:rsidTr="005F0C5C">
        <w:trPr>
          <w:trHeight w:val="70"/>
          <w:jc w:val="center"/>
        </w:trPr>
        <w:tc>
          <w:tcPr>
            <w:tcW w:w="4615" w:type="dxa"/>
            <w:shd w:val="clear" w:color="auto" w:fill="C0C0C0"/>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Príjmy verejnej správy celkom</w:t>
            </w:r>
          </w:p>
        </w:tc>
        <w:tc>
          <w:tcPr>
            <w:tcW w:w="1256" w:type="dxa"/>
            <w:shd w:val="clear" w:color="auto" w:fill="C0C0C0"/>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1 720</w:t>
            </w:r>
          </w:p>
        </w:tc>
        <w:tc>
          <w:tcPr>
            <w:tcW w:w="1256" w:type="dxa"/>
            <w:shd w:val="clear" w:color="auto" w:fill="C0C0C0"/>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2 660</w:t>
            </w:r>
          </w:p>
        </w:tc>
        <w:tc>
          <w:tcPr>
            <w:tcW w:w="1256" w:type="dxa"/>
            <w:shd w:val="clear" w:color="auto" w:fill="C0C0C0"/>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3 100</w:t>
            </w:r>
          </w:p>
        </w:tc>
        <w:tc>
          <w:tcPr>
            <w:tcW w:w="1256" w:type="dxa"/>
            <w:shd w:val="clear" w:color="auto" w:fill="C0C0C0"/>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4 900</w:t>
            </w:r>
          </w:p>
        </w:tc>
      </w:tr>
      <w:tr w:rsidR="00752150" w:rsidRPr="00752150" w:rsidTr="005F0C5C">
        <w:trPr>
          <w:trHeight w:val="132"/>
          <w:jc w:val="center"/>
        </w:trPr>
        <w:tc>
          <w:tcPr>
            <w:tcW w:w="4615" w:type="dxa"/>
            <w:noWrap/>
            <w:vAlign w:val="center"/>
          </w:tcPr>
          <w:p w:rsidR="00752150" w:rsidRPr="00752150" w:rsidRDefault="00752150" w:rsidP="00752150">
            <w:pPr>
              <w:tabs>
                <w:tab w:val="left" w:pos="851"/>
              </w:tabs>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v tom:</w:t>
            </w:r>
            <w:r w:rsidRPr="00752150">
              <w:rPr>
                <w:rFonts w:ascii="Times New Roman" w:eastAsia="Times New Roman" w:hAnsi="Times New Roman" w:cs="Times New Roman"/>
                <w:sz w:val="20"/>
                <w:szCs w:val="20"/>
                <w:lang w:eastAsia="sk-SK"/>
              </w:rPr>
              <w:tab/>
              <w:t>kapitola VPS</w:t>
            </w:r>
          </w:p>
        </w:tc>
        <w:tc>
          <w:tcPr>
            <w:tcW w:w="1256" w:type="dxa"/>
            <w:shd w:val="clear" w:color="auto" w:fill="auto"/>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1 720</w:t>
            </w:r>
          </w:p>
        </w:tc>
        <w:tc>
          <w:tcPr>
            <w:tcW w:w="1256" w:type="dxa"/>
            <w:shd w:val="clear" w:color="auto" w:fill="auto"/>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2 660</w:t>
            </w:r>
          </w:p>
        </w:tc>
        <w:tc>
          <w:tcPr>
            <w:tcW w:w="1256" w:type="dxa"/>
            <w:shd w:val="clear" w:color="auto" w:fill="auto"/>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3 100</w:t>
            </w:r>
          </w:p>
        </w:tc>
        <w:tc>
          <w:tcPr>
            <w:tcW w:w="1256" w:type="dxa"/>
            <w:shd w:val="clear" w:color="auto" w:fill="auto"/>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4 900</w:t>
            </w: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xml:space="preserve">z toho:  </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1 720</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2 660</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3 100</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4 900</w:t>
            </w: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Cs/>
                <w:i/>
                <w:iCs/>
                <w:sz w:val="20"/>
                <w:szCs w:val="20"/>
                <w:lang w:eastAsia="sk-SK"/>
              </w:rPr>
              <w:t>Rozpočtové prostriedky</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1 720</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2 660</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3 100</w:t>
            </w:r>
          </w:p>
        </w:tc>
        <w:tc>
          <w:tcPr>
            <w:tcW w:w="1256" w:type="dxa"/>
            <w:noWrap/>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4 900</w:t>
            </w: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Cs/>
                <w:i/>
                <w:iCs/>
                <w:sz w:val="20"/>
                <w:szCs w:val="20"/>
                <w:lang w:eastAsia="sk-SK"/>
              </w:rPr>
            </w:pPr>
            <w:r w:rsidRPr="00752150">
              <w:rPr>
                <w:rFonts w:ascii="Times New Roman" w:eastAsia="Times New Roman" w:hAnsi="Times New Roman" w:cs="Times New Roman"/>
                <w:bCs/>
                <w:i/>
                <w:iCs/>
                <w:sz w:val="20"/>
                <w:szCs w:val="20"/>
                <w:lang w:eastAsia="sk-SK"/>
              </w:rPr>
              <w:t>EÚ zdroje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r w:rsidRPr="00752150">
              <w:rPr>
                <w:rFonts w:ascii="Times New Roman" w:eastAsia="Times New Roman" w:hAnsi="Times New Roman" w:cs="Times New Roman"/>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r w:rsidRPr="00752150">
              <w:rPr>
                <w:rFonts w:ascii="Times New Roman" w:eastAsia="Times New Roman" w:hAnsi="Times New Roman" w:cs="Times New Roman"/>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r w:rsidRPr="00752150">
              <w:rPr>
                <w:rFonts w:ascii="Times New Roman" w:eastAsia="Times New Roman" w:hAnsi="Times New Roman" w:cs="Times New Roman"/>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125"/>
          <w:jc w:val="center"/>
        </w:trPr>
        <w:tc>
          <w:tcPr>
            <w:tcW w:w="4615" w:type="dxa"/>
            <w:shd w:val="clear" w:color="auto" w:fill="C0C0C0"/>
            <w:noWrap/>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Výdavky verejnej správy celkom</w:t>
            </w:r>
          </w:p>
        </w:tc>
        <w:tc>
          <w:tcPr>
            <w:tcW w:w="1256" w:type="dxa"/>
            <w:shd w:val="clear" w:color="auto" w:fill="C0C0C0"/>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tabs>
                <w:tab w:val="left" w:pos="851"/>
              </w:tabs>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v tom:</w:t>
            </w:r>
            <w:r w:rsidRPr="00752150">
              <w:rPr>
                <w:rFonts w:ascii="Times New Roman" w:eastAsia="Times New Roman" w:hAnsi="Times New Roman" w:cs="Times New Roman"/>
                <w:sz w:val="20"/>
                <w:szCs w:val="20"/>
                <w:lang w:eastAsia="sk-SK"/>
              </w:rPr>
              <w:tab/>
            </w:r>
          </w:p>
        </w:tc>
        <w:tc>
          <w:tcPr>
            <w:tcW w:w="1256" w:type="dxa"/>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noWrap/>
          </w:tcPr>
          <w:p w:rsidR="00752150" w:rsidRPr="00752150" w:rsidRDefault="00752150" w:rsidP="00752150">
            <w:pPr>
              <w:spacing w:after="0" w:line="240" w:lineRule="auto"/>
              <w:jc w:val="right"/>
              <w:rPr>
                <w:rFonts w:ascii="Times New Roman" w:hAnsi="Times New Roman"/>
                <w:sz w:val="24"/>
              </w:rPr>
            </w:pPr>
          </w:p>
        </w:tc>
        <w:tc>
          <w:tcPr>
            <w:tcW w:w="1256" w:type="dxa"/>
            <w:noWrap/>
          </w:tcPr>
          <w:p w:rsidR="00752150" w:rsidRPr="00752150" w:rsidRDefault="00752150" w:rsidP="00752150">
            <w:pPr>
              <w:spacing w:after="0" w:line="240" w:lineRule="auto"/>
              <w:jc w:val="right"/>
              <w:rPr>
                <w:rFonts w:ascii="Times New Roman" w:hAnsi="Times New Roman"/>
                <w:sz w:val="24"/>
              </w:rPr>
            </w:pPr>
          </w:p>
        </w:tc>
        <w:tc>
          <w:tcPr>
            <w:tcW w:w="1256" w:type="dxa"/>
            <w:noWrap/>
          </w:tcPr>
          <w:p w:rsidR="00752150" w:rsidRPr="00752150" w:rsidRDefault="00752150" w:rsidP="00752150">
            <w:pPr>
              <w:spacing w:after="0" w:line="240" w:lineRule="auto"/>
              <w:jc w:val="right"/>
              <w:rPr>
                <w:rFonts w:ascii="Times New Roman" w:hAnsi="Times New Roman"/>
                <w:sz w:val="24"/>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xml:space="preserve">z toho: </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Cs/>
                <w:i/>
                <w:iCs/>
                <w:sz w:val="20"/>
                <w:szCs w:val="20"/>
                <w:lang w:eastAsia="sk-SK"/>
              </w:rPr>
              <w:t>Rozpočtové prostriedky</w:t>
            </w: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shd w:val="clear" w:color="auto" w:fill="auto"/>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Cs/>
                <w:i/>
                <w:iCs/>
                <w:sz w:val="20"/>
                <w:szCs w:val="20"/>
                <w:lang w:eastAsia="sk-SK"/>
              </w:rPr>
            </w:pPr>
            <w:r w:rsidRPr="00752150">
              <w:rPr>
                <w:rFonts w:ascii="Times New Roman" w:eastAsia="Times New Roman" w:hAnsi="Times New Roman" w:cs="Times New Roman"/>
                <w:bCs/>
                <w:i/>
                <w:iCs/>
                <w:sz w:val="20"/>
                <w:szCs w:val="20"/>
                <w:lang w:eastAsia="sk-SK"/>
              </w:rPr>
              <w:t xml:space="preserve">    EÚ zdroje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Cs/>
                <w:i/>
                <w:iCs/>
                <w:sz w:val="20"/>
                <w:szCs w:val="20"/>
                <w:lang w:eastAsia="sk-SK"/>
              </w:rPr>
            </w:pPr>
            <w:r w:rsidRPr="00752150">
              <w:rPr>
                <w:rFonts w:ascii="Times New Roman" w:eastAsia="Times New Roman" w:hAnsi="Times New Roman" w:cs="Times New Roman"/>
                <w:bCs/>
                <w:i/>
                <w:iCs/>
                <w:sz w:val="20"/>
                <w:szCs w:val="20"/>
                <w:lang w:eastAsia="sk-SK"/>
              </w:rPr>
              <w:t xml:space="preserve">    spolufinancovanie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sz w:val="18"/>
                <w:szCs w:val="18"/>
                <w:lang w:eastAsia="sk-SK"/>
              </w:rPr>
            </w:pP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125"/>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shd w:val="clear" w:color="auto" w:fill="BFBFBF"/>
            <w:noWrap/>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xml:space="preserve">Vplyv na počet zamestnancov </w:t>
            </w: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shd w:val="clear" w:color="auto" w:fill="BFBFBF"/>
            <w:noWrap/>
            <w:vAlign w:val="center"/>
          </w:tcPr>
          <w:p w:rsidR="00752150" w:rsidRPr="00752150" w:rsidRDefault="00752150" w:rsidP="00752150">
            <w:pPr>
              <w:spacing w:after="0" w:line="240" w:lineRule="auto"/>
              <w:rPr>
                <w:rFonts w:ascii="Times New Roman" w:eastAsia="Times New Roman" w:hAnsi="Times New Roman" w:cs="Times New Roman"/>
                <w:b/>
                <w:sz w:val="20"/>
                <w:szCs w:val="20"/>
                <w:lang w:eastAsia="sk-SK"/>
              </w:rPr>
            </w:pPr>
            <w:r w:rsidRPr="00752150">
              <w:rPr>
                <w:rFonts w:ascii="Times New Roman" w:eastAsia="Times New Roman" w:hAnsi="Times New Roman" w:cs="Times New Roman"/>
                <w:b/>
                <w:sz w:val="20"/>
                <w:szCs w:val="20"/>
                <w:lang w:eastAsia="sk-SK"/>
              </w:rPr>
              <w:t>Vplyv na mzdové výdavky</w:t>
            </w: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noWrap/>
            <w:vAlign w:val="center"/>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shd w:val="clear" w:color="auto" w:fill="C0C0C0"/>
            <w:noWrap/>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Financovanie zabezpečené v rozpočte</w:t>
            </w:r>
          </w:p>
        </w:tc>
        <w:tc>
          <w:tcPr>
            <w:tcW w:w="1256" w:type="dxa"/>
            <w:shd w:val="clear" w:color="auto" w:fill="C0C0C0"/>
            <w:noWrap/>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C0C0C0"/>
            <w:noWrap/>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tr w:rsidR="00752150" w:rsidRPr="00752150" w:rsidTr="005F0C5C">
        <w:trPr>
          <w:trHeight w:val="70"/>
          <w:jc w:val="center"/>
        </w:trPr>
        <w:tc>
          <w:tcPr>
            <w:tcW w:w="4615" w:type="dxa"/>
            <w:noWrap/>
            <w:vAlign w:val="center"/>
          </w:tcPr>
          <w:p w:rsidR="00752150" w:rsidRPr="00752150" w:rsidRDefault="00752150" w:rsidP="00752150">
            <w:pPr>
              <w:tabs>
                <w:tab w:val="left" w:pos="851"/>
              </w:tabs>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v tom:</w:t>
            </w:r>
            <w:r w:rsidRPr="00752150">
              <w:rPr>
                <w:rFonts w:ascii="Times New Roman" w:eastAsia="Times New Roman" w:hAnsi="Times New Roman" w:cs="Times New Roman"/>
                <w:sz w:val="20"/>
                <w:szCs w:val="20"/>
                <w:lang w:eastAsia="sk-SK"/>
              </w:rPr>
              <w:tab/>
            </w:r>
          </w:p>
        </w:tc>
        <w:tc>
          <w:tcPr>
            <w:tcW w:w="1256" w:type="dxa"/>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256" w:type="dxa"/>
            <w:noWrap/>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r>
      <w:tr w:rsidR="00752150" w:rsidRPr="00752150" w:rsidTr="005F0C5C">
        <w:trPr>
          <w:trHeight w:val="70"/>
          <w:jc w:val="center"/>
        </w:trPr>
        <w:tc>
          <w:tcPr>
            <w:tcW w:w="4615" w:type="dxa"/>
            <w:shd w:val="clear" w:color="auto" w:fill="BFBFBF"/>
            <w:noWrap/>
            <w:vAlign w:val="center"/>
          </w:tcPr>
          <w:p w:rsidR="00752150" w:rsidRPr="00752150" w:rsidRDefault="00752150" w:rsidP="00752150">
            <w:pPr>
              <w:spacing w:after="0" w:line="240" w:lineRule="auto"/>
              <w:rPr>
                <w:rFonts w:ascii="Times New Roman" w:eastAsia="Times New Roman" w:hAnsi="Times New Roman" w:cs="Times New Roman"/>
                <w:b/>
                <w:sz w:val="20"/>
                <w:szCs w:val="20"/>
                <w:lang w:eastAsia="sk-SK"/>
              </w:rPr>
            </w:pPr>
            <w:r w:rsidRPr="00752150">
              <w:rPr>
                <w:rFonts w:ascii="Times New Roman" w:eastAsia="Times New Roman" w:hAnsi="Times New Roman" w:cs="Times New Roman"/>
                <w:b/>
                <w:sz w:val="20"/>
                <w:szCs w:val="20"/>
                <w:lang w:eastAsia="sk-SK"/>
              </w:rPr>
              <w:t>Iné ako rozpočtové zdroje</w:t>
            </w: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752150" w:rsidRPr="00752150" w:rsidRDefault="00752150" w:rsidP="00752150">
            <w:pPr>
              <w:spacing w:after="0" w:line="240" w:lineRule="auto"/>
              <w:jc w:val="right"/>
              <w:rPr>
                <w:rFonts w:ascii="Times New Roman" w:eastAsia="Times New Roman" w:hAnsi="Times New Roman" w:cs="Times New Roman"/>
                <w:b/>
                <w:bCs/>
                <w:sz w:val="18"/>
                <w:szCs w:val="18"/>
                <w:lang w:eastAsia="sk-SK"/>
              </w:rPr>
            </w:pPr>
          </w:p>
        </w:tc>
      </w:tr>
      <w:tr w:rsidR="00752150" w:rsidRPr="00752150" w:rsidTr="005F0C5C">
        <w:trPr>
          <w:trHeight w:val="70"/>
          <w:jc w:val="center"/>
        </w:trPr>
        <w:tc>
          <w:tcPr>
            <w:tcW w:w="4615" w:type="dxa"/>
            <w:shd w:val="clear" w:color="auto" w:fill="A6A6A6"/>
            <w:noWrap/>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Rozpočtovo nekrytý vplyv / úspora</w:t>
            </w:r>
          </w:p>
        </w:tc>
        <w:tc>
          <w:tcPr>
            <w:tcW w:w="1256" w:type="dxa"/>
            <w:shd w:val="clear" w:color="auto" w:fill="A6A6A6"/>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A6A6A6"/>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A6A6A6"/>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256" w:type="dxa"/>
            <w:shd w:val="clear" w:color="auto" w:fill="A6A6A6"/>
            <w:noWrap/>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r>
      <w:bookmarkEnd w:id="0"/>
    </w:tbl>
    <w:p w:rsidR="00752150" w:rsidRPr="00752150" w:rsidRDefault="00752150" w:rsidP="00752150">
      <w:pPr>
        <w:spacing w:after="0" w:line="240" w:lineRule="auto"/>
        <w:jc w:val="both"/>
        <w:rPr>
          <w:rFonts w:ascii="Times New Roman" w:eastAsia="Times New Roman" w:hAnsi="Times New Roman" w:cs="Times New Roman"/>
          <w:bCs/>
          <w:sz w:val="24"/>
          <w:szCs w:val="24"/>
          <w:lang w:eastAsia="sk-SK"/>
        </w:rPr>
      </w:pPr>
    </w:p>
    <w:p w:rsidR="00752150" w:rsidRPr="00752150" w:rsidRDefault="00752150" w:rsidP="00752150">
      <w:pPr>
        <w:spacing w:after="0" w:line="240" w:lineRule="auto"/>
        <w:jc w:val="both"/>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t>Výber správnych poplatkov prostredníctvom služby E-kolok zabezpečuje Slovenská pošta. Dopravný úrad zabezpečujú len evidenciu týchto správnych poplatkov.</w:t>
      </w:r>
    </w:p>
    <w:p w:rsidR="00752150" w:rsidRPr="00752150" w:rsidRDefault="00752150" w:rsidP="00752150">
      <w:pPr>
        <w:spacing w:after="0" w:line="240" w:lineRule="auto"/>
        <w:jc w:val="both"/>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br w:type="page"/>
      </w:r>
    </w:p>
    <w:p w:rsidR="00752150" w:rsidRPr="00752150" w:rsidRDefault="00752150" w:rsidP="00752150">
      <w:pPr>
        <w:spacing w:after="0" w:line="240" w:lineRule="auto"/>
        <w:jc w:val="both"/>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52150" w:rsidRPr="00752150" w:rsidRDefault="00752150" w:rsidP="00752150">
      <w:pPr>
        <w:spacing w:after="0" w:line="240" w:lineRule="auto"/>
        <w:jc w:val="both"/>
        <w:rPr>
          <w:rFonts w:ascii="Times New Roman" w:eastAsia="Times New Roman" w:hAnsi="Times New Roman" w:cs="Times New Roman"/>
          <w:bCs/>
          <w:sz w:val="24"/>
          <w:szCs w:val="24"/>
          <w:lang w:eastAsia="sk-SK"/>
        </w:rPr>
      </w:pPr>
    </w:p>
    <w:tbl>
      <w:tblPr>
        <w:tblStyle w:val="Mriekatabuky2"/>
        <w:tblW w:w="9639" w:type="dxa"/>
        <w:jc w:val="center"/>
        <w:tblLayout w:type="fixed"/>
        <w:tblCellMar>
          <w:left w:w="57" w:type="dxa"/>
          <w:right w:w="57" w:type="dxa"/>
        </w:tblCellMar>
        <w:tblLook w:val="04A0" w:firstRow="1" w:lastRow="0" w:firstColumn="1" w:lastColumn="0" w:noHBand="0" w:noVBand="1"/>
      </w:tblPr>
      <w:tblGrid>
        <w:gridCol w:w="9639"/>
      </w:tblGrid>
      <w:tr w:rsidR="00752150" w:rsidRPr="00752150" w:rsidTr="005F0C5C">
        <w:trPr>
          <w:jc w:val="center"/>
        </w:trPr>
        <w:tc>
          <w:tcPr>
            <w:tcW w:w="9639" w:type="dxa"/>
          </w:tcPr>
          <w:p w:rsidR="00752150" w:rsidRPr="00752150" w:rsidRDefault="00752150" w:rsidP="00752150">
            <w:pPr>
              <w:spacing w:after="0" w:line="240" w:lineRule="auto"/>
              <w:jc w:val="both"/>
              <w:rPr>
                <w:rFonts w:ascii="Times New Roman" w:hAnsi="Times New Roman" w:cs="Times New Roman"/>
                <w:bCs/>
                <w:sz w:val="24"/>
                <w:szCs w:val="24"/>
                <w:lang w:eastAsia="sk-SK"/>
              </w:rPr>
            </w:pPr>
            <w:r w:rsidRPr="00752150">
              <w:rPr>
                <w:rFonts w:ascii="Times New Roman" w:hAnsi="Times New Roman" w:cs="Times New Roman"/>
                <w:bCs/>
                <w:sz w:val="24"/>
                <w:szCs w:val="24"/>
                <w:lang w:eastAsia="sk-SK"/>
              </w:rPr>
              <w:t>Návrh zákona predpokladá pozitívny vplyv na rozpočet verejnej správy, ktorý predstavuje príjem štátneho rozpočtu vo forme správnych poplatkov. Výška tohto vplyvu je odhadom určená na základe expertného výpočtu. Pozitívny vplyv na rozpočet verejnej správy budú predstavovať správne poplatky v sumách uvedených v tabuľke č. 1, ktoré budú vyberané za úkony vykonané Dopravným úradom.</w:t>
            </w:r>
          </w:p>
          <w:p w:rsidR="00752150" w:rsidRPr="00752150" w:rsidRDefault="00752150" w:rsidP="00752150">
            <w:pPr>
              <w:spacing w:after="0" w:line="240" w:lineRule="auto"/>
              <w:jc w:val="both"/>
              <w:rPr>
                <w:rFonts w:ascii="Times New Roman" w:hAnsi="Times New Roman" w:cs="Times New Roman"/>
                <w:bCs/>
                <w:sz w:val="24"/>
                <w:szCs w:val="24"/>
                <w:lang w:eastAsia="sk-SK"/>
              </w:rPr>
            </w:pPr>
            <w:r w:rsidRPr="00752150">
              <w:rPr>
                <w:rFonts w:ascii="Times New Roman" w:hAnsi="Times New Roman" w:cs="Times New Roman"/>
                <w:bCs/>
                <w:sz w:val="24"/>
                <w:szCs w:val="24"/>
                <w:lang w:eastAsia="sk-SK"/>
              </w:rPr>
              <w:t>Výšku pokút nie je možné určiť ani expertným odhadom.</w:t>
            </w:r>
          </w:p>
        </w:tc>
      </w:tr>
    </w:tbl>
    <w:p w:rsidR="00752150" w:rsidRPr="00752150" w:rsidRDefault="00752150" w:rsidP="00752150">
      <w:pPr>
        <w:spacing w:after="0" w:line="240" w:lineRule="auto"/>
        <w:jc w:val="both"/>
        <w:rPr>
          <w:rFonts w:ascii="Times New Roman" w:eastAsia="Times New Roman" w:hAnsi="Times New Roman" w:cs="Times New Roman"/>
          <w:bCs/>
          <w:sz w:val="24"/>
          <w:szCs w:val="24"/>
          <w:lang w:eastAsia="sk-SK"/>
        </w:rPr>
      </w:pPr>
    </w:p>
    <w:p w:rsidR="00752150" w:rsidRPr="00752150" w:rsidRDefault="00752150" w:rsidP="00752150">
      <w:pPr>
        <w:spacing w:after="0" w:line="240" w:lineRule="auto"/>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 Popis a charakteristika návrhu</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p>
    <w:p w:rsidR="00752150" w:rsidRPr="00752150" w:rsidRDefault="00752150" w:rsidP="00752150">
      <w:pPr>
        <w:spacing w:after="0" w:line="240" w:lineRule="auto"/>
        <w:jc w:val="both"/>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2.2.1. Popis návrhu:</w:t>
      </w:r>
    </w:p>
    <w:p w:rsidR="00752150" w:rsidRPr="00752150" w:rsidRDefault="00752150" w:rsidP="00752150">
      <w:pPr>
        <w:spacing w:after="0" w:line="240" w:lineRule="auto"/>
        <w:jc w:val="both"/>
        <w:rPr>
          <w:rFonts w:ascii="Times New Roman" w:eastAsia="Times New Roman" w:hAnsi="Times New Roman" w:cs="Times New Roman"/>
          <w:i/>
          <w:sz w:val="24"/>
          <w:szCs w:val="24"/>
          <w:lang w:eastAsia="sk-SK"/>
        </w:rPr>
      </w:pPr>
      <w:r w:rsidRPr="00752150">
        <w:rPr>
          <w:rFonts w:ascii="Times New Roman" w:eastAsia="Times New Roman" w:hAnsi="Times New Roman" w:cs="Times New Roman"/>
          <w:i/>
          <w:sz w:val="24"/>
          <w:szCs w:val="24"/>
          <w:lang w:eastAsia="sk-SK"/>
        </w:rPr>
        <w:t>Akú problematiku návrh rieši? Kto bude návrh implementovať? Kde sa budú služby poskytovať?</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Novelou zákona č. 143/1998 Z. z. sa precizuje platná právna úprava a zavádza sa nová právna úprava vo vzťahu k povinnostiam vyplývajúcim z nariadenia </w:t>
      </w:r>
      <w:r w:rsidRPr="00752150">
        <w:rPr>
          <w:rFonts w:ascii="Times New Roman" w:hAnsi="Times New Roman"/>
          <w:sz w:val="24"/>
        </w:rPr>
        <w:t>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v platnom znení</w:t>
      </w:r>
      <w:r w:rsidRPr="00752150">
        <w:rPr>
          <w:rFonts w:ascii="Times New Roman" w:eastAsia="Times New Roman" w:hAnsi="Times New Roman" w:cs="Times New Roman"/>
          <w:sz w:val="24"/>
          <w:szCs w:val="24"/>
          <w:lang w:eastAsia="sk-SK"/>
        </w:rPr>
        <w:t>.</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p>
    <w:p w:rsidR="00752150" w:rsidRPr="00752150" w:rsidRDefault="00752150" w:rsidP="00752150">
      <w:pPr>
        <w:keepNext/>
        <w:spacing w:after="0" w:line="240" w:lineRule="auto"/>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2.2.2. Charakteristika návrhu:</w:t>
      </w:r>
    </w:p>
    <w:p w:rsidR="00752150" w:rsidRPr="00752150" w:rsidRDefault="00752150" w:rsidP="00752150">
      <w:pPr>
        <w:keepNext/>
        <w:spacing w:after="0" w:line="240" w:lineRule="auto"/>
        <w:rPr>
          <w:rFonts w:ascii="Times New Roman" w:eastAsia="Times New Roman" w:hAnsi="Times New Roman" w:cs="Times New Roman"/>
          <w:sz w:val="24"/>
          <w:szCs w:val="24"/>
          <w:lang w:eastAsia="sk-SK"/>
        </w:rPr>
      </w:pPr>
    </w:p>
    <w:p w:rsidR="00752150" w:rsidRPr="00752150" w:rsidRDefault="00752150" w:rsidP="00752150">
      <w:pPr>
        <w:keepNext/>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b/>
          <w:sz w:val="24"/>
          <w:szCs w:val="24"/>
          <w:bdr w:val="single" w:sz="4" w:space="0" w:color="auto"/>
          <w:lang w:eastAsia="sk-SK"/>
        </w:rPr>
        <w:t xml:space="preserve">     </w:t>
      </w:r>
      <w:r w:rsidRPr="00752150">
        <w:rPr>
          <w:rFonts w:ascii="Times New Roman" w:eastAsia="Times New Roman" w:hAnsi="Times New Roman" w:cs="Times New Roman"/>
          <w:b/>
          <w:sz w:val="24"/>
          <w:szCs w:val="24"/>
          <w:lang w:eastAsia="sk-SK"/>
        </w:rPr>
        <w:t xml:space="preserve">  </w:t>
      </w:r>
      <w:r w:rsidRPr="00752150">
        <w:rPr>
          <w:rFonts w:ascii="Times New Roman" w:eastAsia="Times New Roman" w:hAnsi="Times New Roman" w:cs="Times New Roman"/>
          <w:sz w:val="24"/>
          <w:szCs w:val="24"/>
          <w:lang w:eastAsia="sk-SK"/>
        </w:rPr>
        <w:t>zmena sadzby</w:t>
      </w:r>
    </w:p>
    <w:p w:rsidR="00752150" w:rsidRPr="00752150" w:rsidRDefault="00752150" w:rsidP="00752150">
      <w:pPr>
        <w:keepNext/>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w:t>
      </w:r>
      <w:r w:rsidRPr="00752150">
        <w:rPr>
          <w:rFonts w:ascii="Times New Roman" w:eastAsia="Times New Roman" w:hAnsi="Times New Roman" w:cs="Times New Roman"/>
          <w:sz w:val="24"/>
          <w:szCs w:val="24"/>
          <w:lang w:eastAsia="sk-SK"/>
        </w:rPr>
        <w:t xml:space="preserve">  zmena v nároku</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w:t>
      </w:r>
      <w:r w:rsidRPr="00752150">
        <w:rPr>
          <w:rFonts w:ascii="Times New Roman" w:eastAsia="Times New Roman" w:hAnsi="Times New Roman" w:cs="Times New Roman"/>
          <w:sz w:val="24"/>
          <w:szCs w:val="24"/>
          <w:lang w:eastAsia="sk-SK"/>
        </w:rPr>
        <w:t xml:space="preserve">  nová služba alebo nariadenie (alebo ich zrušenie)</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x  </w:t>
      </w:r>
      <w:r w:rsidRPr="00752150">
        <w:rPr>
          <w:rFonts w:ascii="Times New Roman" w:eastAsia="Times New Roman" w:hAnsi="Times New Roman" w:cs="Times New Roman"/>
          <w:sz w:val="24"/>
          <w:szCs w:val="24"/>
          <w:lang w:eastAsia="sk-SK"/>
        </w:rPr>
        <w:t xml:space="preserve">  kombinovaný návrh</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w:t>
      </w:r>
      <w:r w:rsidRPr="00752150">
        <w:rPr>
          <w:rFonts w:ascii="Times New Roman" w:eastAsia="Times New Roman" w:hAnsi="Times New Roman" w:cs="Times New Roman"/>
          <w:sz w:val="24"/>
          <w:szCs w:val="24"/>
          <w:lang w:eastAsia="sk-SK"/>
        </w:rPr>
        <w:t xml:space="preserve">  iné </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p>
    <w:p w:rsidR="00752150" w:rsidRPr="00752150" w:rsidRDefault="00752150" w:rsidP="00752150">
      <w:pPr>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b/>
          <w:bCs/>
          <w:sz w:val="24"/>
          <w:szCs w:val="24"/>
          <w:lang w:eastAsia="sk-SK"/>
        </w:rPr>
        <w:t>2.2.3. Predpoklady vývoja objemu aktivít:</w:t>
      </w:r>
    </w:p>
    <w:p w:rsidR="00752150" w:rsidRPr="00752150" w:rsidRDefault="00752150" w:rsidP="00752150">
      <w:pPr>
        <w:spacing w:after="0" w:line="240" w:lineRule="auto"/>
        <w:jc w:val="both"/>
        <w:rPr>
          <w:rFonts w:ascii="Times New Roman" w:eastAsia="Times New Roman" w:hAnsi="Times New Roman" w:cs="Times New Roman"/>
          <w:i/>
          <w:sz w:val="24"/>
          <w:szCs w:val="24"/>
          <w:lang w:eastAsia="sk-SK"/>
        </w:rPr>
      </w:pPr>
      <w:r w:rsidRPr="00752150">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rsidR="00752150" w:rsidRPr="00752150" w:rsidRDefault="00752150" w:rsidP="00752150">
      <w:pPr>
        <w:keepNext/>
        <w:spacing w:after="0" w:line="240" w:lineRule="auto"/>
        <w:jc w:val="right"/>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Tabuľka č. 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15"/>
        <w:gridCol w:w="1206"/>
        <w:gridCol w:w="1206"/>
        <w:gridCol w:w="1206"/>
        <w:gridCol w:w="1206"/>
      </w:tblGrid>
      <w:tr w:rsidR="00752150" w:rsidRPr="00752150" w:rsidTr="005F0C5C">
        <w:trPr>
          <w:trHeight w:val="70"/>
          <w:jc w:val="center"/>
        </w:trPr>
        <w:tc>
          <w:tcPr>
            <w:tcW w:w="4815" w:type="dxa"/>
            <w:vMerge w:val="restart"/>
            <w:shd w:val="clear" w:color="auto" w:fill="BFBFBF"/>
            <w:vAlign w:val="center"/>
          </w:tcPr>
          <w:p w:rsidR="00752150" w:rsidRPr="00752150" w:rsidRDefault="00752150" w:rsidP="00752150">
            <w:pPr>
              <w:keepNext/>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Objem aktivít</w:t>
            </w:r>
          </w:p>
        </w:tc>
        <w:tc>
          <w:tcPr>
            <w:tcW w:w="4824" w:type="dxa"/>
            <w:gridSpan w:val="4"/>
            <w:shd w:val="clear" w:color="auto" w:fill="BFBFBF"/>
            <w:vAlign w:val="center"/>
          </w:tcPr>
          <w:p w:rsidR="00752150" w:rsidRPr="00752150" w:rsidRDefault="00752150" w:rsidP="00752150">
            <w:pPr>
              <w:keepNext/>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Odhadované objemy</w:t>
            </w:r>
          </w:p>
        </w:tc>
      </w:tr>
      <w:tr w:rsidR="00752150" w:rsidRPr="00752150" w:rsidTr="005F0C5C">
        <w:trPr>
          <w:trHeight w:val="70"/>
          <w:jc w:val="center"/>
        </w:trPr>
        <w:tc>
          <w:tcPr>
            <w:tcW w:w="4815" w:type="dxa"/>
            <w:vMerge/>
            <w:shd w:val="clear" w:color="auto" w:fill="BFBFBF"/>
          </w:tcPr>
          <w:p w:rsidR="00752150" w:rsidRPr="00752150" w:rsidRDefault="00752150" w:rsidP="00752150">
            <w:pPr>
              <w:keepNext/>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p>
        </w:tc>
        <w:tc>
          <w:tcPr>
            <w:tcW w:w="1206" w:type="dxa"/>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206" w:type="dxa"/>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206" w:type="dxa"/>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206" w:type="dxa"/>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r>
      <w:tr w:rsidR="00752150" w:rsidRPr="00752150" w:rsidTr="005F0C5C">
        <w:trPr>
          <w:trHeight w:val="70"/>
          <w:jc w:val="center"/>
        </w:trPr>
        <w:tc>
          <w:tcPr>
            <w:tcW w:w="4815" w:type="dxa"/>
          </w:tcPr>
          <w:p w:rsidR="00752150" w:rsidRPr="00752150" w:rsidRDefault="00752150" w:rsidP="00752150">
            <w:pPr>
              <w:autoSpaceDE w:val="0"/>
              <w:autoSpaceDN w:val="0"/>
              <w:adjustRightInd w:val="0"/>
              <w:spacing w:after="0" w:line="240" w:lineRule="auto"/>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r>
      <w:tr w:rsidR="00752150" w:rsidRPr="00752150" w:rsidTr="005F0C5C">
        <w:trPr>
          <w:trHeight w:val="70"/>
          <w:jc w:val="center"/>
        </w:trPr>
        <w:tc>
          <w:tcPr>
            <w:tcW w:w="4815" w:type="dxa"/>
          </w:tcPr>
          <w:p w:rsidR="00752150" w:rsidRPr="00752150" w:rsidRDefault="00752150" w:rsidP="00752150">
            <w:pPr>
              <w:autoSpaceDE w:val="0"/>
              <w:autoSpaceDN w:val="0"/>
              <w:adjustRightInd w:val="0"/>
              <w:spacing w:after="0" w:line="240" w:lineRule="auto"/>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r>
      <w:tr w:rsidR="00752150" w:rsidRPr="00752150" w:rsidTr="005F0C5C">
        <w:trPr>
          <w:trHeight w:val="70"/>
          <w:jc w:val="center"/>
        </w:trPr>
        <w:tc>
          <w:tcPr>
            <w:tcW w:w="4815" w:type="dxa"/>
          </w:tcPr>
          <w:p w:rsidR="00752150" w:rsidRPr="00752150" w:rsidRDefault="00752150" w:rsidP="00752150">
            <w:pPr>
              <w:autoSpaceDE w:val="0"/>
              <w:autoSpaceDN w:val="0"/>
              <w:adjustRightInd w:val="0"/>
              <w:spacing w:after="0" w:line="240" w:lineRule="auto"/>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c>
          <w:tcPr>
            <w:tcW w:w="1206" w:type="dxa"/>
          </w:tcPr>
          <w:p w:rsidR="00752150" w:rsidRPr="00752150" w:rsidRDefault="00752150" w:rsidP="00752150">
            <w:pPr>
              <w:autoSpaceDE w:val="0"/>
              <w:autoSpaceDN w:val="0"/>
              <w:adjustRightInd w:val="0"/>
              <w:spacing w:after="0" w:line="240" w:lineRule="auto"/>
              <w:jc w:val="right"/>
              <w:rPr>
                <w:rFonts w:ascii="Times New Roman" w:eastAsia="Times New Roman" w:hAnsi="Times New Roman" w:cs="Times New Roman"/>
                <w:sz w:val="20"/>
                <w:szCs w:val="20"/>
                <w:lang w:eastAsia="sk-SK"/>
              </w:rPr>
            </w:pPr>
          </w:p>
        </w:tc>
      </w:tr>
    </w:tbl>
    <w:p w:rsidR="00752150" w:rsidRPr="00752150" w:rsidRDefault="00752150" w:rsidP="00752150">
      <w:pPr>
        <w:spacing w:after="0" w:line="240" w:lineRule="auto"/>
        <w:rPr>
          <w:rFonts w:ascii="Times New Roman" w:eastAsia="Times New Roman" w:hAnsi="Times New Roman" w:cs="Times New Roman"/>
          <w:sz w:val="24"/>
          <w:szCs w:val="24"/>
          <w:lang w:eastAsia="sk-SK"/>
        </w:rPr>
      </w:pPr>
    </w:p>
    <w:p w:rsidR="00752150" w:rsidRPr="00752150" w:rsidRDefault="00752150" w:rsidP="00752150">
      <w:pPr>
        <w:spacing w:after="0" w:line="240" w:lineRule="auto"/>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2.2.4. Výpočty vplyvov na verejné financie</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p>
    <w:p w:rsidR="00752150" w:rsidRPr="00752150" w:rsidRDefault="00752150" w:rsidP="00752150">
      <w:pPr>
        <w:spacing w:after="0" w:line="240" w:lineRule="auto"/>
        <w:jc w:val="both"/>
        <w:rPr>
          <w:rFonts w:ascii="Times New Roman" w:eastAsia="Times New Roman" w:hAnsi="Times New Roman" w:cs="Times New Roman"/>
          <w:b/>
          <w:sz w:val="24"/>
          <w:szCs w:val="24"/>
          <w:u w:val="single"/>
          <w:lang w:eastAsia="sk-SK"/>
        </w:rPr>
      </w:pPr>
      <w:r w:rsidRPr="00752150">
        <w:rPr>
          <w:rFonts w:ascii="Times New Roman" w:eastAsia="Times New Roman" w:hAnsi="Times New Roman" w:cs="Times New Roman"/>
          <w:b/>
          <w:sz w:val="24"/>
          <w:szCs w:val="24"/>
          <w:u w:val="single"/>
          <w:lang w:eastAsia="sk-SK"/>
        </w:rPr>
        <w:t>Správne poplatky, pokuty</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Na základe návrhu zákona nie je možné exaktne kvantifikovať charakter a rozsah celkových príjmov, keďže nie je možné konkrétne určiť počet pokút a správnych poplatkov a tým aj príslušných súm, ktoré budú vybraté. Navyše podľa § 6 ods. 2 zákona č. 145/1995 Z. z. o správnych poplatkoch v znení neskorších predpisov platí, že </w:t>
      </w:r>
      <w:r w:rsidRPr="00752150">
        <w:rPr>
          <w:rFonts w:ascii="Times New Roman" w:eastAsia="Times New Roman" w:hAnsi="Times New Roman" w:cs="Times New Roman"/>
          <w:i/>
          <w:sz w:val="24"/>
          <w:szCs w:val="24"/>
          <w:lang w:eastAsia="sk-SK"/>
        </w:rPr>
        <w:t xml:space="preserve">ak sa úkony a konania vykonávajú na základe </w:t>
      </w:r>
      <w:r w:rsidRPr="00752150">
        <w:rPr>
          <w:rFonts w:ascii="Times New Roman" w:eastAsia="Times New Roman" w:hAnsi="Times New Roman" w:cs="Times New Roman"/>
          <w:i/>
          <w:sz w:val="24"/>
          <w:szCs w:val="24"/>
          <w:lang w:eastAsia="sk-SK"/>
        </w:rPr>
        <w:lastRenderedPageBreak/>
        <w:t>návrhu podaného elektronickými prostriedkami alebo prostredníctvom integrovaného obslužného miesta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w:t>
      </w:r>
      <w:r w:rsidRPr="00752150">
        <w:rPr>
          <w:rFonts w:ascii="Times New Roman" w:eastAsia="Times New Roman" w:hAnsi="Times New Roman" w:cs="Times New Roman"/>
          <w:sz w:val="24"/>
          <w:szCs w:val="24"/>
          <w:lang w:eastAsia="sk-SK"/>
        </w:rPr>
        <w:t xml:space="preserve"> Aj vzhľadom na uvedené nie je možné jednoznačne určiť sumu vybratých správnych poplatkov, keďže nie je možné jednoznačne určiť počet podaní, ktoré budú podané elektronicky a ktoré budú podané zaužívaným spôsobom. </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Výpočet predpokladaného príjmu do štátneho rozpočtu vychádza z expertného odhadovaného výpočtu predpokladaných úkonov, ktoré budú spoplatnené správnymi poplatkami. </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Predmetný odhad vybratých správnych poplatkov bude príjmom rozpočtovej kapitoly Všeobecná pokladničná správa. </w:t>
      </w:r>
    </w:p>
    <w:p w:rsidR="00752150" w:rsidRPr="00752150" w:rsidRDefault="00752150" w:rsidP="00752150">
      <w:pPr>
        <w:spacing w:after="0" w:line="240" w:lineRule="auto"/>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Výpočet predpokladaného príjmu do štátneho rozpočtu za vybraté pokuty nie je možné určiť, pretože sa predpokladá, že osoby činné v civilnom letectve a osoby, ktorým povinnosti vyplývajú z príslušných právnych predpisov, si budú plniť svoje povinnosti a pokuta sa uplatní len v krajnom prípade.</w:t>
      </w:r>
    </w:p>
    <w:p w:rsidR="00752150" w:rsidRPr="00752150" w:rsidRDefault="00752150" w:rsidP="00752150">
      <w:pPr>
        <w:spacing w:after="0" w:line="240" w:lineRule="auto"/>
        <w:jc w:val="both"/>
        <w:rPr>
          <w:rFonts w:ascii="Times New Roman" w:eastAsia="Times New Roman" w:hAnsi="Times New Roman" w:cs="Times New Roman"/>
          <w:bCs/>
          <w:strike/>
          <w:sz w:val="24"/>
          <w:szCs w:val="24"/>
          <w:lang w:eastAsia="sk-SK"/>
        </w:rPr>
      </w:pPr>
    </w:p>
    <w:p w:rsidR="00752150" w:rsidRPr="00752150" w:rsidRDefault="00752150" w:rsidP="00752150">
      <w:pPr>
        <w:spacing w:after="0" w:line="240" w:lineRule="auto"/>
        <w:jc w:val="both"/>
        <w:rPr>
          <w:rFonts w:ascii="Times New Roman" w:eastAsia="Times New Roman" w:hAnsi="Times New Roman" w:cs="Times New Roman"/>
          <w:bCs/>
          <w:strike/>
          <w:sz w:val="24"/>
          <w:szCs w:val="24"/>
          <w:lang w:eastAsia="sk-SK"/>
        </w:rPr>
        <w:sectPr w:rsidR="00752150" w:rsidRPr="00752150" w:rsidSect="00092063">
          <w:headerReference w:type="even" r:id="rId9"/>
          <w:footerReference w:type="even" r:id="rId10"/>
          <w:footerReference w:type="default" r:id="rId11"/>
          <w:headerReference w:type="first" r:id="rId12"/>
          <w:footerReference w:type="first" r:id="rId13"/>
          <w:pgSz w:w="11906" w:h="16838"/>
          <w:pgMar w:top="1531" w:right="851" w:bottom="1418" w:left="1418" w:header="709" w:footer="709" w:gutter="0"/>
          <w:cols w:space="708"/>
          <w:docGrid w:linePitch="360"/>
        </w:sectPr>
      </w:pPr>
    </w:p>
    <w:p w:rsidR="00752150" w:rsidRPr="00752150" w:rsidRDefault="00752150" w:rsidP="00752150">
      <w:pPr>
        <w:spacing w:after="0" w:line="240" w:lineRule="auto"/>
        <w:jc w:val="right"/>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lastRenderedPageBreak/>
        <w:t>Tabuľka č. 3</w:t>
      </w:r>
    </w:p>
    <w:p w:rsidR="00752150" w:rsidRPr="00752150" w:rsidRDefault="00752150" w:rsidP="00752150">
      <w:pPr>
        <w:spacing w:after="0" w:line="240" w:lineRule="auto"/>
        <w:rPr>
          <w:rFonts w:ascii="Times New Roman" w:eastAsia="Times New Roman" w:hAnsi="Times New Roman" w:cs="Times New Roman"/>
          <w:bCs/>
          <w:sz w:val="24"/>
          <w:szCs w:val="24"/>
          <w:lang w:eastAsia="sk-SK"/>
        </w:rPr>
      </w:pPr>
    </w:p>
    <w:tbl>
      <w:tblPr>
        <w:tblW w:w="13892" w:type="dxa"/>
        <w:jc w:val="center"/>
        <w:tblLayout w:type="fixed"/>
        <w:tblCellMar>
          <w:left w:w="57" w:type="dxa"/>
          <w:right w:w="57" w:type="dxa"/>
        </w:tblCellMar>
        <w:tblLook w:val="0000" w:firstRow="0" w:lastRow="0" w:firstColumn="0" w:lastColumn="0" w:noHBand="0" w:noVBand="0"/>
      </w:tblPr>
      <w:tblGrid>
        <w:gridCol w:w="4929"/>
        <w:gridCol w:w="1494"/>
        <w:gridCol w:w="1494"/>
        <w:gridCol w:w="1494"/>
        <w:gridCol w:w="1494"/>
        <w:gridCol w:w="2987"/>
      </w:tblGrid>
      <w:tr w:rsidR="00752150" w:rsidRPr="00752150" w:rsidTr="005F0C5C">
        <w:trPr>
          <w:trHeight w:val="255"/>
          <w:jc w:val="center"/>
        </w:trPr>
        <w:tc>
          <w:tcPr>
            <w:tcW w:w="4929"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Príjmy (v eurách)</w:t>
            </w:r>
          </w:p>
        </w:tc>
        <w:tc>
          <w:tcPr>
            <w:tcW w:w="5976" w:type="dxa"/>
            <w:gridSpan w:val="4"/>
            <w:tcBorders>
              <w:top w:val="single" w:sz="4" w:space="0" w:color="auto"/>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poznámka</w:t>
            </w:r>
          </w:p>
        </w:tc>
      </w:tr>
      <w:tr w:rsidR="00752150" w:rsidRPr="00752150" w:rsidTr="005F0C5C">
        <w:trPr>
          <w:trHeight w:val="255"/>
          <w:jc w:val="center"/>
        </w:trPr>
        <w:tc>
          <w:tcPr>
            <w:tcW w:w="4929" w:type="dxa"/>
            <w:vMerge/>
            <w:tcBorders>
              <w:top w:val="single" w:sz="4" w:space="0" w:color="auto"/>
              <w:left w:val="single" w:sz="4" w:space="0" w:color="auto"/>
              <w:bottom w:val="single" w:sz="4" w:space="0" w:color="auto"/>
              <w:right w:val="single" w:sz="4" w:space="0" w:color="auto"/>
            </w:tcBorders>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c>
          <w:tcPr>
            <w:tcW w:w="2987" w:type="dxa"/>
            <w:vMerge/>
            <w:tcBorders>
              <w:top w:val="single" w:sz="4" w:space="0" w:color="auto"/>
              <w:left w:val="single" w:sz="4" w:space="0" w:color="auto"/>
              <w:bottom w:val="single" w:sz="4" w:space="0" w:color="auto"/>
              <w:right w:val="single" w:sz="4" w:space="0" w:color="auto"/>
            </w:tcBorders>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p>
        </w:tc>
      </w:tr>
      <w:tr w:rsidR="00752150" w:rsidRPr="00752150" w:rsidTr="005F0C5C">
        <w:trPr>
          <w:trHeight w:val="255"/>
          <w:jc w:val="center"/>
        </w:trPr>
        <w:tc>
          <w:tcPr>
            <w:tcW w:w="4929"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vertAlign w:val="superscript"/>
                <w:lang w:eastAsia="sk-SK"/>
              </w:rPr>
            </w:pPr>
            <w:r w:rsidRPr="00752150">
              <w:rPr>
                <w:rFonts w:ascii="Times New Roman" w:eastAsia="Times New Roman" w:hAnsi="Times New Roman" w:cs="Times New Roman"/>
                <w:b/>
                <w:bCs/>
                <w:sz w:val="20"/>
                <w:szCs w:val="20"/>
                <w:lang w:eastAsia="sk-SK"/>
              </w:rPr>
              <w:t>Daňové príjmy (100)</w:t>
            </w:r>
            <w:r w:rsidRPr="00752150">
              <w:rPr>
                <w:rFonts w:ascii="Times New Roman" w:eastAsia="Times New Roman" w:hAnsi="Times New Roman" w:cs="Times New Roman"/>
                <w:b/>
                <w:bCs/>
                <w:sz w:val="20"/>
                <w:szCs w:val="20"/>
                <w:vertAlign w:val="superscript"/>
                <w:lang w:eastAsia="sk-SK"/>
              </w:rPr>
              <w:t>1</w:t>
            </w: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987"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4929"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
                <w:bCs/>
                <w:sz w:val="20"/>
                <w:szCs w:val="20"/>
                <w:lang w:eastAsia="sk-SK"/>
              </w:rPr>
              <w:t>Nedaňové príjmy (200)</w:t>
            </w:r>
            <w:r w:rsidRPr="00752150">
              <w:rPr>
                <w:rFonts w:ascii="Times New Roman" w:eastAsia="Times New Roman" w:hAnsi="Times New Roman" w:cs="Times New Roman"/>
                <w:b/>
                <w:bCs/>
                <w:sz w:val="20"/>
                <w:szCs w:val="20"/>
                <w:vertAlign w:val="superscript"/>
                <w:lang w:eastAsia="sk-SK"/>
              </w:rPr>
              <w:t>1</w:t>
            </w:r>
            <w:r w:rsidRPr="00752150">
              <w:rPr>
                <w:rFonts w:ascii="Times New Roman" w:eastAsia="Times New Roman" w:hAnsi="Times New Roman" w:cs="Times New Roman"/>
                <w:bCs/>
                <w:sz w:val="20"/>
                <w:szCs w:val="20"/>
                <w:lang w:eastAsia="sk-SK"/>
              </w:rPr>
              <w:t xml:space="preserve"> v tom: Administratívne poplatky (221004)</w:t>
            </w:r>
          </w:p>
        </w:tc>
        <w:tc>
          <w:tcPr>
            <w:tcW w:w="1494" w:type="dxa"/>
            <w:tcBorders>
              <w:top w:val="nil"/>
              <w:left w:val="nil"/>
              <w:bottom w:val="single" w:sz="4" w:space="0" w:color="auto"/>
              <w:right w:val="single" w:sz="4" w:space="0" w:color="auto"/>
            </w:tcBorders>
            <w:shd w:val="clear" w:color="auto" w:fill="auto"/>
            <w:vAlign w:val="center"/>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1 720</w:t>
            </w:r>
          </w:p>
        </w:tc>
        <w:tc>
          <w:tcPr>
            <w:tcW w:w="1494" w:type="dxa"/>
            <w:tcBorders>
              <w:top w:val="nil"/>
              <w:left w:val="nil"/>
              <w:bottom w:val="single" w:sz="4" w:space="0" w:color="auto"/>
              <w:right w:val="single" w:sz="4" w:space="0" w:color="auto"/>
            </w:tcBorders>
            <w:shd w:val="clear" w:color="auto" w:fill="auto"/>
            <w:vAlign w:val="center"/>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2 660</w:t>
            </w:r>
          </w:p>
        </w:tc>
        <w:tc>
          <w:tcPr>
            <w:tcW w:w="1494" w:type="dxa"/>
            <w:tcBorders>
              <w:top w:val="nil"/>
              <w:left w:val="nil"/>
              <w:bottom w:val="single" w:sz="4" w:space="0" w:color="auto"/>
              <w:right w:val="single" w:sz="4" w:space="0" w:color="auto"/>
            </w:tcBorders>
            <w:shd w:val="clear" w:color="auto" w:fill="auto"/>
            <w:vAlign w:val="center"/>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3 100</w:t>
            </w:r>
          </w:p>
        </w:tc>
        <w:tc>
          <w:tcPr>
            <w:tcW w:w="1494" w:type="dxa"/>
            <w:tcBorders>
              <w:top w:val="nil"/>
              <w:left w:val="nil"/>
              <w:bottom w:val="single" w:sz="4" w:space="0" w:color="auto"/>
              <w:right w:val="single" w:sz="4" w:space="0" w:color="auto"/>
            </w:tcBorders>
            <w:shd w:val="clear" w:color="auto" w:fill="auto"/>
            <w:vAlign w:val="center"/>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4 900</w:t>
            </w:r>
          </w:p>
        </w:tc>
        <w:tc>
          <w:tcPr>
            <w:tcW w:w="2987"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odhad príjmov formou správnych poplatkov</w:t>
            </w:r>
          </w:p>
        </w:tc>
      </w:tr>
      <w:tr w:rsidR="00752150" w:rsidRPr="00752150" w:rsidTr="005F0C5C">
        <w:trPr>
          <w:trHeight w:val="255"/>
          <w:jc w:val="center"/>
        </w:trPr>
        <w:tc>
          <w:tcPr>
            <w:tcW w:w="4929"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Granty a transfery (300)</w:t>
            </w:r>
            <w:r w:rsidRPr="00752150">
              <w:rPr>
                <w:rFonts w:ascii="Times New Roman" w:eastAsia="Times New Roman" w:hAnsi="Times New Roman" w:cs="Times New Roman"/>
                <w:b/>
                <w:bCs/>
                <w:sz w:val="20"/>
                <w:szCs w:val="20"/>
                <w:vertAlign w:val="superscript"/>
                <w:lang w:eastAsia="sk-SK"/>
              </w:rPr>
              <w:t>1</w:t>
            </w: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987"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4929"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Príjmy z transakcií s finančnými aktívami a finančnými pasívami (400)</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2987"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4929"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Prijaté úvery, pôžičky a návratné finančné výpomoci (500)</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2987"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4929" w:type="dxa"/>
            <w:tcBorders>
              <w:top w:val="nil"/>
              <w:left w:val="single" w:sz="4" w:space="0" w:color="auto"/>
              <w:bottom w:val="single" w:sz="4" w:space="0" w:color="auto"/>
              <w:right w:val="single" w:sz="4" w:space="0" w:color="auto"/>
            </w:tcBorders>
            <w:shd w:val="clear" w:color="auto" w:fill="BFBFBF"/>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Dopad na príjmy verejnej správy celkom</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1 720</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2 660</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3 100</w:t>
            </w:r>
          </w:p>
        </w:tc>
        <w:tc>
          <w:tcPr>
            <w:tcW w:w="1494"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4 900</w:t>
            </w:r>
          </w:p>
        </w:tc>
        <w:tc>
          <w:tcPr>
            <w:tcW w:w="2987" w:type="dxa"/>
            <w:tcBorders>
              <w:top w:val="nil"/>
              <w:left w:val="nil"/>
              <w:bottom w:val="single" w:sz="4" w:space="0" w:color="auto"/>
              <w:right w:val="single" w:sz="4" w:space="0" w:color="auto"/>
            </w:tcBorders>
            <w:shd w:val="clear" w:color="auto" w:fill="BFBFBF"/>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bl>
    <w:p w:rsidR="00752150" w:rsidRPr="00752150" w:rsidRDefault="00752150" w:rsidP="00752150">
      <w:pPr>
        <w:spacing w:after="0" w:line="240" w:lineRule="auto"/>
        <w:jc w:val="both"/>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0"/>
          <w:szCs w:val="20"/>
          <w:lang w:eastAsia="sk-SK"/>
        </w:rPr>
        <w:t>1 –  príjmy rozpísať až do položiek platnej ekonomickej klasifikácie</w:t>
      </w:r>
    </w:p>
    <w:p w:rsidR="00752150" w:rsidRPr="00752150" w:rsidRDefault="00752150" w:rsidP="00752150">
      <w:pPr>
        <w:spacing w:after="0" w:line="240" w:lineRule="auto"/>
        <w:jc w:val="both"/>
        <w:rPr>
          <w:rFonts w:ascii="Times New Roman" w:eastAsia="Times New Roman" w:hAnsi="Times New Roman" w:cs="Times New Roman"/>
          <w:bCs/>
          <w:sz w:val="24"/>
          <w:szCs w:val="20"/>
          <w:lang w:eastAsia="sk-SK"/>
        </w:rPr>
      </w:pPr>
    </w:p>
    <w:p w:rsidR="00752150" w:rsidRPr="00752150" w:rsidRDefault="00752150" w:rsidP="00752150">
      <w:pPr>
        <w:spacing w:after="0" w:line="240" w:lineRule="auto"/>
        <w:jc w:val="both"/>
        <w:rPr>
          <w:rFonts w:ascii="Times New Roman" w:eastAsia="Times New Roman" w:hAnsi="Times New Roman" w:cs="Times New Roman"/>
          <w:b/>
          <w:bCs/>
          <w:sz w:val="24"/>
          <w:szCs w:val="20"/>
          <w:lang w:eastAsia="sk-SK"/>
        </w:rPr>
      </w:pPr>
      <w:r w:rsidRPr="00752150">
        <w:rPr>
          <w:rFonts w:ascii="Times New Roman" w:eastAsia="Times New Roman" w:hAnsi="Times New Roman" w:cs="Times New Roman"/>
          <w:b/>
          <w:bCs/>
          <w:sz w:val="24"/>
          <w:szCs w:val="20"/>
          <w:lang w:eastAsia="sk-SK"/>
        </w:rPr>
        <w:t>Poznámka:</w:t>
      </w:r>
    </w:p>
    <w:p w:rsidR="00752150" w:rsidRPr="00752150" w:rsidRDefault="00752150" w:rsidP="00752150">
      <w:pPr>
        <w:spacing w:after="0" w:line="240" w:lineRule="auto"/>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52150" w:rsidRPr="00752150" w:rsidRDefault="00752150" w:rsidP="00752150">
      <w:pPr>
        <w:spacing w:after="200" w:line="276" w:lineRule="auto"/>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br w:type="page"/>
      </w:r>
    </w:p>
    <w:p w:rsidR="00752150" w:rsidRPr="00752150" w:rsidRDefault="00752150" w:rsidP="00752150">
      <w:pPr>
        <w:spacing w:after="0" w:line="240" w:lineRule="auto"/>
        <w:ind w:right="-32"/>
        <w:jc w:val="right"/>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lastRenderedPageBreak/>
        <w:t xml:space="preserve">Tabuľka č. 4 </w:t>
      </w:r>
    </w:p>
    <w:p w:rsidR="00752150" w:rsidRPr="00752150" w:rsidRDefault="00752150" w:rsidP="00752150">
      <w:pPr>
        <w:spacing w:after="0" w:line="240" w:lineRule="auto"/>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 xml:space="preserve">kapitola </w:t>
      </w:r>
    </w:p>
    <w:tbl>
      <w:tblPr>
        <w:tblW w:w="13892" w:type="dxa"/>
        <w:jc w:val="center"/>
        <w:tblCellMar>
          <w:left w:w="70" w:type="dxa"/>
          <w:right w:w="70" w:type="dxa"/>
        </w:tblCellMar>
        <w:tblLook w:val="0000" w:firstRow="0" w:lastRow="0" w:firstColumn="0" w:lastColumn="0" w:noHBand="0" w:noVBand="0"/>
      </w:tblPr>
      <w:tblGrid>
        <w:gridCol w:w="6148"/>
        <w:gridCol w:w="1381"/>
        <w:gridCol w:w="1381"/>
        <w:gridCol w:w="1381"/>
        <w:gridCol w:w="1381"/>
        <w:gridCol w:w="2220"/>
      </w:tblGrid>
      <w:tr w:rsidR="00752150" w:rsidRPr="00752150" w:rsidTr="005F0C5C">
        <w:trPr>
          <w:trHeight w:val="255"/>
          <w:jc w:val="center"/>
        </w:trPr>
        <w:tc>
          <w:tcPr>
            <w:tcW w:w="614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Výdavky (v eurách)</w:t>
            </w:r>
          </w:p>
        </w:tc>
        <w:tc>
          <w:tcPr>
            <w:tcW w:w="5524" w:type="dxa"/>
            <w:gridSpan w:val="4"/>
            <w:tcBorders>
              <w:top w:val="single" w:sz="4" w:space="0" w:color="auto"/>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poznámka</w:t>
            </w:r>
          </w:p>
        </w:tc>
      </w:tr>
      <w:tr w:rsidR="00752150" w:rsidRPr="00752150" w:rsidTr="005F0C5C">
        <w:trPr>
          <w:trHeight w:val="255"/>
          <w:jc w:val="center"/>
        </w:trPr>
        <w:tc>
          <w:tcPr>
            <w:tcW w:w="6148" w:type="dxa"/>
            <w:vMerge/>
            <w:tcBorders>
              <w:top w:val="single" w:sz="4" w:space="0" w:color="auto"/>
              <w:left w:val="single" w:sz="4" w:space="0" w:color="auto"/>
              <w:bottom w:val="single" w:sz="4" w:space="0" w:color="000000"/>
              <w:right w:val="single" w:sz="4" w:space="0" w:color="auto"/>
            </w:tcBorders>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381"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381"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381"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Bežné výdavky (600)</w:t>
            </w: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Mzdy, platy, služobné príjmy a ostatné osobné vyrovnania (610)</w:t>
            </w: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vertAlign w:val="superscript"/>
                <w:lang w:eastAsia="sk-SK"/>
              </w:rPr>
            </w:pPr>
            <w:r w:rsidRPr="00752150">
              <w:rPr>
                <w:rFonts w:ascii="Times New Roman" w:eastAsia="Times New Roman" w:hAnsi="Times New Roman" w:cs="Times New Roman"/>
                <w:sz w:val="20"/>
                <w:szCs w:val="20"/>
                <w:lang w:eastAsia="sk-SK"/>
              </w:rPr>
              <w:t xml:space="preserve">  Poistné a príspevok do poisťovní (620)</w:t>
            </w: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vertAlign w:val="superscript"/>
                <w:lang w:eastAsia="sk-SK"/>
              </w:rPr>
            </w:pPr>
            <w:r w:rsidRPr="00752150">
              <w:rPr>
                <w:rFonts w:ascii="Times New Roman" w:eastAsia="Times New Roman" w:hAnsi="Times New Roman" w:cs="Times New Roman"/>
                <w:sz w:val="20"/>
                <w:szCs w:val="20"/>
                <w:lang w:eastAsia="sk-SK"/>
              </w:rPr>
              <w:t xml:space="preserve">  Tovary a služby (630)</w:t>
            </w:r>
            <w:r w:rsidRPr="00752150">
              <w:rPr>
                <w:rFonts w:ascii="Times New Roman" w:eastAsia="Times New Roman" w:hAnsi="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Bežné transfery (640)</w:t>
            </w:r>
            <w:r w:rsidRPr="00752150">
              <w:rPr>
                <w:rFonts w:ascii="Times New Roman" w:eastAsia="Times New Roman" w:hAnsi="Times New Roman" w:cs="Times New Roman"/>
                <w:sz w:val="20"/>
                <w:szCs w:val="20"/>
                <w:vertAlign w:val="superscript"/>
                <w:lang w:eastAsia="sk-SK"/>
              </w:rPr>
              <w:t xml:space="preserve">2 </w:t>
            </w:r>
            <w:r w:rsidRPr="00752150">
              <w:rPr>
                <w:rFonts w:ascii="Times New Roman" w:eastAsia="Times New Roman" w:hAnsi="Times New Roman" w:cs="Times New Roman"/>
                <w:sz w:val="20"/>
                <w:szCs w:val="20"/>
                <w:lang w:eastAsia="sk-SK"/>
              </w:rPr>
              <w:t>v tom: transfery prijímateľom príspevku (644001)</w:t>
            </w: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Splácanie úrokov a ostatné platby súvisiace s </w:t>
            </w:r>
            <w:r w:rsidRPr="00752150">
              <w:rPr>
                <w:rFonts w:ascii="Times New Roman" w:eastAsia="Times New Roman" w:hAnsi="Times New Roman" w:cs="Times New Roman"/>
                <w:sz w:val="20"/>
                <w:szCs w:val="20"/>
              </w:rPr>
              <w:t xml:space="preserve"> </w:t>
            </w:r>
            <w:r w:rsidRPr="00752150">
              <w:rPr>
                <w:rFonts w:ascii="Times New Roman" w:eastAsia="Times New Roman" w:hAnsi="Times New Roman" w:cs="Times New Roman"/>
                <w:sz w:val="20"/>
                <w:szCs w:val="20"/>
                <w:lang w:eastAsia="sk-SK"/>
              </w:rPr>
              <w:t>úverom, pôžičkou, návratnou finančnou výpomocou a finančným prenájmom (650)</w:t>
            </w:r>
            <w:r w:rsidRPr="00752150">
              <w:rPr>
                <w:rFonts w:ascii="Times New Roman" w:eastAsia="Times New Roman" w:hAnsi="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Kapitálové výdavky (700)</w:t>
            </w: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Obstarávanie kapitálových aktív (710)</w:t>
            </w:r>
            <w:r w:rsidRPr="00752150">
              <w:rPr>
                <w:rFonts w:ascii="Times New Roman" w:eastAsia="Times New Roman" w:hAnsi="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single" w:sz="4" w:space="0" w:color="auto"/>
              <w:right w:val="single" w:sz="4" w:space="0" w:color="auto"/>
            </w:tcBorders>
          </w:tcPr>
          <w:p w:rsidR="00752150" w:rsidRPr="00752150" w:rsidRDefault="00752150" w:rsidP="00752150">
            <w:pPr>
              <w:spacing w:after="0" w:line="240" w:lineRule="auto"/>
              <w:jc w:val="right"/>
              <w:rPr>
                <w:rFonts w:ascii="Times New Roman" w:eastAsia="Times New Roman" w:hAnsi="Times New Roman" w:cs="Times New Roman"/>
                <w:sz w:val="20"/>
                <w:szCs w:val="20"/>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Kapitálové transfery (720)</w:t>
            </w:r>
            <w:r w:rsidRPr="00752150">
              <w:rPr>
                <w:rFonts w:ascii="Times New Roman" w:eastAsia="Times New Roman" w:hAnsi="Times New Roman" w:cs="Times New Roman"/>
                <w:sz w:val="20"/>
                <w:szCs w:val="20"/>
                <w:vertAlign w:val="superscript"/>
                <w:lang w:eastAsia="sk-SK"/>
              </w:rPr>
              <w:t>2</w:t>
            </w:r>
            <w:r w:rsidRPr="00752150">
              <w:rPr>
                <w:rFonts w:ascii="Times New Roman" w:eastAsia="Times New Roman" w:hAnsi="Times New Roman" w:cs="Times New Roman"/>
                <w:sz w:val="20"/>
                <w:szCs w:val="20"/>
                <w:lang w:eastAsia="sk-SK"/>
              </w:rPr>
              <w:t xml:space="preserve"> v tom: kapitálové transfery prijímateľom príspevku (723001)</w:t>
            </w: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1381" w:type="dxa"/>
            <w:tcBorders>
              <w:top w:val="nil"/>
              <w:left w:val="nil"/>
              <w:bottom w:val="single" w:sz="4" w:space="0" w:color="auto"/>
              <w:right w:val="single" w:sz="4" w:space="0" w:color="auto"/>
            </w:tcBorders>
            <w:vAlign w:val="bottom"/>
          </w:tcPr>
          <w:p w:rsidR="00752150" w:rsidRPr="00752150" w:rsidRDefault="00752150" w:rsidP="00752150">
            <w:pPr>
              <w:spacing w:after="0" w:line="240" w:lineRule="auto"/>
              <w:jc w:val="right"/>
              <w:rPr>
                <w:rFonts w:ascii="Times New Roman" w:eastAsia="Times New Roman" w:hAnsi="Times New Roman" w:cs="Times New Roman"/>
                <w:bCs/>
                <w:iCs/>
                <w:sz w:val="18"/>
                <w:szCs w:val="18"/>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Výdavky z transakcií s finančnými aktívami a finančnými pasívami (800)</w:t>
            </w:r>
          </w:p>
        </w:tc>
        <w:tc>
          <w:tcPr>
            <w:tcW w:w="1381"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right"/>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right"/>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right"/>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FFFF99"/>
          </w:tcPr>
          <w:p w:rsidR="00752150" w:rsidRPr="00752150" w:rsidRDefault="00752150" w:rsidP="00752150">
            <w:pPr>
              <w:spacing w:after="0" w:line="240" w:lineRule="auto"/>
              <w:jc w:val="right"/>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48" w:type="dxa"/>
            <w:tcBorders>
              <w:top w:val="single" w:sz="4" w:space="0" w:color="auto"/>
              <w:left w:val="single" w:sz="4" w:space="0" w:color="auto"/>
              <w:bottom w:val="single" w:sz="4" w:space="0" w:color="auto"/>
              <w:right w:val="single" w:sz="4" w:space="0" w:color="auto"/>
            </w:tcBorders>
            <w:shd w:val="clear" w:color="auto" w:fill="BFBFBF"/>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Dopad na výdavky verejnej správy celkom</w:t>
            </w:r>
          </w:p>
        </w:tc>
        <w:tc>
          <w:tcPr>
            <w:tcW w:w="1381" w:type="dxa"/>
            <w:tcBorders>
              <w:top w:val="single" w:sz="4" w:space="0" w:color="auto"/>
              <w:left w:val="nil"/>
              <w:bottom w:val="single" w:sz="4" w:space="0" w:color="auto"/>
              <w:right w:val="single" w:sz="4" w:space="0" w:color="auto"/>
            </w:tcBorders>
            <w:shd w:val="clear" w:color="auto" w:fill="BFBFBF"/>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381" w:type="dxa"/>
            <w:tcBorders>
              <w:top w:val="single" w:sz="4" w:space="0" w:color="auto"/>
              <w:left w:val="nil"/>
              <w:bottom w:val="single" w:sz="4" w:space="0" w:color="auto"/>
              <w:right w:val="single" w:sz="4" w:space="0" w:color="auto"/>
            </w:tcBorders>
            <w:shd w:val="clear" w:color="auto" w:fill="BFBFBF"/>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381" w:type="dxa"/>
            <w:tcBorders>
              <w:top w:val="single" w:sz="4" w:space="0" w:color="auto"/>
              <w:left w:val="nil"/>
              <w:bottom w:val="single" w:sz="4" w:space="0" w:color="auto"/>
              <w:right w:val="single" w:sz="4" w:space="0" w:color="auto"/>
            </w:tcBorders>
            <w:shd w:val="clear" w:color="auto" w:fill="BFBFBF"/>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1381" w:type="dxa"/>
            <w:tcBorders>
              <w:top w:val="single" w:sz="4" w:space="0" w:color="auto"/>
              <w:left w:val="nil"/>
              <w:bottom w:val="single" w:sz="4" w:space="0" w:color="auto"/>
              <w:right w:val="single" w:sz="4" w:space="0" w:color="auto"/>
            </w:tcBorders>
            <w:shd w:val="clear" w:color="auto" w:fill="BFBFBF"/>
            <w:vAlign w:val="bottom"/>
          </w:tcPr>
          <w:p w:rsidR="00752150" w:rsidRPr="00752150" w:rsidRDefault="00752150" w:rsidP="00752150">
            <w:pPr>
              <w:spacing w:after="0" w:line="240" w:lineRule="auto"/>
              <w:jc w:val="right"/>
              <w:rPr>
                <w:rFonts w:ascii="Times New Roman" w:eastAsia="Times New Roman" w:hAnsi="Times New Roman" w:cs="Times New Roman"/>
                <w:b/>
                <w:bCs/>
                <w:iCs/>
                <w:sz w:val="18"/>
                <w:szCs w:val="18"/>
                <w:lang w:eastAsia="sk-SK"/>
              </w:rPr>
            </w:pP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bl>
    <w:p w:rsidR="00752150" w:rsidRPr="00752150" w:rsidRDefault="00752150" w:rsidP="00752150">
      <w:pPr>
        <w:spacing w:after="0" w:line="240" w:lineRule="auto"/>
        <w:jc w:val="both"/>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0"/>
          <w:szCs w:val="20"/>
          <w:lang w:eastAsia="sk-SK"/>
        </w:rPr>
        <w:t>2 –  výdavky rozpísať až do položiek platnej ekonomickej klasifikácie</w:t>
      </w:r>
    </w:p>
    <w:p w:rsidR="00752150" w:rsidRPr="00752150" w:rsidRDefault="00752150" w:rsidP="00752150">
      <w:pPr>
        <w:spacing w:after="0" w:line="240" w:lineRule="auto"/>
        <w:jc w:val="both"/>
        <w:rPr>
          <w:rFonts w:ascii="Times New Roman" w:eastAsia="Times New Roman" w:hAnsi="Times New Roman" w:cs="Times New Roman"/>
          <w:bCs/>
          <w:sz w:val="24"/>
          <w:szCs w:val="20"/>
          <w:lang w:eastAsia="sk-SK"/>
        </w:rPr>
      </w:pPr>
    </w:p>
    <w:p w:rsidR="00752150" w:rsidRPr="00752150" w:rsidRDefault="00752150" w:rsidP="00752150">
      <w:pPr>
        <w:spacing w:after="0" w:line="240" w:lineRule="auto"/>
        <w:jc w:val="both"/>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4"/>
          <w:szCs w:val="20"/>
          <w:lang w:eastAsia="sk-SK"/>
        </w:rPr>
        <w:t>Poznámka:</w:t>
      </w:r>
    </w:p>
    <w:p w:rsidR="00752150" w:rsidRPr="00752150" w:rsidRDefault="00752150" w:rsidP="00752150">
      <w:pPr>
        <w:spacing w:after="0" w:line="240" w:lineRule="auto"/>
        <w:jc w:val="both"/>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52150" w:rsidRPr="00752150" w:rsidRDefault="00752150" w:rsidP="00752150">
      <w:pPr>
        <w:spacing w:after="200" w:line="276" w:lineRule="auto"/>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0"/>
          <w:szCs w:val="20"/>
          <w:lang w:eastAsia="sk-SK"/>
        </w:rPr>
        <w:br w:type="page"/>
      </w:r>
    </w:p>
    <w:p w:rsidR="00752150" w:rsidRPr="00752150" w:rsidRDefault="00752150" w:rsidP="00752150">
      <w:pPr>
        <w:spacing w:after="0" w:line="240" w:lineRule="auto"/>
        <w:jc w:val="both"/>
        <w:rPr>
          <w:rFonts w:ascii="Times New Roman" w:eastAsia="Times New Roman" w:hAnsi="Times New Roman" w:cs="Times New Roman"/>
          <w:bCs/>
          <w:sz w:val="20"/>
          <w:szCs w:val="20"/>
          <w:lang w:eastAsia="sk-SK"/>
        </w:rPr>
      </w:pPr>
    </w:p>
    <w:p w:rsidR="00752150" w:rsidRPr="00752150" w:rsidRDefault="00752150" w:rsidP="00752150">
      <w:pPr>
        <w:spacing w:after="0" w:line="240" w:lineRule="auto"/>
        <w:jc w:val="both"/>
        <w:rPr>
          <w:rFonts w:ascii="Times New Roman" w:eastAsia="Times New Roman" w:hAnsi="Times New Roman" w:cs="Times New Roman"/>
          <w:bCs/>
          <w:sz w:val="20"/>
          <w:szCs w:val="20"/>
          <w:lang w:eastAsia="sk-SK"/>
        </w:rPr>
      </w:pPr>
    </w:p>
    <w:p w:rsidR="00752150" w:rsidRPr="00752150" w:rsidRDefault="00752150" w:rsidP="00752150">
      <w:pPr>
        <w:spacing w:after="0" w:line="240" w:lineRule="auto"/>
        <w:jc w:val="right"/>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t>Tabuľka č. 5</w:t>
      </w:r>
    </w:p>
    <w:p w:rsidR="00752150" w:rsidRPr="00752150" w:rsidRDefault="00752150" w:rsidP="00752150">
      <w:pPr>
        <w:spacing w:after="0" w:line="240" w:lineRule="auto"/>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 xml:space="preserve">kapitola </w:t>
      </w:r>
    </w:p>
    <w:tbl>
      <w:tblPr>
        <w:tblW w:w="13892" w:type="dxa"/>
        <w:jc w:val="center"/>
        <w:tblLayout w:type="fixed"/>
        <w:tblCellMar>
          <w:left w:w="57" w:type="dxa"/>
          <w:right w:w="57" w:type="dxa"/>
        </w:tblCellMar>
        <w:tblLook w:val="0000" w:firstRow="0" w:lastRow="0" w:firstColumn="0" w:lastColumn="0" w:noHBand="0" w:noVBand="0"/>
      </w:tblPr>
      <w:tblGrid>
        <w:gridCol w:w="5550"/>
        <w:gridCol w:w="1533"/>
        <w:gridCol w:w="1614"/>
        <w:gridCol w:w="2177"/>
        <w:gridCol w:w="1555"/>
        <w:gridCol w:w="1463"/>
      </w:tblGrid>
      <w:tr w:rsidR="00752150" w:rsidRPr="00752150" w:rsidTr="005F0C5C">
        <w:trPr>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poznámka</w:t>
            </w:r>
          </w:p>
        </w:tc>
      </w:tr>
      <w:tr w:rsidR="00752150" w:rsidRPr="00752150" w:rsidTr="005F0C5C">
        <w:trPr>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788"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2418"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722"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c>
          <w:tcPr>
            <w:tcW w:w="1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8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41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22"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8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41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22"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178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2418"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1722" w:type="dxa"/>
            <w:tcBorders>
              <w:top w:val="single" w:sz="4" w:space="0" w:color="auto"/>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shd w:val="clear" w:color="auto" w:fill="BFBFBF"/>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shd w:val="clear" w:color="auto" w:fill="BFBFBF"/>
            <w:noWrap/>
            <w:vAlign w:val="bottom"/>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178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241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1722"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r>
      <w:tr w:rsidR="00752150" w:rsidRPr="00752150" w:rsidTr="005F0C5C">
        <w:trPr>
          <w:trHeight w:val="255"/>
          <w:jc w:val="center"/>
        </w:trPr>
        <w:tc>
          <w:tcPr>
            <w:tcW w:w="6188" w:type="dxa"/>
            <w:tcBorders>
              <w:top w:val="nil"/>
              <w:left w:val="single" w:sz="4" w:space="0" w:color="auto"/>
              <w:bottom w:val="single" w:sz="4" w:space="0" w:color="auto"/>
              <w:right w:val="single" w:sz="4" w:space="0" w:color="auto"/>
            </w:tcBorders>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178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2418"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1722" w:type="dxa"/>
            <w:tcBorders>
              <w:top w:val="nil"/>
              <w:left w:val="nil"/>
              <w:bottom w:val="single" w:sz="4" w:space="0" w:color="auto"/>
              <w:right w:val="single" w:sz="4" w:space="0" w:color="auto"/>
            </w:tcBorders>
          </w:tcPr>
          <w:p w:rsidR="00752150" w:rsidRPr="00752150" w:rsidRDefault="00752150" w:rsidP="00752150">
            <w:pPr>
              <w:spacing w:after="0" w:line="240" w:lineRule="auto"/>
              <w:jc w:val="center"/>
              <w:rPr>
                <w:rFonts w:ascii="Times New Roman" w:eastAsia="Times New Roman" w:hAnsi="Times New Roman" w:cs="Times New Roman"/>
                <w:sz w:val="20"/>
                <w:szCs w:val="20"/>
                <w:lang w:eastAsia="sk-SK"/>
              </w:rPr>
            </w:pPr>
          </w:p>
        </w:tc>
        <w:tc>
          <w:tcPr>
            <w:tcW w:w="1620" w:type="dxa"/>
            <w:tcBorders>
              <w:top w:val="nil"/>
              <w:left w:val="nil"/>
              <w:bottom w:val="single" w:sz="4" w:space="0" w:color="auto"/>
              <w:right w:val="single" w:sz="4" w:space="0" w:color="auto"/>
            </w:tcBorders>
            <w:noWrap/>
            <w:vAlign w:val="bottom"/>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bl>
    <w:p w:rsidR="00752150" w:rsidRPr="00752150" w:rsidRDefault="00752150" w:rsidP="00752150">
      <w:pPr>
        <w:spacing w:after="0" w:line="240" w:lineRule="auto"/>
        <w:rPr>
          <w:rFonts w:ascii="Times New Roman" w:eastAsia="Times New Roman" w:hAnsi="Times New Roman" w:cs="Times New Roman"/>
          <w:sz w:val="24"/>
          <w:szCs w:val="24"/>
          <w:lang w:eastAsia="sk-SK"/>
        </w:rPr>
      </w:pPr>
    </w:p>
    <w:p w:rsidR="00752150" w:rsidRPr="00752150" w:rsidRDefault="00752150" w:rsidP="00752150">
      <w:pPr>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b/>
          <w:bCs/>
          <w:sz w:val="24"/>
          <w:szCs w:val="24"/>
          <w:lang w:eastAsia="sk-SK"/>
        </w:rPr>
        <w:t>Poznámky:</w:t>
      </w:r>
    </w:p>
    <w:p w:rsidR="00752150" w:rsidRPr="00752150" w:rsidRDefault="00752150" w:rsidP="00752150">
      <w:pPr>
        <w:spacing w:after="0" w:line="240" w:lineRule="auto"/>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52150" w:rsidRPr="00752150" w:rsidRDefault="00752150" w:rsidP="00752150">
      <w:pPr>
        <w:spacing w:after="0" w:line="240" w:lineRule="auto"/>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p w:rsidR="00752150" w:rsidRPr="00752150" w:rsidRDefault="00752150" w:rsidP="00752150">
      <w:pPr>
        <w:tabs>
          <w:tab w:val="left" w:pos="12430"/>
        </w:tabs>
        <w:spacing w:after="0" w:line="240" w:lineRule="auto"/>
        <w:rPr>
          <w:rFonts w:ascii="Times New Roman" w:eastAsia="Times New Roman" w:hAnsi="Times New Roman" w:cs="Times New Roman"/>
          <w:sz w:val="24"/>
          <w:szCs w:val="24"/>
          <w:lang w:eastAsia="sk-SK"/>
        </w:rPr>
        <w:sectPr w:rsidR="00752150" w:rsidRPr="00752150">
          <w:pgSz w:w="16838" w:h="11906" w:orient="landscape"/>
          <w:pgMar w:top="1418" w:right="1418" w:bottom="1418" w:left="1418" w:header="709" w:footer="709" w:gutter="0"/>
          <w:cols w:space="708"/>
          <w:docGrid w:linePitch="360"/>
        </w:sectPr>
      </w:pPr>
      <w:r w:rsidRPr="00752150">
        <w:rPr>
          <w:rFonts w:ascii="Times New Roman" w:eastAsia="Times New Roman" w:hAnsi="Times New Roman" w:cs="Times New Roman"/>
          <w:sz w:val="24"/>
          <w:szCs w:val="24"/>
          <w:lang w:eastAsia="sk-SK"/>
        </w:rPr>
        <w:t>Kategórie 610 a 620 sú z tejto prílohy prenášané do príslušných kategórií prílohy „výdavky“.</w:t>
      </w:r>
    </w:p>
    <w:p w:rsidR="00752150" w:rsidRPr="00752150" w:rsidRDefault="00752150" w:rsidP="00752150">
      <w:pPr>
        <w:spacing w:after="0" w:line="240" w:lineRule="auto"/>
        <w:rPr>
          <w:rFonts w:ascii="Times New Roman" w:hAnsi="Times New Roman" w:cs="Times New Roman"/>
          <w:sz w:val="24"/>
        </w:rPr>
      </w:pPr>
    </w:p>
    <w:p w:rsidR="00752150" w:rsidRPr="00752150" w:rsidRDefault="00752150" w:rsidP="00752150">
      <w:pPr>
        <w:jc w:val="center"/>
        <w:rPr>
          <w:rFonts w:ascii="Times New Roman" w:eastAsia="Calibri" w:hAnsi="Times New Roman" w:cs="Times New Roman"/>
          <w:b/>
          <w:sz w:val="28"/>
          <w:szCs w:val="28"/>
        </w:rPr>
      </w:pPr>
      <w:r w:rsidRPr="00752150">
        <w:rPr>
          <w:rFonts w:ascii="Times New Roman" w:eastAsia="Calibri" w:hAnsi="Times New Roman" w:cs="Times New Roman"/>
          <w:b/>
          <w:sz w:val="28"/>
          <w:szCs w:val="28"/>
        </w:rPr>
        <w:t>Analýza vplyvov na podnikateľské prostredie</w:t>
      </w:r>
    </w:p>
    <w:p w:rsidR="00752150" w:rsidRPr="00752150" w:rsidRDefault="00752150" w:rsidP="00752150">
      <w:pPr>
        <w:jc w:val="both"/>
        <w:rPr>
          <w:rFonts w:ascii="Times New Roman" w:eastAsia="Calibri" w:hAnsi="Times New Roman" w:cs="Times New Roman"/>
          <w:b/>
          <w:sz w:val="24"/>
          <w:szCs w:val="24"/>
        </w:rPr>
      </w:pPr>
    </w:p>
    <w:p w:rsidR="00752150" w:rsidRPr="00752150" w:rsidRDefault="00752150" w:rsidP="00752150">
      <w:pPr>
        <w:jc w:val="both"/>
        <w:rPr>
          <w:rFonts w:ascii="Times New Roman" w:eastAsia="Calibri" w:hAnsi="Times New Roman" w:cs="Times New Roman"/>
          <w:sz w:val="24"/>
          <w:szCs w:val="24"/>
        </w:rPr>
      </w:pPr>
      <w:r w:rsidRPr="00752150">
        <w:rPr>
          <w:rFonts w:ascii="Times New Roman" w:eastAsia="Calibri" w:hAnsi="Times New Roman" w:cs="Times New Roman"/>
          <w:b/>
          <w:sz w:val="24"/>
          <w:szCs w:val="24"/>
        </w:rPr>
        <w:t xml:space="preserve">Názov materiálu: </w:t>
      </w:r>
      <w:r w:rsidRPr="00752150">
        <w:rPr>
          <w:rFonts w:ascii="Times New Roman" w:eastAsia="Calibri" w:hAnsi="Times New Roman" w:cs="Times New Roman"/>
          <w:sz w:val="24"/>
          <w:szCs w:val="24"/>
        </w:rPr>
        <w:t>Zákon, ktorým sa mení a dopĺňa zákon Národnej rady Slovenskej republiky č. 171/1993 Z. z. o Policajnom zbore v znení neskorších predpisov a ktorým sa menia a dopĺňajú niektoré zákony</w:t>
      </w:r>
    </w:p>
    <w:p w:rsidR="00752150" w:rsidRPr="00752150" w:rsidRDefault="00752150" w:rsidP="00752150">
      <w:pPr>
        <w:jc w:val="both"/>
        <w:rPr>
          <w:rFonts w:ascii="Times New Roman" w:eastAsia="Calibri" w:hAnsi="Times New Roman" w:cs="Times New Roman"/>
          <w:sz w:val="24"/>
          <w:szCs w:val="24"/>
        </w:rPr>
      </w:pPr>
      <w:r w:rsidRPr="00752150">
        <w:rPr>
          <w:rFonts w:ascii="Times New Roman" w:eastAsia="Calibri" w:hAnsi="Times New Roman" w:cs="Times New Roman"/>
          <w:b/>
          <w:sz w:val="24"/>
          <w:szCs w:val="24"/>
        </w:rPr>
        <w:t xml:space="preserve">Predkladateľ: </w:t>
      </w:r>
      <w:r w:rsidRPr="00752150">
        <w:rPr>
          <w:rFonts w:ascii="Times New Roman" w:eastAsia="Calibri" w:hAnsi="Times New Roman" w:cs="Times New Roman"/>
          <w:sz w:val="24"/>
          <w:szCs w:val="24"/>
        </w:rPr>
        <w:t>Ministerstvo vnútra Slovenskej republiky</w:t>
      </w:r>
    </w:p>
    <w:p w:rsidR="00752150" w:rsidRPr="00752150" w:rsidRDefault="00752150" w:rsidP="00752150">
      <w:pPr>
        <w:jc w:val="both"/>
        <w:rPr>
          <w:rFonts w:ascii="Times New Roman" w:eastAsia="Calibri" w:hAnsi="Times New Roman" w:cs="Times New Roman"/>
          <w:b/>
          <w:sz w:val="24"/>
          <w:szCs w:val="24"/>
        </w:rPr>
      </w:pPr>
    </w:p>
    <w:p w:rsidR="00752150" w:rsidRPr="00752150" w:rsidRDefault="00752150" w:rsidP="00752150">
      <w:pPr>
        <w:jc w:val="both"/>
        <w:rPr>
          <w:rFonts w:ascii="Times New Roman" w:eastAsia="Calibri" w:hAnsi="Times New Roman" w:cs="Times New Roman"/>
          <w:b/>
          <w:sz w:val="24"/>
          <w:szCs w:val="24"/>
        </w:rPr>
      </w:pPr>
      <w:r w:rsidRPr="00752150">
        <w:rPr>
          <w:rFonts w:ascii="Times New Roman" w:eastAsia="Calibri" w:hAnsi="Times New Roman" w:cs="Times New Roman"/>
          <w:b/>
          <w:sz w:val="24"/>
          <w:szCs w:val="24"/>
        </w:rPr>
        <w:t>3.1 Náklady regulácie</w:t>
      </w:r>
    </w:p>
    <w:p w:rsidR="00752150" w:rsidRPr="00752150" w:rsidRDefault="00752150" w:rsidP="00752150">
      <w:pPr>
        <w:tabs>
          <w:tab w:val="left" w:pos="8025"/>
        </w:tabs>
        <w:rPr>
          <w:rFonts w:ascii="Times New Roman" w:eastAsia="Calibri" w:hAnsi="Times New Roman" w:cs="Times New Roman"/>
          <w:bCs/>
          <w:i/>
          <w:iCs/>
          <w:sz w:val="24"/>
          <w:szCs w:val="24"/>
        </w:rPr>
      </w:pPr>
      <w:r w:rsidRPr="00752150">
        <w:rPr>
          <w:rFonts w:ascii="Times New Roman" w:eastAsia="Calibri" w:hAnsi="Times New Roman" w:cs="Times New Roman"/>
          <w:b/>
          <w:i/>
          <w:iCs/>
          <w:sz w:val="24"/>
          <w:szCs w:val="24"/>
        </w:rPr>
        <w:t xml:space="preserve">3.1.1 Súhrnná tabuľka nákladov regulácie </w:t>
      </w:r>
      <w:r w:rsidRPr="00752150">
        <w:rPr>
          <w:rFonts w:ascii="Times New Roman" w:eastAsia="Calibri" w:hAnsi="Times New Roman" w:cs="Times New Roman"/>
          <w:b/>
          <w:i/>
          <w:iCs/>
          <w:sz w:val="24"/>
          <w:szCs w:val="24"/>
        </w:rPr>
        <w:tab/>
      </w:r>
    </w:p>
    <w:p w:rsidR="00752150" w:rsidRPr="00752150" w:rsidRDefault="00752150" w:rsidP="00752150">
      <w:pPr>
        <w:spacing w:after="0"/>
        <w:jc w:val="both"/>
        <w:rPr>
          <w:rFonts w:ascii="Times New Roman" w:eastAsia="Calibri" w:hAnsi="Times New Roman" w:cs="Times New Roman"/>
          <w:b/>
          <w:sz w:val="24"/>
          <w:szCs w:val="24"/>
        </w:rPr>
      </w:pPr>
    </w:p>
    <w:p w:rsidR="00752150" w:rsidRPr="00752150" w:rsidRDefault="00752150" w:rsidP="00752150">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752150" w:rsidRPr="00752150" w:rsidRDefault="00752150" w:rsidP="00752150">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4" w:history="1">
        <w:r w:rsidRPr="00752150">
          <w:rPr>
            <w:rFonts w:ascii="Times New Roman" w:eastAsia="Calibri" w:hAnsi="Times New Roman" w:cs="Times New Roman"/>
            <w:i/>
            <w:sz w:val="24"/>
            <w:szCs w:val="24"/>
            <w:u w:val="single"/>
          </w:rPr>
          <w:t>webovom sídle MH SR</w:t>
        </w:r>
      </w:hyperlink>
      <w:r w:rsidRPr="00752150">
        <w:rPr>
          <w:rFonts w:ascii="Times New Roman" w:eastAsia="Calibri" w:hAnsi="Times New Roman" w:cs="Times New Roman"/>
          <w:i/>
          <w:sz w:val="24"/>
          <w:szCs w:val="24"/>
        </w:rPr>
        <w:t>, (ďalej len „Kalkulačka nákladov“):</w:t>
      </w:r>
    </w:p>
    <w:p w:rsidR="00752150" w:rsidRPr="00752150" w:rsidRDefault="00752150" w:rsidP="00752150">
      <w:pPr>
        <w:spacing w:after="0"/>
        <w:rPr>
          <w:rFonts w:ascii="Times New Roman" w:eastAsia="Calibri" w:hAnsi="Times New Roman" w:cs="Times New Roman"/>
          <w:i/>
        </w:rPr>
      </w:pPr>
    </w:p>
    <w:tbl>
      <w:tblPr>
        <w:tblStyle w:val="Mriekatabuky21"/>
        <w:tblW w:w="9067" w:type="dxa"/>
        <w:tblLook w:val="04A0" w:firstRow="1" w:lastRow="0" w:firstColumn="1" w:lastColumn="0" w:noHBand="0" w:noVBand="1"/>
      </w:tblPr>
      <w:tblGrid>
        <w:gridCol w:w="3681"/>
        <w:gridCol w:w="2693"/>
        <w:gridCol w:w="2693"/>
      </w:tblGrid>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b/>
                <w:bCs/>
                <w:i/>
                <w:sz w:val="20"/>
              </w:rPr>
            </w:pPr>
            <w:r w:rsidRPr="00752150">
              <w:rPr>
                <w:rFonts w:ascii="Times New Roman" w:eastAsia="Calibri" w:hAnsi="Times New Roman" w:cs="Times New Roman"/>
                <w:b/>
                <w:bCs/>
                <w:i/>
                <w:sz w:val="20"/>
              </w:rPr>
              <w:t>TYP NÁKLADOV</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b/>
                <w:bCs/>
                <w:color w:val="000000"/>
                <w:sz w:val="20"/>
              </w:rPr>
              <w:t>Zvýšenie nákladov v € na PP</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bCs/>
                <w:color w:val="000000"/>
                <w:sz w:val="20"/>
              </w:rPr>
            </w:pPr>
            <w:r w:rsidRPr="00752150">
              <w:rPr>
                <w:rFonts w:ascii="Times New Roman" w:eastAsia="Calibri" w:hAnsi="Times New Roman" w:cs="Times New Roman"/>
                <w:b/>
                <w:bCs/>
                <w:color w:val="000000"/>
                <w:sz w:val="20"/>
              </w:rPr>
              <w:t>Zníženie nákladov v € na PP</w:t>
            </w:r>
          </w:p>
        </w:tc>
      </w:tr>
      <w:tr w:rsidR="00752150" w:rsidRPr="00752150" w:rsidTr="005F0C5C">
        <w:trPr>
          <w:trHeight w:val="227"/>
        </w:trPr>
        <w:tc>
          <w:tcPr>
            <w:tcW w:w="3681" w:type="dxa"/>
          </w:tcPr>
          <w:p w:rsidR="00752150" w:rsidRPr="00752150" w:rsidRDefault="00752150" w:rsidP="00752150">
            <w:pPr>
              <w:spacing w:after="0" w:line="240" w:lineRule="auto"/>
              <w:rPr>
                <w:rFonts w:ascii="Times New Roman" w:eastAsia="Calibri" w:hAnsi="Times New Roman" w:cs="Times New Roman"/>
                <w:i/>
                <w:iCs/>
                <w:sz w:val="20"/>
              </w:rPr>
            </w:pPr>
            <w:r w:rsidRPr="00752150">
              <w:rPr>
                <w:rFonts w:ascii="Times New Roman" w:eastAsia="Calibri" w:hAnsi="Times New Roman" w:cs="Times New Roman"/>
                <w:i/>
                <w:iCs/>
                <w:color w:val="000000"/>
                <w:sz w:val="20"/>
              </w:rPr>
              <w:t>A. Dane, odvody, clá a poplatky</w:t>
            </w:r>
            <w:r w:rsidRPr="00752150">
              <w:rPr>
                <w:rFonts w:ascii="Times New Roman" w:hAnsi="Times New Roman" w:cs="Times New Roman"/>
                <w:sz w:val="24"/>
                <w:szCs w:val="24"/>
              </w:rPr>
              <w:t>,</w:t>
            </w:r>
            <w:r w:rsidRPr="00752150">
              <w:rPr>
                <w:rFonts w:ascii="Times New Roman" w:hAnsi="Times New Roman" w:cs="Times New Roman"/>
                <w:b/>
                <w:bCs/>
                <w:sz w:val="24"/>
                <w:szCs w:val="24"/>
              </w:rPr>
              <w:t xml:space="preserve"> </w:t>
            </w:r>
            <w:r w:rsidRPr="00752150">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i/>
                <w:sz w:val="20"/>
              </w:rPr>
            </w:pPr>
            <w:r w:rsidRPr="00752150">
              <w:rPr>
                <w:rFonts w:ascii="Times New Roman" w:eastAsia="Calibri" w:hAnsi="Times New Roman" w:cs="Times New Roman"/>
                <w:i/>
                <w:sz w:val="20"/>
              </w:rPr>
              <w:t>B. Iné poplatky</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i/>
                <w:sz w:val="20"/>
              </w:rPr>
            </w:pPr>
            <w:r w:rsidRPr="00752150">
              <w:rPr>
                <w:rFonts w:ascii="Times New Roman" w:eastAsia="Calibri" w:hAnsi="Times New Roman" w:cs="Times New Roman"/>
                <w:i/>
                <w:sz w:val="20"/>
              </w:rPr>
              <w:t>C. Nepriame finančné náklady</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i/>
                <w:sz w:val="20"/>
              </w:rPr>
            </w:pPr>
            <w:r w:rsidRPr="00752150">
              <w:rPr>
                <w:rFonts w:ascii="Times New Roman" w:eastAsia="Calibri" w:hAnsi="Times New Roman" w:cs="Times New Roman"/>
                <w:i/>
                <w:sz w:val="20"/>
              </w:rPr>
              <w:t>D. Administratívne náklady</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b/>
                <w:i/>
                <w:sz w:val="20"/>
              </w:rPr>
            </w:pPr>
            <w:r w:rsidRPr="00752150">
              <w:rPr>
                <w:rFonts w:ascii="Times New Roman" w:eastAsia="Calibri" w:hAnsi="Times New Roman" w:cs="Times New Roman"/>
                <w:b/>
                <w:i/>
                <w:sz w:val="20"/>
              </w:rPr>
              <w:t>Spolu = A+B+C+D</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b/>
                <w:i/>
                <w:sz w:val="20"/>
              </w:rPr>
            </w:pPr>
            <w:r w:rsidRPr="00752150">
              <w:rPr>
                <w:rFonts w:ascii="Times New Roman" w:eastAsia="Calibri" w:hAnsi="Times New Roman" w:cs="Times New Roman"/>
                <w:b/>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i/>
                <w:sz w:val="20"/>
              </w:rPr>
            </w:pPr>
            <w:r w:rsidRPr="00752150">
              <w:rPr>
                <w:rFonts w:ascii="Times New Roman" w:eastAsia="Calibri" w:hAnsi="Times New Roman" w:cs="Times New Roman"/>
                <w:b/>
                <w:i/>
                <w:sz w:val="20"/>
              </w:rPr>
              <w:t>0</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b/>
                <w:i/>
                <w:sz w:val="20"/>
              </w:rPr>
            </w:pPr>
            <w:r w:rsidRPr="00752150">
              <w:rPr>
                <w:rFonts w:ascii="Times New Roman" w:eastAsia="Calibri" w:hAnsi="Times New Roman" w:cs="Times New Roman"/>
                <w:b/>
                <w:i/>
                <w:sz w:val="20"/>
              </w:rPr>
              <w:t xml:space="preserve"> z toho</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b/>
                <w:i/>
                <w:sz w:val="20"/>
              </w:rPr>
            </w:pP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i/>
                <w:sz w:val="20"/>
              </w:rPr>
            </w:pP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i/>
                <w:sz w:val="20"/>
              </w:rPr>
            </w:pPr>
            <w:r w:rsidRPr="00752150">
              <w:rPr>
                <w:rFonts w:ascii="Times New Roman" w:eastAsia="Calibri" w:hAnsi="Times New Roman" w:cs="Times New Roman"/>
                <w:i/>
                <w:sz w:val="20"/>
              </w:rPr>
              <w:t>E. Vplyv na mikro, malé a stredné podniky</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i/>
                <w:sz w:val="20"/>
              </w:rPr>
            </w:pPr>
            <w:r w:rsidRPr="00752150">
              <w:rPr>
                <w:rFonts w:ascii="Times New Roman" w:eastAsia="Calibri" w:hAnsi="Times New Roman" w:cs="Times New Roman"/>
                <w:i/>
                <w:sz w:val="20"/>
              </w:rPr>
              <w:t>F. Úplná harmonizácia práva EÚ</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r>
      <w:tr w:rsidR="00752150" w:rsidRPr="00752150" w:rsidTr="005F0C5C">
        <w:tc>
          <w:tcPr>
            <w:tcW w:w="9067" w:type="dxa"/>
            <w:gridSpan w:val="3"/>
            <w:shd w:val="clear" w:color="auto" w:fill="auto"/>
          </w:tcPr>
          <w:p w:rsidR="00752150" w:rsidRPr="00752150" w:rsidRDefault="00752150" w:rsidP="00752150">
            <w:pPr>
              <w:spacing w:after="0" w:line="240" w:lineRule="auto"/>
              <w:jc w:val="center"/>
              <w:rPr>
                <w:rFonts w:ascii="Times New Roman" w:eastAsia="Calibri" w:hAnsi="Times New Roman" w:cs="Times New Roman"/>
                <w:b/>
                <w:bCs/>
                <w:i/>
                <w:sz w:val="20"/>
              </w:rPr>
            </w:pP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b/>
                <w:i/>
                <w:sz w:val="20"/>
              </w:rPr>
            </w:pPr>
            <w:r w:rsidRPr="00752150">
              <w:rPr>
                <w:rFonts w:ascii="Times New Roman" w:eastAsia="Calibri" w:hAnsi="Times New Roman" w:cs="Times New Roman"/>
                <w:b/>
                <w:bCs/>
                <w:i/>
                <w:sz w:val="20"/>
              </w:rPr>
              <w:t>VÝPOČET mechanizmu znižovania byrokracie a nákladov</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IN</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OUT</w:t>
            </w:r>
          </w:p>
        </w:tc>
      </w:tr>
      <w:tr w:rsidR="00752150" w:rsidRPr="00752150" w:rsidTr="005F0C5C">
        <w:tc>
          <w:tcPr>
            <w:tcW w:w="3681" w:type="dxa"/>
          </w:tcPr>
          <w:p w:rsidR="00752150" w:rsidRPr="00752150" w:rsidRDefault="00752150" w:rsidP="00752150">
            <w:pPr>
              <w:spacing w:after="0" w:line="240" w:lineRule="auto"/>
              <w:rPr>
                <w:rFonts w:ascii="Times New Roman" w:eastAsia="Calibri" w:hAnsi="Times New Roman" w:cs="Times New Roman"/>
                <w:b/>
                <w:i/>
                <w:sz w:val="20"/>
              </w:rPr>
            </w:pPr>
            <w:r w:rsidRPr="00752150">
              <w:rPr>
                <w:rFonts w:ascii="Times New Roman" w:eastAsia="Calibri" w:hAnsi="Times New Roman" w:cs="Times New Roman"/>
                <w:b/>
                <w:i/>
                <w:sz w:val="20"/>
              </w:rPr>
              <w:t>G. Náklady okrem výnimiek = B+C+D-F</w:t>
            </w:r>
          </w:p>
        </w:tc>
        <w:tc>
          <w:tcPr>
            <w:tcW w:w="2693" w:type="dxa"/>
            <w:shd w:val="clear" w:color="auto" w:fill="FFC000"/>
          </w:tcPr>
          <w:p w:rsidR="00752150" w:rsidRPr="00752150" w:rsidRDefault="00752150" w:rsidP="00752150">
            <w:pPr>
              <w:spacing w:after="0" w:line="240" w:lineRule="auto"/>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0</w:t>
            </w:r>
          </w:p>
        </w:tc>
        <w:tc>
          <w:tcPr>
            <w:tcW w:w="2693" w:type="dxa"/>
            <w:shd w:val="clear" w:color="auto" w:fill="92D050"/>
          </w:tcPr>
          <w:p w:rsidR="00752150" w:rsidRPr="00752150" w:rsidRDefault="00752150" w:rsidP="00752150">
            <w:pPr>
              <w:spacing w:after="0" w:line="240" w:lineRule="auto"/>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0</w:t>
            </w:r>
          </w:p>
        </w:tc>
      </w:tr>
    </w:tbl>
    <w:p w:rsidR="00752150" w:rsidRPr="00752150" w:rsidRDefault="00752150" w:rsidP="00752150">
      <w:pPr>
        <w:spacing w:after="0"/>
        <w:rPr>
          <w:rFonts w:ascii="Times New Roman" w:eastAsia="Calibri" w:hAnsi="Times New Roman" w:cs="Times New Roman"/>
          <w:i/>
        </w:rPr>
      </w:pPr>
    </w:p>
    <w:p w:rsidR="00752150" w:rsidRPr="00752150" w:rsidRDefault="00752150" w:rsidP="00752150">
      <w:pPr>
        <w:rPr>
          <w:rFonts w:ascii="Times New Roman" w:eastAsia="Calibri" w:hAnsi="Times New Roman" w:cs="Times New Roman"/>
          <w:b/>
          <w:sz w:val="24"/>
          <w:szCs w:val="24"/>
        </w:rPr>
      </w:pPr>
    </w:p>
    <w:p w:rsidR="00752150" w:rsidRDefault="00752150" w:rsidP="0075215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br w:type="page"/>
      </w:r>
      <w:bookmarkStart w:id="1" w:name="_GoBack"/>
      <w:bookmarkEnd w:id="1"/>
    </w:p>
    <w:p w:rsidR="00752150" w:rsidRPr="00752150" w:rsidRDefault="00752150" w:rsidP="00752150">
      <w:pPr>
        <w:rPr>
          <w:rFonts w:ascii="Times New Roman" w:eastAsia="Calibri" w:hAnsi="Times New Roman" w:cs="Times New Roman"/>
          <w:sz w:val="24"/>
          <w:szCs w:val="24"/>
        </w:rPr>
        <w:sectPr w:rsidR="00752150" w:rsidRPr="00752150" w:rsidSect="00752150">
          <w:footerReference w:type="default" r:id="rId15"/>
          <w:pgSz w:w="11906" w:h="16838"/>
          <w:pgMar w:top="993" w:right="1417" w:bottom="1417" w:left="1417" w:header="708" w:footer="708" w:gutter="0"/>
          <w:cols w:space="708"/>
          <w:docGrid w:linePitch="360"/>
        </w:sectPr>
      </w:pPr>
    </w:p>
    <w:p w:rsidR="00752150" w:rsidRPr="00752150" w:rsidRDefault="00752150" w:rsidP="00752150">
      <w:pPr>
        <w:rPr>
          <w:rFonts w:ascii="Times New Roman" w:eastAsia="Calibri" w:hAnsi="Times New Roman" w:cs="Times New Roman"/>
          <w:b/>
          <w:i/>
          <w:iCs/>
          <w:sz w:val="24"/>
          <w:szCs w:val="24"/>
        </w:rPr>
      </w:pPr>
      <w:r w:rsidRPr="00752150">
        <w:rPr>
          <w:rFonts w:ascii="Times New Roman" w:eastAsia="Calibri" w:hAnsi="Times New Roman" w:cs="Times New Roman"/>
          <w:b/>
          <w:i/>
          <w:iCs/>
          <w:sz w:val="24"/>
          <w:szCs w:val="24"/>
        </w:rPr>
        <w:lastRenderedPageBreak/>
        <w:t>3.1.2 Výpočty vplyvov jednotlivých regulácií na zmeny v nákladoch podnikateľov</w:t>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p>
    <w:p w:rsidR="00752150" w:rsidRPr="00752150" w:rsidRDefault="00752150" w:rsidP="00752150">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752150" w:rsidRPr="00752150" w:rsidTr="005F0C5C">
        <w:trPr>
          <w:trHeight w:val="1885"/>
        </w:trPr>
        <w:tc>
          <w:tcPr>
            <w:tcW w:w="501"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p>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Číslo normy</w:t>
            </w:r>
          </w:p>
          <w:p w:rsidR="00752150" w:rsidRPr="00752150" w:rsidRDefault="00752150" w:rsidP="00752150">
            <w:pPr>
              <w:spacing w:after="0" w:line="240" w:lineRule="auto"/>
              <w:jc w:val="center"/>
              <w:rPr>
                <w:rFonts w:ascii="Times New Roman" w:eastAsia="Times New Roman" w:hAnsi="Times New Roman" w:cs="Times New Roman"/>
                <w:bCs/>
                <w:color w:val="000000"/>
                <w:sz w:val="20"/>
                <w:szCs w:val="20"/>
                <w:lang w:eastAsia="sk-SK"/>
              </w:rPr>
            </w:pPr>
            <w:r w:rsidRPr="00752150">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 xml:space="preserve">Lokalizácia </w:t>
            </w:r>
            <w:r w:rsidRPr="00752150">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Pôvod regulácie:</w:t>
            </w:r>
          </w:p>
          <w:p w:rsidR="00752150" w:rsidRPr="00752150" w:rsidRDefault="00752150" w:rsidP="00752150">
            <w:pPr>
              <w:spacing w:after="0" w:line="240" w:lineRule="auto"/>
              <w:jc w:val="center"/>
              <w:rPr>
                <w:rFonts w:ascii="Times New Roman" w:eastAsia="Times New Roman" w:hAnsi="Times New Roman" w:cs="Times New Roman"/>
                <w:color w:val="000000"/>
                <w:sz w:val="20"/>
                <w:szCs w:val="20"/>
                <w:lang w:eastAsia="sk-SK"/>
              </w:rPr>
            </w:pPr>
            <w:r w:rsidRPr="00752150">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Účinnosť</w:t>
            </w:r>
          </w:p>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regulácie</w:t>
            </w:r>
          </w:p>
          <w:p w:rsidR="00752150" w:rsidRPr="00752150" w:rsidRDefault="00752150" w:rsidP="00752150">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Druh vplyvu</w:t>
            </w:r>
          </w:p>
          <w:p w:rsidR="00752150" w:rsidRPr="00752150" w:rsidRDefault="00752150" w:rsidP="00752150">
            <w:pPr>
              <w:spacing w:after="0" w:line="240" w:lineRule="auto"/>
              <w:jc w:val="center"/>
              <w:rPr>
                <w:rFonts w:ascii="Times New Roman" w:eastAsia="Times New Roman" w:hAnsi="Times New Roman" w:cs="Times New Roman"/>
                <w:bCs/>
                <w:color w:val="000000"/>
                <w:sz w:val="20"/>
                <w:szCs w:val="20"/>
                <w:lang w:eastAsia="sk-SK"/>
              </w:rPr>
            </w:pPr>
            <w:r w:rsidRPr="00752150">
              <w:rPr>
                <w:rFonts w:ascii="Times New Roman" w:eastAsia="Times New Roman" w:hAnsi="Times New Roman" w:cs="Times New Roman"/>
                <w:bCs/>
                <w:color w:val="000000"/>
                <w:sz w:val="20"/>
                <w:szCs w:val="20"/>
                <w:lang w:eastAsia="sk-SK"/>
              </w:rPr>
              <w:t xml:space="preserve">In (zvyšuje náklady) / </w:t>
            </w:r>
          </w:p>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Cs/>
                <w:color w:val="000000"/>
                <w:sz w:val="20"/>
                <w:szCs w:val="20"/>
                <w:lang w:eastAsia="sk-SK"/>
              </w:rPr>
              <w:t>Out (znižuje náklady</w:t>
            </w:r>
            <w:r w:rsidRPr="00752150">
              <w:rPr>
                <w:rFonts w:ascii="Times New Roman" w:eastAsia="Times New Roman" w:hAnsi="Times New Roman" w:cs="Times New Roman"/>
                <w:b/>
                <w:bCs/>
                <w:color w:val="000000"/>
                <w:sz w:val="20"/>
                <w:szCs w:val="20"/>
                <w:lang w:eastAsia="sk-SK"/>
              </w:rPr>
              <w:t>)</w:t>
            </w:r>
          </w:p>
          <w:p w:rsidR="00752150" w:rsidRPr="00752150" w:rsidRDefault="00752150" w:rsidP="00752150">
            <w:pPr>
              <w:spacing w:after="0" w:line="240" w:lineRule="auto"/>
              <w:jc w:val="center"/>
              <w:rPr>
                <w:rFonts w:ascii="Times New Roman" w:eastAsia="Times New Roman" w:hAnsi="Times New Roman" w:cs="Times New Roman"/>
                <w:b/>
                <w:bCs/>
                <w:color w:val="000000"/>
                <w:sz w:val="20"/>
                <w:szCs w:val="20"/>
                <w:lang w:eastAsia="sk-SK"/>
              </w:rPr>
            </w:pPr>
          </w:p>
        </w:tc>
      </w:tr>
      <w:tr w:rsidR="00752150" w:rsidRPr="00752150" w:rsidTr="005F0C5C">
        <w:trPr>
          <w:trHeight w:val="612"/>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600"/>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600"/>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600"/>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600"/>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655"/>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578"/>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578"/>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r w:rsidR="00752150" w:rsidRPr="00752150" w:rsidTr="005F0C5C">
        <w:trPr>
          <w:trHeight w:val="578"/>
        </w:trPr>
        <w:tc>
          <w:tcPr>
            <w:tcW w:w="501"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044" w:type="dxa"/>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1303" w:type="dxa"/>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752150" w:rsidRPr="00752150" w:rsidRDefault="00752150" w:rsidP="00752150">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752150" w:rsidRPr="00752150" w:rsidRDefault="00752150" w:rsidP="00752150">
            <w:pPr>
              <w:spacing w:after="0" w:line="240" w:lineRule="auto"/>
              <w:rPr>
                <w:rFonts w:ascii="Times New Roman" w:eastAsia="Times New Roman" w:hAnsi="Times New Roman" w:cs="Times New Roman"/>
                <w:sz w:val="20"/>
                <w:szCs w:val="20"/>
                <w:lang w:eastAsia="sk-SK"/>
              </w:rPr>
            </w:pPr>
          </w:p>
        </w:tc>
      </w:tr>
    </w:tbl>
    <w:p w:rsidR="00752150" w:rsidRPr="00752150" w:rsidRDefault="00752150" w:rsidP="00752150">
      <w:pPr>
        <w:jc w:val="both"/>
        <w:rPr>
          <w:rFonts w:ascii="Times New Roman" w:eastAsia="Calibri" w:hAnsi="Times New Roman" w:cs="Times New Roman"/>
          <w:i/>
        </w:rPr>
      </w:pPr>
    </w:p>
    <w:p w:rsidR="00752150" w:rsidRPr="00752150" w:rsidRDefault="00752150" w:rsidP="00752150">
      <w:pPr>
        <w:jc w:val="both"/>
        <w:rPr>
          <w:rFonts w:ascii="Times New Roman" w:eastAsia="Calibri" w:hAnsi="Times New Roman" w:cs="Times New Roman"/>
          <w:b/>
          <w:bCs/>
          <w:i/>
          <w:sz w:val="24"/>
          <w:szCs w:val="24"/>
        </w:rPr>
        <w:sectPr w:rsidR="00752150" w:rsidRPr="00752150" w:rsidSect="00142154">
          <w:pgSz w:w="16838" w:h="11906" w:orient="landscape"/>
          <w:pgMar w:top="1417" w:right="1417" w:bottom="1417" w:left="1417" w:header="708" w:footer="708" w:gutter="0"/>
          <w:cols w:space="708"/>
          <w:docGrid w:linePitch="360"/>
        </w:sectPr>
      </w:pPr>
    </w:p>
    <w:p w:rsidR="00752150" w:rsidRPr="00752150" w:rsidRDefault="00752150" w:rsidP="00752150">
      <w:pPr>
        <w:jc w:val="both"/>
        <w:rPr>
          <w:rFonts w:ascii="Times New Roman" w:eastAsia="Calibri" w:hAnsi="Times New Roman" w:cs="Times New Roman"/>
          <w:b/>
          <w:bCs/>
          <w:i/>
          <w:sz w:val="24"/>
          <w:szCs w:val="24"/>
          <w:u w:val="single"/>
        </w:rPr>
      </w:pPr>
      <w:r w:rsidRPr="00752150">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752150" w:rsidRPr="00752150" w:rsidRDefault="00752150" w:rsidP="00752150">
      <w:pPr>
        <w:spacing w:after="0" w:line="240" w:lineRule="auto"/>
        <w:jc w:val="both"/>
        <w:rPr>
          <w:rFonts w:ascii="Times New Roman" w:eastAsia="Calibri" w:hAnsi="Times New Roman" w:cs="Times New Roman"/>
          <w:bCs/>
          <w:iCs/>
          <w:sz w:val="24"/>
          <w:szCs w:val="24"/>
        </w:rPr>
      </w:pPr>
      <w:r w:rsidRPr="00752150">
        <w:rPr>
          <w:rFonts w:ascii="Times New Roman" w:eastAsia="Calibri" w:hAnsi="Times New Roman" w:cs="Times New Roman"/>
          <w:bCs/>
          <w:iCs/>
          <w:sz w:val="24"/>
          <w:szCs w:val="24"/>
        </w:rPr>
        <w:t xml:space="preserve">Návrhom zákona nedochádza k zavádzaniu nových povinností, nových správnych poplatkov a ani k zmene výšky aktuálne platných správnych poplatkov. Z tohto dôvodu nevznikajú na podnikateľské prostredie nové priame finančné náklady [dane, odvody, clá a poplatky, ktorých cieľom je znižovať negatívne externality; iné poplatky], nové nepriame finančné náklady a ani nové administratívne náklady. </w:t>
      </w:r>
    </w:p>
    <w:p w:rsidR="00752150" w:rsidRPr="00752150" w:rsidRDefault="00752150" w:rsidP="00752150">
      <w:pPr>
        <w:spacing w:after="0" w:line="240" w:lineRule="auto"/>
        <w:jc w:val="both"/>
        <w:rPr>
          <w:rFonts w:ascii="Times New Roman" w:eastAsia="Calibri" w:hAnsi="Times New Roman" w:cs="Times New Roman"/>
          <w:bCs/>
          <w:iCs/>
          <w:sz w:val="24"/>
          <w:szCs w:val="24"/>
        </w:rPr>
      </w:pPr>
      <w:r w:rsidRPr="00752150">
        <w:rPr>
          <w:rFonts w:ascii="Times New Roman" w:eastAsia="Calibri" w:hAnsi="Times New Roman" w:cs="Times New Roman"/>
          <w:bCs/>
          <w:iCs/>
          <w:sz w:val="24"/>
          <w:szCs w:val="24"/>
        </w:rPr>
        <w:t>Úprava § 26 zákona č. 143/1998 Z. z. do navrhovanej podoby zohľadňuje potrebu súvisiacu s implementáciou nariadenia (EÚ) 2018/1862 v platnom znení. V súčasnosti oblasť registra lietadiel Slovenskej republiky upravuje okrem § 25 a 26 zákona č. 143/1998 Z. z. aj letecký predpis L 7 Značky štátnej príslušnosti a registrové značky lietadiel. Z dôvodu prehľadnosti úpravy danej oblasti týkajúcej sa registra lietadiel Slovenskej republiky sa navrhuje „presunúť“ ustanovenia z leteckého predpisu L 7 priamo do zákona č. 143/1998 Z. z., aby bola na „jednom mieste“ upravená problematika registra lietadiel Slovenskej republiky aj z dôvodu potreby preverovať, či je po lietadle alebo motore lietadla vyhlásené pátranie v Schengenskom informačnom systéme.</w:t>
      </w:r>
    </w:p>
    <w:p w:rsidR="00752150" w:rsidRPr="00752150" w:rsidRDefault="00752150" w:rsidP="00752150">
      <w:pPr>
        <w:rPr>
          <w:rFonts w:ascii="Times New Roman" w:eastAsia="Calibri" w:hAnsi="Times New Roman" w:cs="Times New Roman"/>
          <w:i/>
          <w:sz w:val="24"/>
          <w:szCs w:val="24"/>
        </w:rPr>
      </w:pPr>
    </w:p>
    <w:p w:rsidR="00752150" w:rsidRPr="00752150" w:rsidRDefault="00752150" w:rsidP="00752150">
      <w:pPr>
        <w:jc w:val="both"/>
        <w:rPr>
          <w:rFonts w:ascii="Times New Roman" w:eastAsia="Calibri" w:hAnsi="Times New Roman" w:cs="Times New Roman"/>
          <w:b/>
          <w:sz w:val="24"/>
          <w:szCs w:val="24"/>
        </w:rPr>
      </w:pPr>
      <w:r w:rsidRPr="00752150">
        <w:rPr>
          <w:rFonts w:ascii="Times New Roman" w:eastAsia="Calibri" w:hAnsi="Times New Roman" w:cs="Times New Roman"/>
          <w:b/>
          <w:sz w:val="24"/>
          <w:szCs w:val="24"/>
        </w:rPr>
        <w:t>3.2 Vyhodnotenie konzultácií s podnikateľskými subjektmi pred predbežným pripomienkovým konaním</w:t>
      </w: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jc w:val="both"/>
        <w:rPr>
          <w:rFonts w:ascii="Times New Roman" w:eastAsia="Calibri" w:hAnsi="Times New Roman" w:cs="Times New Roman"/>
          <w:b/>
          <w:sz w:val="24"/>
          <w:szCs w:val="24"/>
        </w:rPr>
      </w:pPr>
      <w:bookmarkStart w:id="2" w:name="_Hlk47698091"/>
      <w:r w:rsidRPr="00752150">
        <w:rPr>
          <w:rFonts w:ascii="Times New Roman" w:eastAsia="Calibri" w:hAnsi="Times New Roman" w:cs="Times New Roman"/>
          <w:b/>
          <w:sz w:val="24"/>
          <w:szCs w:val="24"/>
        </w:rPr>
        <w:t>3.3 Vplyvy na konkurencieschopnosť a produktivitu</w:t>
      </w:r>
    </w:p>
    <w:bookmarkEnd w:id="2"/>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Dochádza k vytvoreniu resp. k zmene bariér na trhu? </w:t>
      </w: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Nedochádza k vytvoreniu resp. k zmene bariér na trhu</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Nebude sa s niektorými podnikmi alebo produktmi zaobchádzať v porovnateľnej situácii rôzne.</w:t>
      </w:r>
    </w:p>
    <w:p w:rsidR="00752150" w:rsidRPr="00752150" w:rsidRDefault="00752150" w:rsidP="00752150">
      <w:pPr>
        <w:spacing w:after="0"/>
        <w:jc w:val="both"/>
        <w:rPr>
          <w:rFonts w:ascii="Times New Roman" w:eastAsia="Calibri" w:hAnsi="Times New Roman" w:cs="Times New Roman"/>
          <w:sz w:val="24"/>
          <w:szCs w:val="24"/>
        </w:rPr>
      </w:pP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752150" w:rsidRPr="00752150" w:rsidRDefault="00752150" w:rsidP="00752150">
      <w:pPr>
        <w:spacing w:after="0"/>
        <w:jc w:val="both"/>
        <w:rPr>
          <w:rFonts w:ascii="Times New Roman" w:eastAsia="Calibri" w:hAnsi="Times New Roman" w:cs="Times New Roman"/>
          <w:color w:val="0070C0"/>
          <w:sz w:val="24"/>
          <w:szCs w:val="24"/>
        </w:rPr>
      </w:pPr>
      <w:r w:rsidRPr="00752150">
        <w:rPr>
          <w:rFonts w:ascii="Times New Roman" w:eastAsia="Calibri" w:hAnsi="Times New Roman" w:cs="Times New Roman"/>
          <w:sz w:val="24"/>
          <w:szCs w:val="24"/>
        </w:rPr>
        <w:t>Zmena regulácie neovplyvňuje cezhraničné investície</w:t>
      </w:r>
      <w:r w:rsidRPr="00752150">
        <w:rPr>
          <w:rFonts w:ascii="Times New Roman" w:eastAsia="Calibri" w:hAnsi="Times New Roman" w:cs="Times New Roman"/>
          <w:color w:val="0070C0"/>
          <w:sz w:val="24"/>
          <w:szCs w:val="24"/>
        </w:rPr>
        <w:t>.</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Ovplyvní dostupnosť základných zdrojov (financie, pracovná sila, suroviny, mechanizmy, energie atď.)? </w:t>
      </w: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Neovplyvní dostupnosť základných zdrojov.</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Ovplyvňuje zmena regulácie inovácie, vedu a výskum?</w:t>
      </w: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Zmena regulácie neovplyvňuje inovácie, vedu a výskum.</w:t>
      </w:r>
    </w:p>
    <w:p w:rsidR="00752150" w:rsidRPr="00752150" w:rsidRDefault="00752150" w:rsidP="00752150">
      <w:pPr>
        <w:spacing w:after="0"/>
        <w:jc w:val="both"/>
        <w:rPr>
          <w:rFonts w:ascii="Times New Roman" w:eastAsia="Calibri" w:hAnsi="Times New Roman" w:cs="Times New Roman"/>
          <w:i/>
          <w:iCs/>
          <w:sz w:val="24"/>
          <w:szCs w:val="24"/>
        </w:rPr>
      </w:pPr>
    </w:p>
    <w:p w:rsidR="00752150" w:rsidRPr="00752150" w:rsidRDefault="00752150" w:rsidP="00752150">
      <w:pPr>
        <w:spacing w:after="0"/>
        <w:jc w:val="both"/>
        <w:rPr>
          <w:rFonts w:ascii="Times New Roman" w:eastAsia="Calibri" w:hAnsi="Times New Roman" w:cs="Times New Roman"/>
          <w:i/>
          <w:iCs/>
          <w:sz w:val="24"/>
          <w:szCs w:val="24"/>
        </w:rPr>
      </w:pPr>
      <w:r w:rsidRPr="00752150">
        <w:rPr>
          <w:rFonts w:ascii="Times New Roman" w:eastAsia="Calibri" w:hAnsi="Times New Roman" w:cs="Times New Roman"/>
          <w:i/>
          <w:iCs/>
          <w:sz w:val="24"/>
          <w:szCs w:val="24"/>
        </w:rPr>
        <w:t>Ako prispieva zmena regulácie k cieľu Slovenska mať najlepšie podnikateľské prostredie spomedzi susediacich krajín EÚ?</w:t>
      </w:r>
    </w:p>
    <w:p w:rsidR="00752150" w:rsidRPr="00752150" w:rsidRDefault="00752150" w:rsidP="00752150">
      <w:pPr>
        <w:spacing w:after="0"/>
        <w:jc w:val="both"/>
        <w:rPr>
          <w:rFonts w:ascii="Times New Roman" w:eastAsia="Calibri" w:hAnsi="Times New Roman" w:cs="Times New Roman"/>
          <w:i/>
          <w:iCs/>
          <w:sz w:val="24"/>
          <w:szCs w:val="24"/>
        </w:rPr>
      </w:pPr>
      <w:r w:rsidRPr="00752150">
        <w:rPr>
          <w:rFonts w:ascii="Times New Roman" w:eastAsia="Calibri" w:hAnsi="Times New Roman" w:cs="Times New Roman"/>
          <w:i/>
          <w:iCs/>
          <w:sz w:val="24"/>
          <w:szCs w:val="24"/>
        </w:rPr>
        <w:t>--</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b/>
          <w:i/>
          <w:sz w:val="24"/>
          <w:szCs w:val="24"/>
        </w:rPr>
      </w:pPr>
      <w:r w:rsidRPr="00752150">
        <w:rPr>
          <w:rFonts w:ascii="Times New Roman" w:eastAsia="Calibri" w:hAnsi="Times New Roman" w:cs="Times New Roman"/>
          <w:b/>
          <w:i/>
          <w:sz w:val="24"/>
          <w:szCs w:val="24"/>
        </w:rPr>
        <w:lastRenderedPageBreak/>
        <w:t>Konkurencieschopnosť:</w:t>
      </w: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Na základe uvedených odpovedí zaškrtnite a popíšte, či materiál konkurencieschopnosť:</w:t>
      </w:r>
    </w:p>
    <w:p w:rsidR="00752150" w:rsidRPr="00752150" w:rsidRDefault="00752150" w:rsidP="00752150">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Content>
          <w:sdt>
            <w:sdtPr>
              <w:rPr>
                <w:rFonts w:ascii="Times New Roman" w:eastAsia="Calibri" w:hAnsi="Times New Roman" w:cs="Times New Roman"/>
                <w:i/>
                <w:sz w:val="24"/>
                <w:szCs w:val="24"/>
              </w:rPr>
              <w:id w:val="1729873660"/>
            </w:sdtPr>
            <w:sdtContent>
              <w:r w:rsidRPr="00752150">
                <w:rPr>
                  <w:rFonts w:ascii="Segoe UI Symbol" w:eastAsia="Calibri" w:hAnsi="Segoe UI Symbol" w:cs="Segoe UI Symbol"/>
                  <w:i/>
                  <w:sz w:val="24"/>
                  <w:szCs w:val="24"/>
                </w:rPr>
                <w:t>☐</w:t>
              </w:r>
            </w:sdtContent>
          </w:sdt>
        </w:sdtContent>
      </w:sdt>
      <w:r w:rsidRPr="00752150">
        <w:rPr>
          <w:rFonts w:ascii="Times New Roman" w:eastAsia="Calibri" w:hAnsi="Times New Roman" w:cs="Times New Roman"/>
          <w:i/>
          <w:sz w:val="24"/>
          <w:szCs w:val="24"/>
        </w:rPr>
        <w:t xml:space="preserve"> zvyšuje  </w:t>
      </w:r>
      <w:r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Content>
          <w:sdt>
            <w:sdtPr>
              <w:rPr>
                <w:rFonts w:ascii="Times New Roman" w:eastAsia="Calibri" w:hAnsi="Times New Roman" w:cs="Times New Roman"/>
                <w:i/>
                <w:sz w:val="24"/>
                <w:szCs w:val="24"/>
              </w:rPr>
              <w:id w:val="-80300261"/>
            </w:sdtPr>
            <w:sdtContent>
              <w:r w:rsidRPr="00752150">
                <w:rPr>
                  <w:rFonts w:ascii="Segoe UI Symbol" w:eastAsia="Calibri" w:hAnsi="Segoe UI Symbol" w:cs="Segoe UI Symbol"/>
                  <w:i/>
                  <w:sz w:val="24"/>
                  <w:szCs w:val="24"/>
                </w:rPr>
                <w:t>☒</w:t>
              </w:r>
            </w:sdtContent>
          </w:sdt>
        </w:sdtContent>
      </w:sdt>
      <w:r w:rsidRPr="00752150">
        <w:rPr>
          <w:rFonts w:ascii="Times New Roman" w:eastAsia="Calibri" w:hAnsi="Times New Roman" w:cs="Times New Roman"/>
          <w:i/>
          <w:sz w:val="24"/>
          <w:szCs w:val="24"/>
        </w:rPr>
        <w:t xml:space="preserve"> nemení</w:t>
      </w:r>
      <w:r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Content>
          <w:sdt>
            <w:sdtPr>
              <w:rPr>
                <w:rFonts w:ascii="Times New Roman" w:eastAsia="Calibri" w:hAnsi="Times New Roman" w:cs="Times New Roman"/>
                <w:i/>
                <w:sz w:val="24"/>
                <w:szCs w:val="24"/>
              </w:rPr>
              <w:id w:val="-1706551548"/>
            </w:sdtPr>
            <w:sdtContent>
              <w:r w:rsidRPr="00752150">
                <w:rPr>
                  <w:rFonts w:ascii="Segoe UI Symbol" w:eastAsia="Calibri" w:hAnsi="Segoe UI Symbol" w:cs="Segoe UI Symbol"/>
                  <w:i/>
                  <w:sz w:val="24"/>
                  <w:szCs w:val="24"/>
                </w:rPr>
                <w:t>☐</w:t>
              </w:r>
            </w:sdtContent>
          </w:sdt>
        </w:sdtContent>
      </w:sdt>
      <w:r w:rsidRPr="00752150">
        <w:rPr>
          <w:rFonts w:ascii="Times New Roman" w:eastAsia="Calibri" w:hAnsi="Times New Roman" w:cs="Times New Roman"/>
          <w:i/>
          <w:sz w:val="24"/>
          <w:szCs w:val="24"/>
        </w:rPr>
        <w:t xml:space="preserve"> znižuje</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b/>
          <w:i/>
          <w:sz w:val="24"/>
          <w:szCs w:val="24"/>
        </w:rPr>
      </w:pPr>
      <w:r w:rsidRPr="00752150">
        <w:rPr>
          <w:rFonts w:ascii="Times New Roman" w:eastAsia="Calibri" w:hAnsi="Times New Roman" w:cs="Times New Roman"/>
          <w:b/>
          <w:i/>
          <w:sz w:val="24"/>
          <w:szCs w:val="24"/>
        </w:rPr>
        <w:t>Produktivita:</w:t>
      </w: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Aký má materiál vplyv na zmenu pomeru medzi produkciou podnikov a ich nákladmi? </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Na základe uvedenej odpovede zaškrtnite a popíšte, či materiál produktivitu:</w:t>
      </w:r>
    </w:p>
    <w:p w:rsidR="00752150" w:rsidRPr="00752150" w:rsidRDefault="00752150" w:rsidP="00752150">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Content>
          <w:sdt>
            <w:sdtPr>
              <w:rPr>
                <w:rFonts w:ascii="Times New Roman" w:eastAsia="Calibri" w:hAnsi="Times New Roman" w:cs="Times New Roman"/>
                <w:i/>
                <w:sz w:val="24"/>
                <w:szCs w:val="24"/>
              </w:rPr>
              <w:id w:val="825715010"/>
            </w:sdtPr>
            <w:sdtContent>
              <w:r w:rsidRPr="00752150">
                <w:rPr>
                  <w:rFonts w:ascii="Segoe UI Symbol" w:eastAsia="Calibri" w:hAnsi="Segoe UI Symbol" w:cs="Segoe UI Symbol"/>
                  <w:i/>
                  <w:sz w:val="24"/>
                  <w:szCs w:val="24"/>
                </w:rPr>
                <w:t>☐</w:t>
              </w:r>
            </w:sdtContent>
          </w:sdt>
        </w:sdtContent>
      </w:sdt>
      <w:r w:rsidRPr="00752150">
        <w:rPr>
          <w:rFonts w:ascii="Times New Roman" w:eastAsia="Calibri" w:hAnsi="Times New Roman" w:cs="Times New Roman"/>
          <w:i/>
          <w:sz w:val="24"/>
          <w:szCs w:val="24"/>
        </w:rPr>
        <w:t xml:space="preserve"> zvyšuje  </w:t>
      </w:r>
      <w:r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Content>
          <w:sdt>
            <w:sdtPr>
              <w:rPr>
                <w:rFonts w:ascii="Times New Roman" w:eastAsia="Calibri" w:hAnsi="Times New Roman" w:cs="Times New Roman"/>
                <w:i/>
                <w:sz w:val="24"/>
                <w:szCs w:val="24"/>
              </w:rPr>
              <w:id w:val="-1222205104"/>
            </w:sdtPr>
            <w:sdtContent>
              <w:sdt>
                <w:sdtPr>
                  <w:rPr>
                    <w:rFonts w:ascii="Times New Roman" w:eastAsia="Calibri" w:hAnsi="Times New Roman" w:cs="Times New Roman"/>
                    <w:i/>
                    <w:sz w:val="24"/>
                    <w:szCs w:val="24"/>
                  </w:rPr>
                  <w:id w:val="-978146311"/>
                </w:sdtPr>
                <w:sdtContent>
                  <w:sdt>
                    <w:sdtPr>
                      <w:rPr>
                        <w:rFonts w:ascii="Times New Roman" w:eastAsia="Calibri" w:hAnsi="Times New Roman" w:cs="Times New Roman"/>
                        <w:i/>
                        <w:sz w:val="24"/>
                        <w:szCs w:val="24"/>
                      </w:rPr>
                      <w:id w:val="-681903750"/>
                    </w:sdtPr>
                    <w:sdtContent>
                      <w:r w:rsidRPr="00752150">
                        <w:rPr>
                          <w:rFonts w:ascii="Segoe UI Symbol" w:eastAsia="Calibri" w:hAnsi="Segoe UI Symbol" w:cs="Segoe UI Symbol"/>
                          <w:i/>
                          <w:sz w:val="24"/>
                          <w:szCs w:val="24"/>
                        </w:rPr>
                        <w:t>☒</w:t>
                      </w:r>
                    </w:sdtContent>
                  </w:sdt>
                </w:sdtContent>
              </w:sdt>
            </w:sdtContent>
          </w:sdt>
        </w:sdtContent>
      </w:sdt>
      <w:r w:rsidRPr="00752150">
        <w:rPr>
          <w:rFonts w:ascii="Times New Roman" w:eastAsia="Calibri" w:hAnsi="Times New Roman" w:cs="Times New Roman"/>
          <w:i/>
          <w:sz w:val="24"/>
          <w:szCs w:val="24"/>
        </w:rPr>
        <w:t xml:space="preserve"> nemení</w:t>
      </w:r>
      <w:r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Content>
          <w:sdt>
            <w:sdtPr>
              <w:rPr>
                <w:rFonts w:ascii="Times New Roman" w:eastAsia="Calibri" w:hAnsi="Times New Roman" w:cs="Times New Roman"/>
                <w:i/>
                <w:sz w:val="24"/>
                <w:szCs w:val="24"/>
              </w:rPr>
              <w:id w:val="-623767955"/>
            </w:sdtPr>
            <w:sdtContent>
              <w:r w:rsidRPr="00752150">
                <w:rPr>
                  <w:rFonts w:ascii="Segoe UI Symbol" w:eastAsia="Calibri" w:hAnsi="Segoe UI Symbol" w:cs="Segoe UI Symbol"/>
                  <w:i/>
                  <w:sz w:val="24"/>
                  <w:szCs w:val="24"/>
                </w:rPr>
                <w:t>☐</w:t>
              </w:r>
            </w:sdtContent>
          </w:sdt>
        </w:sdtContent>
      </w:sdt>
      <w:r w:rsidRPr="00752150">
        <w:rPr>
          <w:rFonts w:ascii="Times New Roman" w:eastAsia="Calibri" w:hAnsi="Times New Roman" w:cs="Times New Roman"/>
          <w:i/>
          <w:sz w:val="24"/>
          <w:szCs w:val="24"/>
        </w:rPr>
        <w:t xml:space="preserve"> znižuje</w:t>
      </w: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spacing w:after="0"/>
        <w:jc w:val="both"/>
        <w:rPr>
          <w:rFonts w:ascii="Times New Roman" w:eastAsia="Calibri" w:hAnsi="Times New Roman" w:cs="Times New Roman"/>
          <w:i/>
          <w:sz w:val="24"/>
          <w:szCs w:val="24"/>
        </w:rPr>
      </w:pPr>
    </w:p>
    <w:p w:rsidR="00752150" w:rsidRPr="00752150" w:rsidRDefault="00752150" w:rsidP="00752150">
      <w:pPr>
        <w:jc w:val="both"/>
        <w:rPr>
          <w:rFonts w:ascii="Times New Roman" w:eastAsia="Calibri" w:hAnsi="Times New Roman" w:cs="Times New Roman"/>
          <w:b/>
          <w:sz w:val="24"/>
          <w:szCs w:val="24"/>
        </w:rPr>
      </w:pPr>
      <w:r w:rsidRPr="00752150">
        <w:rPr>
          <w:rFonts w:ascii="Times New Roman" w:eastAsia="Calibri" w:hAnsi="Times New Roman" w:cs="Times New Roman"/>
          <w:b/>
          <w:sz w:val="24"/>
          <w:szCs w:val="24"/>
        </w:rPr>
        <w:t xml:space="preserve">3.4  Iné vplyvy na podnikateľské prostredie </w:t>
      </w: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Návrhom zákona vznikajú nové Iné vplyvy na podnikateľské prostredie – sankcie a pokuty. V súvislosti s kompetenciou Dopravného úradu udeliť sankcie sa predpokladá, že na základe doterajších skúseností z uplatňovania zákona č. 143/1998 Z. z., si osoby činné v civilnom letectve budú plniť stanovené povinnosti. Súčasne sa poukazuje na skutočnosť, že sa stanovujú dostatočne odrádzajúce sankcie. Z uvedených dôvodov sa predpokladá, že stanovené povinnosti budú osobami činnými v civilnom letectve dodržiavané.</w:t>
      </w:r>
    </w:p>
    <w:p w:rsidR="00752150" w:rsidRPr="00752150" w:rsidRDefault="00752150" w:rsidP="00752150">
      <w:pPr>
        <w:spacing w:after="0"/>
        <w:jc w:val="both"/>
        <w:rPr>
          <w:rFonts w:ascii="Times New Roman" w:eastAsia="Calibri" w:hAnsi="Times New Roman" w:cs="Times New Roman"/>
          <w:sz w:val="24"/>
          <w:szCs w:val="24"/>
        </w:rPr>
      </w:pP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 xml:space="preserve">Podľa návrhu § 51 ods. 4 písm. c) zákona č. 143/1998 Z. z. </w:t>
      </w:r>
      <w:r w:rsidRPr="00752150">
        <w:rPr>
          <w:rFonts w:ascii="Times New Roman" w:eastAsia="Calibri" w:hAnsi="Times New Roman" w:cs="Times New Roman"/>
          <w:i/>
          <w:sz w:val="24"/>
          <w:szCs w:val="24"/>
        </w:rPr>
        <w:t>Dopravný úrad uloží pokutu do 3 300 eur osobe, ktorá nepožiada ako vlastník lietadla o zmenu údajov zapísaných v registri lietadiel do 30 dní odo dňa, keď takáto zmena nastala.</w:t>
      </w:r>
    </w:p>
    <w:p w:rsidR="00752150" w:rsidRPr="00752150" w:rsidRDefault="00752150" w:rsidP="00752150">
      <w:pPr>
        <w:spacing w:after="0"/>
        <w:jc w:val="both"/>
        <w:rPr>
          <w:rFonts w:ascii="Times New Roman" w:eastAsia="Calibri" w:hAnsi="Times New Roman" w:cs="Times New Roman"/>
          <w:sz w:val="24"/>
          <w:szCs w:val="24"/>
        </w:rPr>
      </w:pP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 xml:space="preserve">Podľa návrhu § 53 ods. 1 písm. o) zákona č. 143/1998 Z. z. </w:t>
      </w:r>
      <w:r w:rsidRPr="00752150">
        <w:rPr>
          <w:rFonts w:ascii="Times New Roman" w:eastAsia="Calibri" w:hAnsi="Times New Roman" w:cs="Times New Roman"/>
          <w:i/>
          <w:sz w:val="24"/>
          <w:szCs w:val="24"/>
        </w:rPr>
        <w:t>Priestupku na úseku civilného letectva sa dopustí ten, kto nepožiada ako vlastník lietadla o zmenu údajov zapísaných v registri lietadiel do 30 dní odo dňa, keď takáto zmena nastala</w:t>
      </w:r>
      <w:r w:rsidRPr="00752150">
        <w:rPr>
          <w:rFonts w:ascii="Times New Roman" w:eastAsia="Calibri" w:hAnsi="Times New Roman" w:cs="Times New Roman"/>
          <w:sz w:val="24"/>
          <w:szCs w:val="24"/>
        </w:rPr>
        <w:t xml:space="preserve">. </w:t>
      </w:r>
    </w:p>
    <w:p w:rsidR="00752150" w:rsidRPr="00752150" w:rsidRDefault="00752150" w:rsidP="00752150">
      <w:pPr>
        <w:spacing w:after="0"/>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 xml:space="preserve">Podľa návrhu § 53 ods. 2 písm. j) zákona č. 143/1998 Z. z. </w:t>
      </w:r>
      <w:r w:rsidRPr="00752150">
        <w:rPr>
          <w:rFonts w:ascii="Times New Roman" w:eastAsia="Calibri" w:hAnsi="Times New Roman" w:cs="Times New Roman"/>
          <w:i/>
          <w:sz w:val="24"/>
          <w:szCs w:val="24"/>
        </w:rPr>
        <w:t>Dopravný úrad uloží pokutu od 100 eur do 2 000 eur.</w:t>
      </w:r>
    </w:p>
    <w:p w:rsidR="00752150" w:rsidRPr="00752150" w:rsidRDefault="00752150" w:rsidP="00752150">
      <w:pPr>
        <w:spacing w:after="0"/>
        <w:jc w:val="both"/>
        <w:rPr>
          <w:rFonts w:ascii="Times New Roman" w:eastAsia="Calibri" w:hAnsi="Times New Roman" w:cs="Times New Roman"/>
          <w:i/>
          <w:sz w:val="24"/>
          <w:szCs w:val="24"/>
        </w:rPr>
      </w:pPr>
    </w:p>
    <w:p w:rsidR="00944E15" w:rsidRDefault="00944E15" w:rsidP="00AF0A3B">
      <w:pPr>
        <w:spacing w:after="0" w:line="240" w:lineRule="auto"/>
        <w:contextualSpacing/>
      </w:pPr>
    </w:p>
    <w:sectPr w:rsidR="00944E15" w:rsidSect="001E356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3D" w:rsidRDefault="0028013D" w:rsidP="00595308">
      <w:pPr>
        <w:spacing w:after="0" w:line="240" w:lineRule="auto"/>
      </w:pPr>
      <w:r>
        <w:separator/>
      </w:r>
    </w:p>
  </w:endnote>
  <w:endnote w:type="continuationSeparator" w:id="0">
    <w:p w:rsidR="0028013D" w:rsidRDefault="0028013D" w:rsidP="0059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50" w:rsidRDefault="0075215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52150" w:rsidRDefault="0075215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46954"/>
      <w:docPartObj>
        <w:docPartGallery w:val="Page Numbers (Bottom of Page)"/>
        <w:docPartUnique/>
      </w:docPartObj>
    </w:sdtPr>
    <w:sdtEndPr>
      <w:rPr>
        <w:rFonts w:ascii="Times New Roman" w:hAnsi="Times New Roman" w:cs="Times New Roman"/>
        <w:sz w:val="20"/>
      </w:rPr>
    </w:sdtEndPr>
    <w:sdtContent>
      <w:p w:rsidR="00752150" w:rsidRPr="00752150" w:rsidRDefault="00752150">
        <w:pPr>
          <w:pStyle w:val="Pta"/>
          <w:jc w:val="center"/>
          <w:rPr>
            <w:rFonts w:ascii="Times New Roman" w:hAnsi="Times New Roman" w:cs="Times New Roman"/>
            <w:sz w:val="20"/>
          </w:rPr>
        </w:pPr>
        <w:r w:rsidRPr="00752150">
          <w:rPr>
            <w:rFonts w:ascii="Times New Roman" w:hAnsi="Times New Roman" w:cs="Times New Roman"/>
            <w:sz w:val="20"/>
          </w:rPr>
          <w:fldChar w:fldCharType="begin"/>
        </w:r>
        <w:r w:rsidRPr="00752150">
          <w:rPr>
            <w:rFonts w:ascii="Times New Roman" w:hAnsi="Times New Roman" w:cs="Times New Roman"/>
            <w:sz w:val="20"/>
          </w:rPr>
          <w:instrText>PAGE   \* MERGEFORMAT</w:instrText>
        </w:r>
        <w:r w:rsidRPr="00752150">
          <w:rPr>
            <w:rFonts w:ascii="Times New Roman" w:hAnsi="Times New Roman" w:cs="Times New Roman"/>
            <w:sz w:val="20"/>
          </w:rPr>
          <w:fldChar w:fldCharType="separate"/>
        </w:r>
        <w:r>
          <w:rPr>
            <w:rFonts w:ascii="Times New Roman" w:hAnsi="Times New Roman" w:cs="Times New Roman"/>
            <w:noProof/>
            <w:sz w:val="20"/>
          </w:rPr>
          <w:t>9</w:t>
        </w:r>
        <w:r w:rsidRPr="00752150">
          <w:rPr>
            <w:rFonts w:ascii="Times New Roman" w:hAnsi="Times New Roman" w:cs="Times New Roman"/>
            <w:sz w:val="20"/>
          </w:rPr>
          <w:fldChar w:fldCharType="end"/>
        </w:r>
      </w:p>
    </w:sdtContent>
  </w:sdt>
  <w:p w:rsidR="00752150" w:rsidRDefault="0075215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50" w:rsidRDefault="00752150">
    <w:pPr>
      <w:pStyle w:val="Pta"/>
      <w:jc w:val="right"/>
    </w:pPr>
    <w:r>
      <w:fldChar w:fldCharType="begin"/>
    </w:r>
    <w:r>
      <w:instrText>PAGE   \* MERGEFORMAT</w:instrText>
    </w:r>
    <w:r>
      <w:fldChar w:fldCharType="separate"/>
    </w:r>
    <w:r>
      <w:rPr>
        <w:noProof/>
      </w:rPr>
      <w:t>0</w:t>
    </w:r>
    <w:r>
      <w:fldChar w:fldCharType="end"/>
    </w:r>
  </w:p>
  <w:p w:rsidR="00752150" w:rsidRDefault="0075215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0"/>
        <w:szCs w:val="24"/>
      </w:rPr>
    </w:sdtEndPr>
    <w:sdtContent>
      <w:p w:rsidR="00752150" w:rsidRPr="00752150" w:rsidRDefault="00752150" w:rsidP="00752150">
        <w:pPr>
          <w:pStyle w:val="Pta"/>
          <w:jc w:val="center"/>
          <w:rPr>
            <w:rFonts w:ascii="Times New Roman" w:hAnsi="Times New Roman" w:cs="Times New Roman"/>
            <w:sz w:val="20"/>
            <w:szCs w:val="24"/>
          </w:rPr>
        </w:pPr>
        <w:r w:rsidRPr="00752150">
          <w:rPr>
            <w:rFonts w:ascii="Times New Roman" w:hAnsi="Times New Roman" w:cs="Times New Roman"/>
            <w:sz w:val="20"/>
            <w:szCs w:val="24"/>
          </w:rPr>
          <w:fldChar w:fldCharType="begin"/>
        </w:r>
        <w:r w:rsidRPr="00752150">
          <w:rPr>
            <w:rFonts w:ascii="Times New Roman" w:hAnsi="Times New Roman" w:cs="Times New Roman"/>
            <w:sz w:val="20"/>
            <w:szCs w:val="24"/>
          </w:rPr>
          <w:instrText>PAGE   \* MERGEFORMAT</w:instrText>
        </w:r>
        <w:r w:rsidRPr="00752150">
          <w:rPr>
            <w:rFonts w:ascii="Times New Roman" w:hAnsi="Times New Roman" w:cs="Times New Roman"/>
            <w:sz w:val="20"/>
            <w:szCs w:val="24"/>
          </w:rPr>
          <w:fldChar w:fldCharType="separate"/>
        </w:r>
        <w:r>
          <w:rPr>
            <w:rFonts w:ascii="Times New Roman" w:hAnsi="Times New Roman" w:cs="Times New Roman"/>
            <w:noProof/>
            <w:sz w:val="20"/>
            <w:szCs w:val="24"/>
          </w:rPr>
          <w:t>10</w:t>
        </w:r>
        <w:r w:rsidRPr="00752150">
          <w:rPr>
            <w:rFonts w:ascii="Times New Roman" w:hAnsi="Times New Roman" w:cs="Times New Roman"/>
            <w:sz w:val="20"/>
            <w:szCs w:val="24"/>
          </w:rPr>
          <w:fldChar w:fldCharType="end"/>
        </w:r>
      </w:p>
    </w:sdtContent>
  </w:sdt>
  <w:p w:rsidR="00752150" w:rsidRPr="00FF7125" w:rsidRDefault="00752150" w:rsidP="00054C41">
    <w:pPr>
      <w:pStyle w:val="Pta"/>
      <w:rPr>
        <w:sz w:val="24"/>
        <w:szCs w:val="24"/>
      </w:rPr>
    </w:pPr>
  </w:p>
  <w:p w:rsidR="00752150" w:rsidRDefault="0075215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91191730"/>
      <w:docPartObj>
        <w:docPartGallery w:val="Page Numbers (Bottom of Page)"/>
        <w:docPartUnique/>
      </w:docPartObj>
    </w:sdtPr>
    <w:sdtEndPr>
      <w:rPr>
        <w:rFonts w:ascii="Times New Roman" w:hAnsi="Times New Roman" w:cs="Times New Roman"/>
      </w:rPr>
    </w:sdtEndPr>
    <w:sdtContent>
      <w:p w:rsidR="001B23B7" w:rsidRPr="00595308" w:rsidRDefault="00EE2D9E" w:rsidP="00595308">
        <w:pPr>
          <w:pStyle w:val="Pta"/>
          <w:jc w:val="center"/>
          <w:rPr>
            <w:rFonts w:ascii="Times New Roman" w:hAnsi="Times New Roman" w:cs="Times New Roman"/>
            <w:sz w:val="16"/>
            <w:szCs w:val="16"/>
          </w:rPr>
        </w:pPr>
        <w:r w:rsidRPr="00595308">
          <w:rPr>
            <w:rFonts w:ascii="Times New Roman" w:hAnsi="Times New Roman" w:cs="Times New Roman"/>
            <w:sz w:val="16"/>
            <w:szCs w:val="16"/>
          </w:rPr>
          <w:fldChar w:fldCharType="begin"/>
        </w:r>
        <w:r w:rsidRPr="00595308">
          <w:rPr>
            <w:rFonts w:ascii="Times New Roman" w:hAnsi="Times New Roman" w:cs="Times New Roman"/>
            <w:sz w:val="16"/>
            <w:szCs w:val="16"/>
          </w:rPr>
          <w:instrText>PAGE   \* MERGEFORMAT</w:instrText>
        </w:r>
        <w:r w:rsidRPr="00595308">
          <w:rPr>
            <w:rFonts w:ascii="Times New Roman" w:hAnsi="Times New Roman" w:cs="Times New Roman"/>
            <w:sz w:val="16"/>
            <w:szCs w:val="16"/>
          </w:rPr>
          <w:fldChar w:fldCharType="separate"/>
        </w:r>
        <w:r w:rsidR="00752150">
          <w:rPr>
            <w:rFonts w:ascii="Times New Roman" w:hAnsi="Times New Roman" w:cs="Times New Roman"/>
            <w:noProof/>
            <w:sz w:val="16"/>
            <w:szCs w:val="16"/>
          </w:rPr>
          <w:t>13</w:t>
        </w:r>
        <w:r w:rsidRPr="00595308">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3D" w:rsidRDefault="0028013D" w:rsidP="00595308">
      <w:pPr>
        <w:spacing w:after="0" w:line="240" w:lineRule="auto"/>
      </w:pPr>
      <w:r>
        <w:separator/>
      </w:r>
    </w:p>
  </w:footnote>
  <w:footnote w:type="continuationSeparator" w:id="0">
    <w:p w:rsidR="0028013D" w:rsidRDefault="0028013D" w:rsidP="0059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50" w:rsidRDefault="00752150" w:rsidP="00092063">
    <w:pPr>
      <w:pStyle w:val="Hlavika"/>
      <w:jc w:val="right"/>
      <w:rPr>
        <w:sz w:val="24"/>
        <w:szCs w:val="24"/>
      </w:rPr>
    </w:pPr>
    <w:r>
      <w:rPr>
        <w:sz w:val="24"/>
        <w:szCs w:val="24"/>
      </w:rPr>
      <w:t>Príloha č. 2</w:t>
    </w:r>
  </w:p>
  <w:p w:rsidR="00752150" w:rsidRPr="00EB59C8" w:rsidRDefault="00752150" w:rsidP="0009206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50" w:rsidRPr="000A15AE" w:rsidRDefault="00752150" w:rsidP="0009206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88"/>
    <w:multiLevelType w:val="hybridMultilevel"/>
    <w:tmpl w:val="8C1C7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1E1B"/>
    <w:multiLevelType w:val="hybridMultilevel"/>
    <w:tmpl w:val="22F0A9EC"/>
    <w:lvl w:ilvl="0" w:tplc="523EA414">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4EF4814"/>
    <w:multiLevelType w:val="hybridMultilevel"/>
    <w:tmpl w:val="F94218D2"/>
    <w:lvl w:ilvl="0" w:tplc="B4EA0594">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A9"/>
    <w:rsid w:val="000609C5"/>
    <w:rsid w:val="000A70A9"/>
    <w:rsid w:val="00122A8E"/>
    <w:rsid w:val="0028013D"/>
    <w:rsid w:val="00366433"/>
    <w:rsid w:val="003A0819"/>
    <w:rsid w:val="003F0920"/>
    <w:rsid w:val="00595308"/>
    <w:rsid w:val="00752150"/>
    <w:rsid w:val="0082132B"/>
    <w:rsid w:val="00944E15"/>
    <w:rsid w:val="009B58D2"/>
    <w:rsid w:val="00A5587F"/>
    <w:rsid w:val="00AF0A3B"/>
    <w:rsid w:val="00AF3DC4"/>
    <w:rsid w:val="00CD73AB"/>
    <w:rsid w:val="00E63142"/>
    <w:rsid w:val="00EE2D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DD06"/>
  <w15:docId w15:val="{4F6E520F-4AFB-4187-8F2F-7DF9F3A6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70A9"/>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0A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70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70A9"/>
  </w:style>
  <w:style w:type="paragraph" w:styleId="Pta">
    <w:name w:val="footer"/>
    <w:basedOn w:val="Normlny"/>
    <w:link w:val="PtaChar"/>
    <w:uiPriority w:val="99"/>
    <w:unhideWhenUsed/>
    <w:rsid w:val="000A70A9"/>
    <w:pPr>
      <w:tabs>
        <w:tab w:val="center" w:pos="4536"/>
        <w:tab w:val="right" w:pos="9072"/>
      </w:tabs>
      <w:spacing w:after="0" w:line="240" w:lineRule="auto"/>
    </w:pPr>
  </w:style>
  <w:style w:type="character" w:customStyle="1" w:styleId="PtaChar">
    <w:name w:val="Päta Char"/>
    <w:basedOn w:val="Predvolenpsmoodseku"/>
    <w:link w:val="Pta"/>
    <w:uiPriority w:val="99"/>
    <w:rsid w:val="000A70A9"/>
  </w:style>
  <w:style w:type="paragraph" w:styleId="Odsekzoznamu">
    <w:name w:val="List Paragraph"/>
    <w:basedOn w:val="Normlny"/>
    <w:uiPriority w:val="34"/>
    <w:qFormat/>
    <w:rsid w:val="000A70A9"/>
    <w:pPr>
      <w:ind w:left="720"/>
      <w:contextualSpacing/>
    </w:pPr>
  </w:style>
  <w:style w:type="paragraph" w:customStyle="1" w:styleId="Default">
    <w:name w:val="Default"/>
    <w:basedOn w:val="Normlny"/>
    <w:rsid w:val="000A70A9"/>
    <w:pPr>
      <w:autoSpaceDE w:val="0"/>
      <w:autoSpaceDN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0A70A9"/>
    <w:rPr>
      <w:color w:val="0563C1"/>
      <w:u w:val="single"/>
    </w:rPr>
  </w:style>
  <w:style w:type="table" w:styleId="Mriekatabuky">
    <w:name w:val="Table Grid"/>
    <w:basedOn w:val="Normlnatabuka"/>
    <w:uiPriority w:val="39"/>
    <w:rsid w:val="000A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B58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58D2"/>
    <w:rPr>
      <w:rFonts w:ascii="Tahoma" w:hAnsi="Tahoma" w:cs="Tahoma"/>
      <w:sz w:val="16"/>
      <w:szCs w:val="16"/>
    </w:rPr>
  </w:style>
  <w:style w:type="character" w:styleId="slostrany">
    <w:name w:val="page number"/>
    <w:basedOn w:val="Predvolenpsmoodseku"/>
    <w:uiPriority w:val="99"/>
    <w:rsid w:val="00752150"/>
    <w:rPr>
      <w:rFonts w:cs="Times New Roman"/>
    </w:rPr>
  </w:style>
  <w:style w:type="table" w:customStyle="1" w:styleId="Mriekatabuky2">
    <w:name w:val="Mriežka tabuľky2"/>
    <w:basedOn w:val="Normlnatabuka"/>
    <w:next w:val="Mriekatabuky"/>
    <w:uiPriority w:val="59"/>
    <w:rsid w:val="0075215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7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hysek@mindop.s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lorincz@minv.s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3343</Words>
  <Characters>19056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Marianna Ferancova</cp:lastModifiedBy>
  <cp:revision>8</cp:revision>
  <dcterms:created xsi:type="dcterms:W3CDTF">2021-12-02T07:47:00Z</dcterms:created>
  <dcterms:modified xsi:type="dcterms:W3CDTF">2022-02-09T09:55:00Z</dcterms:modified>
</cp:coreProperties>
</file>