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38036B" w:rsidP="00194B5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8C1627">
              <w:rPr>
                <w:rFonts w:ascii="Times" w:hAnsi="Times" w:cs="Times"/>
                <w:sz w:val="20"/>
                <w:szCs w:val="20"/>
              </w:rPr>
              <w:t>Návrh na prístup Slovenskej republiky k</w:t>
            </w:r>
            <w:r>
              <w:rPr>
                <w:rFonts w:ascii="Times" w:hAnsi="Times" w:cs="Times"/>
                <w:sz w:val="20"/>
                <w:szCs w:val="20"/>
              </w:rPr>
              <w:t> Protokolu doplňujúcemu Dohovor o potláčaní protiprávneho zmocnenia sa lietadiel</w:t>
            </w:r>
          </w:p>
          <w:p w:rsidR="00194B56" w:rsidRPr="00B043B4" w:rsidRDefault="00194B56" w:rsidP="00194B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38036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SR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38036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E31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E31F79" w:rsidRDefault="00E31F7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1F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August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99050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05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990508" w:rsidRDefault="0099050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05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December 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38036B" w:rsidP="0038036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súvislosti s bojom proti závažnej trestnej činnosti týkajúcej sa medzinárodného civilného letectva SR preberá na seba záväzky, ktoré zodpovedajú moderným štandardom Medzinárodnej organizácie civilného letectva (ICAO) a reagujú na nové hrozby v tejto oblasti.</w:t>
            </w:r>
          </w:p>
          <w:p w:rsidR="00194B56" w:rsidRPr="00B043B4" w:rsidRDefault="00194B56" w:rsidP="003803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A95983">
        <w:trPr>
          <w:trHeight w:val="502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38036B" w:rsidP="00A9598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záujme zefektívnenia boja proti protiprávnym činom ohrozujúcim bezpečnosť medzinárodného civilného letectva a s cieľom posilnenia medzinárodnej spolupráce bude SR uplatňovať ustanovenia protokolu.  </w:t>
            </w:r>
          </w:p>
          <w:p w:rsidR="00194B56" w:rsidRPr="00A95983" w:rsidRDefault="00194B56" w:rsidP="00A9598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9D7870" w:rsidP="00194B5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dopravy a výstavby SR, Ministerstvo vnútra SR, Ministerstvo zahraničných vecí a európskych záležitostí SR, Generálna prokuratúra SR</w:t>
            </w:r>
          </w:p>
          <w:p w:rsidR="00194B56" w:rsidRPr="00B043B4" w:rsidRDefault="00194B56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9905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9050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990508">
        <w:trPr>
          <w:trHeight w:val="78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79" w:rsidRPr="00990508" w:rsidRDefault="00E31F79" w:rsidP="00D540E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990508">
              <w:rPr>
                <w:rFonts w:ascii="Times" w:hAnsi="Times" w:cs="Times"/>
                <w:sz w:val="20"/>
                <w:szCs w:val="20"/>
              </w:rPr>
              <w:t>Alternatívnym riešením je nulový variant, t. j. nepristúpenie SR k protokolu a zachovanie súčasného stavu, čo by v praxi znamenalo neodstránenie problémov, ktorých riešenie požadujú medzinárodné štandardy bezpečnosti civilného letectva.</w:t>
            </w:r>
          </w:p>
          <w:p w:rsidR="004377AE" w:rsidRPr="00990508" w:rsidRDefault="004377AE" w:rsidP="00D54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0E31B9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0E31B9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7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787E7D">
        <w:trPr>
          <w:trHeight w:val="6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9D7870" w:rsidRDefault="009D7870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8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1B23B7" w:rsidRPr="00B043B4" w:rsidTr="00A95983">
        <w:trPr>
          <w:trHeight w:val="60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9905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905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99050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4C16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dporúča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 </w:t>
            </w:r>
            <w:r w:rsidRPr="004C16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čo najskoršie pristúpenie k predmetnému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protokolu.</w:t>
            </w:r>
          </w:p>
          <w:p w:rsidR="00194B56" w:rsidRPr="00990508" w:rsidRDefault="00194B56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9D7870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3A3EF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9D7870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3A3EF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9D7870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9D7870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9D7870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9D7870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9D7870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9D7870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787E7D">
        <w:trPr>
          <w:trHeight w:val="460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A9598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A95983">
        <w:trPr>
          <w:trHeight w:val="51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A95983" w:rsidRDefault="00A95983" w:rsidP="00A95983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Mgr. Lívia </w:t>
            </w:r>
            <w:proofErr w:type="spellStart"/>
            <w:r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>Tymková</w:t>
            </w:r>
            <w:proofErr w:type="spellEnd"/>
            <w:r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, </w:t>
            </w:r>
            <w:hyperlink r:id="rId8" w:history="1">
              <w:r w:rsidRPr="003B1868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livia.tymkova@justice.sk</w:t>
              </w:r>
            </w:hyperlink>
            <w:r>
              <w:rPr>
                <w:rStyle w:val="Siln"/>
                <w:rFonts w:ascii="Times" w:hAnsi="Times" w:cs="Times"/>
                <w:b w:val="0"/>
                <w:sz w:val="20"/>
                <w:szCs w:val="20"/>
              </w:rPr>
              <w:t xml:space="preserve">, 02 888 91328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9905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9050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83" w:rsidRPr="00990508" w:rsidRDefault="00A95983" w:rsidP="00A95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905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Spolupráca s odborníkmi, vrátane</w:t>
            </w:r>
            <w:r w:rsidRPr="00990508">
              <w:rPr>
                <w:rFonts w:ascii="Times New Roman" w:hAnsi="Times New Roman" w:cs="Times New Roman"/>
                <w:sz w:val="20"/>
                <w:szCs w:val="20"/>
              </w:rPr>
              <w:t xml:space="preserve"> predbežného posúdenia materiálu v úzkej spolupráci so všetkými dotknutými inštitúciami, ktorých pripomienky gestorské ministerstvo zohľadnilo pri príprave predkladaného materiálu.</w:t>
            </w:r>
          </w:p>
          <w:bookmarkEnd w:id="0"/>
          <w:p w:rsidR="00A95983" w:rsidRPr="00990508" w:rsidRDefault="00A95983" w:rsidP="00A959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A95983">
        <w:trPr>
          <w:trHeight w:val="992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0E31B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0E31B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0E31B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A9598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0E31B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0E31B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0E31B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A9598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0E31B9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B9" w:rsidRDefault="000E31B9" w:rsidP="001B23B7">
      <w:pPr>
        <w:spacing w:after="0" w:line="240" w:lineRule="auto"/>
      </w:pPr>
      <w:r>
        <w:separator/>
      </w:r>
    </w:p>
  </w:endnote>
  <w:endnote w:type="continuationSeparator" w:id="0">
    <w:p w:rsidR="000E31B9" w:rsidRDefault="000E31B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pStyle w:val="Pta"/>
      <w:jc w:val="right"/>
      <w:rPr>
        <w:rFonts w:ascii="Times New Roman" w:hAnsi="Times New Roman" w:cs="Times New Roman"/>
        <w:sz w:val="24"/>
        <w:szCs w:val="24"/>
      </w:rPr>
    </w:pPr>
  </w:p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B9" w:rsidRDefault="000E31B9" w:rsidP="001B23B7">
      <w:pPr>
        <w:spacing w:after="0" w:line="240" w:lineRule="auto"/>
      </w:pPr>
      <w:r>
        <w:separator/>
      </w:r>
    </w:p>
  </w:footnote>
  <w:footnote w:type="continuationSeparator" w:id="0">
    <w:p w:rsidR="000E31B9" w:rsidRDefault="000E31B9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6B22"/>
    <w:rsid w:val="00043706"/>
    <w:rsid w:val="0006704D"/>
    <w:rsid w:val="00097069"/>
    <w:rsid w:val="000E31B9"/>
    <w:rsid w:val="000F2BE9"/>
    <w:rsid w:val="00133577"/>
    <w:rsid w:val="00194B56"/>
    <w:rsid w:val="001B23B7"/>
    <w:rsid w:val="001E3562"/>
    <w:rsid w:val="00203EE3"/>
    <w:rsid w:val="0023360B"/>
    <w:rsid w:val="00243652"/>
    <w:rsid w:val="0038036B"/>
    <w:rsid w:val="003A057B"/>
    <w:rsid w:val="003A3EF8"/>
    <w:rsid w:val="004377AE"/>
    <w:rsid w:val="0049476D"/>
    <w:rsid w:val="004A4383"/>
    <w:rsid w:val="005629D5"/>
    <w:rsid w:val="00591EC6"/>
    <w:rsid w:val="005B1489"/>
    <w:rsid w:val="006F678E"/>
    <w:rsid w:val="00720322"/>
    <w:rsid w:val="00736927"/>
    <w:rsid w:val="0075197E"/>
    <w:rsid w:val="00761208"/>
    <w:rsid w:val="00787E7D"/>
    <w:rsid w:val="007B40C1"/>
    <w:rsid w:val="00865E81"/>
    <w:rsid w:val="008801B5"/>
    <w:rsid w:val="008B222D"/>
    <w:rsid w:val="008C79B7"/>
    <w:rsid w:val="009431E3"/>
    <w:rsid w:val="009475F5"/>
    <w:rsid w:val="009717F5"/>
    <w:rsid w:val="00990508"/>
    <w:rsid w:val="009C424C"/>
    <w:rsid w:val="009D7870"/>
    <w:rsid w:val="009E09F7"/>
    <w:rsid w:val="009F305D"/>
    <w:rsid w:val="009F4832"/>
    <w:rsid w:val="00A340BB"/>
    <w:rsid w:val="00A6245C"/>
    <w:rsid w:val="00A95983"/>
    <w:rsid w:val="00AC30D6"/>
    <w:rsid w:val="00B547F5"/>
    <w:rsid w:val="00B84F87"/>
    <w:rsid w:val="00BA2BF4"/>
    <w:rsid w:val="00CE6AAE"/>
    <w:rsid w:val="00CF1A25"/>
    <w:rsid w:val="00D2313B"/>
    <w:rsid w:val="00D540E6"/>
    <w:rsid w:val="00DD335E"/>
    <w:rsid w:val="00DE6F85"/>
    <w:rsid w:val="00DF357C"/>
    <w:rsid w:val="00E31F79"/>
    <w:rsid w:val="00F87681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D822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9D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D78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95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a.tymkova@just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TYMKOVÁ Lívia</cp:lastModifiedBy>
  <cp:revision>14</cp:revision>
  <dcterms:created xsi:type="dcterms:W3CDTF">2021-09-30T10:43:00Z</dcterms:created>
  <dcterms:modified xsi:type="dcterms:W3CDTF">2021-11-18T17:38:00Z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