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9328" w14:textId="77777777" w:rsidR="001A45EA" w:rsidRPr="00FA63B4" w:rsidRDefault="001A45EA" w:rsidP="001A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ZLUČITEĽNOSTI</w:t>
      </w:r>
    </w:p>
    <w:p w14:paraId="3179EE15" w14:textId="77777777" w:rsidR="003A68BE" w:rsidRPr="00FA63B4" w:rsidRDefault="001A45EA" w:rsidP="001A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</w:t>
      </w:r>
      <w:r w:rsidR="00021528" w:rsidRPr="00FA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2DAF5ED8" w14:textId="77777777" w:rsidR="001A45EA" w:rsidRPr="00FA63B4" w:rsidRDefault="001A45EA" w:rsidP="001A45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14:paraId="3BD64C53" w14:textId="77777777" w:rsidR="001A45EA" w:rsidRPr="00FA63B4" w:rsidRDefault="001A45EA" w:rsidP="001A4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273AED69" w14:textId="77777777" w:rsidR="00703A5A" w:rsidRPr="00FA63B4" w:rsidRDefault="00703A5A" w:rsidP="001A4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AB2A625" w14:textId="77777777" w:rsidR="001A45EA" w:rsidRPr="00FA63B4" w:rsidRDefault="001A45EA" w:rsidP="001A45EA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FA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</w:p>
    <w:p w14:paraId="529C9A7A" w14:textId="77777777" w:rsidR="001A45EA" w:rsidRPr="00FA63B4" w:rsidRDefault="00B77702" w:rsidP="001A4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Vláda</w:t>
      </w:r>
      <w:r w:rsidR="001A45EA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Slovenskej republiky</w:t>
      </w: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CDF2DA2" w14:textId="77777777" w:rsidR="00703A5A" w:rsidRPr="00FA63B4" w:rsidRDefault="00703A5A" w:rsidP="001A4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78E68E98" w14:textId="77777777" w:rsidR="001A45EA" w:rsidRPr="00FA63B4" w:rsidRDefault="001A45EA" w:rsidP="001A45EA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FA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 návrhu zákona:</w:t>
      </w:r>
    </w:p>
    <w:p w14:paraId="3FF948E4" w14:textId="0F4E2A89" w:rsidR="00703A5A" w:rsidRPr="00FA63B4" w:rsidRDefault="001A45EA" w:rsidP="00B9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FA63B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FA63B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="00A71694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 sa mení a dopĺňa zákon č. 371/2014 Z. z. o riešení krízových situácií na finančnom trhu a o zmene a doplnení niektorých zákonov v znení neskorších predpisov a ktorým sa menia a dopĺňajú niektoré zákony</w:t>
      </w:r>
      <w:r w:rsidR="00B77702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96E2D6A" w14:textId="77777777" w:rsidR="00B9033B" w:rsidRPr="00FA63B4" w:rsidRDefault="00B9033B" w:rsidP="00B9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72D12C7F" w14:textId="77777777" w:rsidR="001A45EA" w:rsidRPr="00FA63B4" w:rsidRDefault="001A45EA" w:rsidP="001A45EA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FA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 je upravený v práve Európskej únie:</w:t>
      </w:r>
    </w:p>
    <w:p w14:paraId="5DA5010A" w14:textId="77777777" w:rsidR="001A45EA" w:rsidRPr="00FA63B4" w:rsidRDefault="001A45EA" w:rsidP="001A45E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primárnom práve</w:t>
      </w:r>
    </w:p>
    <w:p w14:paraId="1E25D50C" w14:textId="1EF105FB" w:rsidR="001A45EA" w:rsidRPr="00FA63B4" w:rsidRDefault="001A45EA" w:rsidP="008545C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čl. </w:t>
      </w:r>
      <w:r w:rsidR="009D6F4B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3 ods. 1 písm. b), čl. 4, čl. 26 ods. 2, čl. </w:t>
      </w:r>
      <w:r w:rsidR="00725E46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54</w:t>
      </w:r>
      <w:r w:rsidR="009D6F4B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až 66 Zmluvy o fungovaní Európskej únie</w:t>
      </w:r>
      <w:r w:rsidR="00D31A90" w:rsidRPr="00FA63B4">
        <w:rPr>
          <w:rFonts w:ascii="Times New Roman" w:hAnsi="Times New Roman" w:cs="Times New Roman"/>
          <w:sz w:val="24"/>
          <w:szCs w:val="24"/>
        </w:rPr>
        <w:t xml:space="preserve"> (Ú. v. EÚ C 202, 7.6. 2016) v platnom znení,</w:t>
      </w:r>
    </w:p>
    <w:p w14:paraId="1AA7EA45" w14:textId="77777777" w:rsidR="008545C6" w:rsidRPr="00FA63B4" w:rsidRDefault="008545C6" w:rsidP="001A45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</w:pPr>
    </w:p>
    <w:p w14:paraId="36D326B1" w14:textId="77777777" w:rsidR="008545C6" w:rsidRPr="00FA63B4" w:rsidRDefault="008545C6" w:rsidP="008545C6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sekundárnom práve</w:t>
      </w:r>
    </w:p>
    <w:p w14:paraId="18897B8D" w14:textId="1E470ED7" w:rsidR="00DC383C" w:rsidRPr="00FA63B4" w:rsidRDefault="00D63B32" w:rsidP="00DC383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="00DC383C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elegovaná smernica Komisie (EÚ) 2021/1270 z 21. apríla 2021, ktorou sa mení smernica 2010/43/EÚ, pokiaľ ide o riziká ohrozujúce udržateľnosť a faktory udržateľnosti, ktoré sa majú zohľadniť v súvislosti s podnikmi kolektívneho investovania do prevoditeľných cenných papierov (PKIPCP) (Ú. v. EÚ L 277, 2.8.2021), gestor: </w:t>
      </w:r>
      <w:r w:rsidR="00B35246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zatiaľ nebol určený</w:t>
      </w:r>
      <w:r w:rsidR="00DC383C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6D559574" w14:textId="0BEB6A1E" w:rsidR="00DC383C" w:rsidRPr="00FA63B4" w:rsidRDefault="00D63B32" w:rsidP="00DC383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="00DC383C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elegovaná smernica Komisie (EÚ) 2021/1269 z 21. apríla 2021, ktorou sa mení delegovaná smernica (EÚ) 2017/593, pokiaľ ide o začlenenie faktorov udržateľnosti do povinností v oblasti riadenia produktov (Ú. v. EÚ L 277, 2.8.2021), gestor: </w:t>
      </w:r>
      <w:r w:rsidR="00B35246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zatiaľ nebol určený</w:t>
      </w:r>
      <w:r w:rsidR="00DC383C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77613303" w14:textId="77777777" w:rsidR="005A20DD" w:rsidRPr="00FA63B4" w:rsidRDefault="005A20DD" w:rsidP="005A20D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hAnsi="Times New Roman" w:cs="Times New Roman"/>
          <w:sz w:val="24"/>
          <w:szCs w:val="24"/>
          <w:shd w:val="clear" w:color="auto" w:fill="FFFFFF"/>
        </w:rPr>
        <w:t>smernica Európskeho parlamentu a Rady (EÚ) 2019/1160 z 20. júna 2019, ktorou sa mení smernica 2009/65/ES a smernica 2011/61/EÚ, pokiaľ ide o cezhraničnú distribúciu podnikov kolektívneho investovania (</w:t>
      </w:r>
      <w:r w:rsidRPr="00FA63B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Ú. v. EÚ L 188, 12.7.2019), </w:t>
      </w:r>
      <w:r w:rsidRPr="00FA63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gestor: </w:t>
      </w:r>
      <w:r w:rsidRPr="00FA63B4">
        <w:rPr>
          <w:rFonts w:ascii="Times New Roman" w:hAnsi="Times New Roman" w:cs="Times New Roman"/>
          <w:bCs/>
          <w:iCs/>
          <w:sz w:val="24"/>
          <w:szCs w:val="24"/>
        </w:rPr>
        <w:t xml:space="preserve">MF SR, </w:t>
      </w:r>
      <w:proofErr w:type="spellStart"/>
      <w:r w:rsidRPr="00FA63B4">
        <w:rPr>
          <w:rFonts w:ascii="Times New Roman" w:hAnsi="Times New Roman" w:cs="Times New Roman"/>
          <w:bCs/>
          <w:iCs/>
          <w:sz w:val="24"/>
          <w:szCs w:val="24"/>
        </w:rPr>
        <w:t>spolugestor</w:t>
      </w:r>
      <w:proofErr w:type="spellEnd"/>
      <w:r w:rsidRPr="00FA63B4">
        <w:rPr>
          <w:rFonts w:ascii="Times New Roman" w:hAnsi="Times New Roman" w:cs="Times New Roman"/>
          <w:bCs/>
          <w:iCs/>
          <w:sz w:val="24"/>
          <w:szCs w:val="24"/>
        </w:rPr>
        <w:t>: NBS,</w:t>
      </w:r>
    </w:p>
    <w:p w14:paraId="1CA2D6A5" w14:textId="73AF1E0A" w:rsidR="00D3628B" w:rsidRPr="00FA63B4" w:rsidRDefault="00D3628B" w:rsidP="00D3628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hAnsi="Times New Roman" w:cs="Times New Roman"/>
          <w:bCs/>
          <w:sz w:val="24"/>
          <w:szCs w:val="24"/>
        </w:rPr>
        <w:t xml:space="preserve">smernica Európskeho parlamentu a Rady 2014/65/EÚ z 15. mája 2014 o trhoch s finančnými nástrojmi, ktorou sa mení smernica 2002/92/ES a smernica 2011/61/EÚ </w:t>
      </w:r>
      <w:r w:rsidR="003D5487">
        <w:rPr>
          <w:rFonts w:ascii="Times New Roman" w:hAnsi="Times New Roman" w:cs="Times New Roman"/>
          <w:bCs/>
          <w:sz w:val="24"/>
          <w:szCs w:val="24"/>
        </w:rPr>
        <w:t xml:space="preserve">(prepracované znenie) </w:t>
      </w:r>
      <w:r w:rsidRPr="00FA63B4">
        <w:rPr>
          <w:rFonts w:ascii="Times New Roman" w:hAnsi="Times New Roman" w:cs="Times New Roman"/>
          <w:bCs/>
          <w:sz w:val="24"/>
          <w:szCs w:val="24"/>
        </w:rPr>
        <w:t>(</w:t>
      </w:r>
      <w:r w:rsidRPr="00FA63B4">
        <w:rPr>
          <w:rFonts w:ascii="Times New Roman" w:hAnsi="Times New Roman" w:cs="Times New Roman"/>
          <w:bCs/>
          <w:iCs/>
          <w:sz w:val="24"/>
          <w:szCs w:val="24"/>
        </w:rPr>
        <w:t xml:space="preserve">Ú. v. EÚ L 173, 12.6.2014) v platnom znení, gestor: MF SR, </w:t>
      </w:r>
      <w:proofErr w:type="spellStart"/>
      <w:r w:rsidRPr="00FA63B4">
        <w:rPr>
          <w:rFonts w:ascii="Times New Roman" w:hAnsi="Times New Roman" w:cs="Times New Roman"/>
          <w:bCs/>
          <w:iCs/>
          <w:sz w:val="24"/>
          <w:szCs w:val="24"/>
        </w:rPr>
        <w:t>spolugestor</w:t>
      </w:r>
      <w:proofErr w:type="spellEnd"/>
      <w:r w:rsidRPr="00FA63B4">
        <w:rPr>
          <w:rFonts w:ascii="Times New Roman" w:hAnsi="Times New Roman" w:cs="Times New Roman"/>
          <w:bCs/>
          <w:iCs/>
          <w:sz w:val="24"/>
          <w:szCs w:val="24"/>
        </w:rPr>
        <w:t>: NBS,</w:t>
      </w:r>
    </w:p>
    <w:p w14:paraId="47484A4F" w14:textId="026D8E60" w:rsidR="00DC383C" w:rsidRPr="00FA63B4" w:rsidRDefault="00AD4FA0" w:rsidP="0079399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="00DC383C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mernica 2001/34/ES </w:t>
      </w:r>
      <w:r w:rsidR="00793994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="00DC383C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urópskeho parlamentu a Rady z 28. mája 2001</w:t>
      </w:r>
      <w:r w:rsidR="00793994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C383C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prijímaní cenných papierov na kótovanie na burze cenných papierov a o informáciách, ktoré sa o týchto cenných papieroch musia zverejňovať</w:t>
      </w:r>
      <w:r w:rsidR="00793994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(Ú. v. ES L 184, 6.7.2001</w:t>
      </w:r>
      <w:r w:rsidR="004C76AF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; </w:t>
      </w:r>
      <w:r w:rsidR="004C76AF" w:rsidRPr="00FA63B4">
        <w:rPr>
          <w:rFonts w:ascii="Times New Roman" w:hAnsi="Times New Roman" w:cs="Times New Roman"/>
          <w:sz w:val="24"/>
          <w:szCs w:val="24"/>
        </w:rPr>
        <w:t xml:space="preserve">Mimoriadne vydanie Ú. v. EÚ, kap. </w:t>
      </w:r>
      <w:r w:rsidR="004C76AF" w:rsidRPr="00FA63B4">
        <w:rPr>
          <w:rStyle w:val="Zvraznenie"/>
          <w:rFonts w:ascii="Times New Roman" w:hAnsi="Times New Roman"/>
          <w:i w:val="0"/>
          <w:sz w:val="24"/>
          <w:szCs w:val="24"/>
        </w:rPr>
        <w:t>6/zv. 4</w:t>
      </w:r>
      <w:r w:rsidR="00793994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4C76AF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4C76AF" w:rsidRPr="00FA63B4">
        <w:rPr>
          <w:rFonts w:ascii="Times New Roman" w:hAnsi="Times New Roman" w:cs="Times New Roman"/>
          <w:sz w:val="24"/>
          <w:szCs w:val="24"/>
        </w:rPr>
        <w:t>v platnom znení, gestor:</w:t>
      </w:r>
      <w:r w:rsidR="0078191D" w:rsidRPr="00FA63B4">
        <w:rPr>
          <w:rFonts w:ascii="Times New Roman" w:hAnsi="Times New Roman" w:cs="Times New Roman"/>
          <w:sz w:val="24"/>
          <w:szCs w:val="24"/>
        </w:rPr>
        <w:t xml:space="preserve"> MF SR, </w:t>
      </w:r>
      <w:proofErr w:type="spellStart"/>
      <w:r w:rsidR="0078191D" w:rsidRPr="00FA63B4">
        <w:rPr>
          <w:rFonts w:ascii="Times New Roman" w:hAnsi="Times New Roman" w:cs="Times New Roman"/>
          <w:sz w:val="24"/>
          <w:szCs w:val="24"/>
        </w:rPr>
        <w:t>spolugestor</w:t>
      </w:r>
      <w:proofErr w:type="spellEnd"/>
      <w:r w:rsidR="0078191D" w:rsidRPr="00FA63B4">
        <w:rPr>
          <w:rFonts w:ascii="Times New Roman" w:hAnsi="Times New Roman" w:cs="Times New Roman"/>
          <w:sz w:val="24"/>
          <w:szCs w:val="24"/>
        </w:rPr>
        <w:t>:</w:t>
      </w:r>
      <w:r w:rsidR="004C76AF" w:rsidRPr="00FA63B4">
        <w:rPr>
          <w:rFonts w:ascii="Times New Roman" w:hAnsi="Times New Roman" w:cs="Times New Roman"/>
          <w:sz w:val="24"/>
          <w:szCs w:val="24"/>
        </w:rPr>
        <w:t xml:space="preserve"> </w:t>
      </w:r>
      <w:r w:rsidR="0078191D" w:rsidRPr="00FA63B4">
        <w:rPr>
          <w:rFonts w:ascii="Times New Roman" w:hAnsi="Times New Roman" w:cs="Times New Roman"/>
          <w:sz w:val="24"/>
          <w:szCs w:val="24"/>
        </w:rPr>
        <w:t>NBS,</w:t>
      </w:r>
    </w:p>
    <w:p w14:paraId="727D9D02" w14:textId="3FFECB7E" w:rsidR="00793994" w:rsidRPr="00FA63B4" w:rsidRDefault="00AD4FA0" w:rsidP="0079399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="00793994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mernica Európskeho parlamentu a Rady 2011/61/EÚ z  8. júna 2011 o správcoch alternatívnych investičných fondov a o zmene a doplnení smerníc 2003/41/ES a 2009/65/ES a nariadení (ES) č. 1060/2009 a (EÚ) č. 1095/2010 (Ú. v. EÚ L 174, 1.7.2011)</w:t>
      </w:r>
      <w:r w:rsidR="00B95428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B95428" w:rsidRPr="00FA63B4">
        <w:rPr>
          <w:rFonts w:ascii="Times New Roman" w:hAnsi="Times New Roman" w:cs="Times New Roman"/>
          <w:sz w:val="24"/>
          <w:szCs w:val="24"/>
        </w:rPr>
        <w:t>v platnom znení, gestor:</w:t>
      </w:r>
      <w:r w:rsidR="00B95428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MF SR, </w:t>
      </w:r>
      <w:proofErr w:type="spellStart"/>
      <w:r w:rsidR="00B95428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spolugestor</w:t>
      </w:r>
      <w:proofErr w:type="spellEnd"/>
      <w:r w:rsidR="00B95428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 NBS, MPSVR SR,</w:t>
      </w:r>
    </w:p>
    <w:p w14:paraId="0D03D09E" w14:textId="41981688" w:rsidR="00DC383C" w:rsidRPr="00FA63B4" w:rsidRDefault="00AD4FA0" w:rsidP="0010404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="00104046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ariadenie Európskeho parlamentu a Rady (EÚ) 2021/23 zo 16. decembra 2020 o rámci na ozdravenie a riešenie krízových situácií centrálnych protistrán a o zmene nariadení (EÚ) č. 1095/2010, (EÚ) č. 648/2012, (EÚ) č. 600/2014, (EÚ) č. 806/2014 </w:t>
      </w:r>
      <w:r w:rsidR="00104046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a (EÚ) 2015/2365 a smerníc 2002/47/ES, 2004/25/ES, 2007/36/ES, 2014/59/EÚ a (EÚ) 2017/1132 (Ú. v. EÚ L 22, 22.1.2021)</w:t>
      </w:r>
      <w:r w:rsidR="00886C7C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gestor: MF SR, NBS,</w:t>
      </w:r>
    </w:p>
    <w:p w14:paraId="49E92C4D" w14:textId="3596B695" w:rsidR="00104046" w:rsidRPr="00FA63B4" w:rsidRDefault="00AD4FA0" w:rsidP="0010404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="00104046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ariadenie Európskeho parlamentu a Rady (EÚ) 2019/2088 z 27. novembra 2019 o zverejňovaní informácií o udržateľnosti v sektore finančných služieb (Ú. v. EÚ L 317, 9.12.2019)</w:t>
      </w: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platnom znení, gestor: MF SR, NBS, MPSVR SR,</w:t>
      </w:r>
    </w:p>
    <w:p w14:paraId="70776655" w14:textId="4830C40C" w:rsidR="00104046" w:rsidRPr="00FA63B4" w:rsidRDefault="00886C7C" w:rsidP="0010404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="00104046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ariadenie Európskeho parlamentu a Rady (EÚ) 2017/1129 zo 14. júna 2017 o prospekte, ktorý sa má uverejniť pri verejnej ponuke cenných papierov alebo ich prijatí na obchodovanie na regulovanom trhu, a o zrušení smernice 2003/71/ES (Ú. v. EÚ L 168, 30.6.2017)</w:t>
      </w:r>
      <w:r w:rsidR="00180BF0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v platnom znení, gestor: MF SR, NBS,</w:t>
      </w:r>
    </w:p>
    <w:p w14:paraId="05FD8924" w14:textId="1CFACFC9" w:rsidR="00104046" w:rsidRPr="00FA63B4" w:rsidRDefault="00180BF0" w:rsidP="0010404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="00104046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elegované nariadenie Komisie (EÚ) 2017/568 z 24. mája 2016, ktorým sa dopĺňa smernica Európskeho parlamentu a Rady 2014/65/EÚ, pokiaľ ide o regulačné technické predpisy pre prijatie finančných nástrojov na obchodovanie na regulovaných trhoch (Ú. v. EÚ L 87, 31.3.2017)</w:t>
      </w: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gestor: MF SR, NBS</w:t>
      </w:r>
      <w:r w:rsidR="00E30329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061CE145" w14:textId="2BDBF6A2" w:rsidR="00E30329" w:rsidRDefault="00E30329" w:rsidP="00E3032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nariadenie Európskeho parlamentu a Rady (EÚ) č. 648/2012 zo 4. júla 2012 o mimoburzových derivátoch, centrálnych protistranách a archívoch obchodných údajov (Ú. v. EÚ L 201, 27.7.2012) v platnom znení, gestor: MF SR, NBS</w:t>
      </w:r>
      <w:r w:rsidR="00096B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4E6A4114" w14:textId="77777777" w:rsidR="004E2213" w:rsidRDefault="00096B93" w:rsidP="00096B9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96B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smernica Európskeho parlamentu a Rady 2021/2261 z 15. decembra 2021, ktorou sa mení smernica 2009/65/ES, pokiaľ ide o používanie dokumentov s kľúčovými informáciami správcovskými spoločnosťami podnikov kolektívneho investovania do prevoditeľných cenných papierov (PKIPCP)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96B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proofErr w:type="spellStart"/>
      <w:r w:rsidRPr="00096B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Ú.v</w:t>
      </w:r>
      <w:proofErr w:type="spellEnd"/>
      <w:r w:rsidRPr="00096B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EÚ L 455, 20.12.2021) gestor: zatiaľ nebol určený</w:t>
      </w:r>
      <w:r w:rsidR="004E22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2EF5EEEE" w14:textId="638EADBB" w:rsidR="00096B93" w:rsidRDefault="004E2213" w:rsidP="004E221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4E22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ariadenie Európskeho parlamentu a Rady (EÚ) č. 1286/2014 z 26. novembra 2014 o dokumentoch s kľúčovými informáciami pre štrukturalizované </w:t>
      </w:r>
      <w:proofErr w:type="spellStart"/>
      <w:r w:rsidRPr="004E22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retailové</w:t>
      </w:r>
      <w:proofErr w:type="spellEnd"/>
      <w:r w:rsidRPr="004E22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investičné produkty a investičné produkty založené na poistení (PRIIP) (</w:t>
      </w:r>
      <w:proofErr w:type="spellStart"/>
      <w:r w:rsidRPr="004E22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Ú.v</w:t>
      </w:r>
      <w:proofErr w:type="spellEnd"/>
      <w:r w:rsidRPr="004E22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EÚ 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352, 9.12.2014) v platnom znení, gestor: MF SR, </w:t>
      </w:r>
    </w:p>
    <w:p w14:paraId="27E9C93F" w14:textId="6E086E76" w:rsidR="00AA7A29" w:rsidRPr="003C485E" w:rsidRDefault="00AA7A29" w:rsidP="00AA7A2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smernica Európskeho parlamentu a Rady 2014/59/EÚ z  15. mája 2014, ktorou sa stanovuje rámec pre ozdravenie a riešenie krízových situácií úverových inštitúcií a investičných spoločností a ktorou sa mení smernica Rady 82/891/EHS a smernice Európskeho parlamentu a Rady 2001/24/ES, 2002/47/ES, 2004/25/ES, 2005/56/ES, 2007/36/ES, 2011/35/EÚ, 2012/30/EÚ a 2013/36/EÚ a nariadenia Európskeho parlamentu a Rady (EÚ) č. 1093/2010 a (EÚ) č. 648/2012 (Ú. v. EÚ L 173, 12.6.2014) v platnom znení, gestor: MF SR, </w:t>
      </w:r>
      <w:proofErr w:type="spellStart"/>
      <w:r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spolugestor</w:t>
      </w:r>
      <w:proofErr w:type="spellEnd"/>
      <w:r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 NBS</w:t>
      </w:r>
      <w:r w:rsidR="006F052E"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548285D3" w14:textId="52A431FC" w:rsidR="006F052E" w:rsidRPr="003C485E" w:rsidRDefault="006F052E" w:rsidP="006F052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smernica Európskeho parlamentu a Rady (EÚ) 2019/879 z 20. mája 2019, ktorou sa mení smernica 2014/59/EÚ, pokiaľ ide o kapacitu úverových inštitúcií a investičných spoločností na absorpciu strát a </w:t>
      </w:r>
      <w:proofErr w:type="spellStart"/>
      <w:r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rekapitalizáciu</w:t>
      </w:r>
      <w:proofErr w:type="spellEnd"/>
      <w:r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a smernica 98/26/ES (Ú. v. EÚ L 150, 7.6.2019), gestor: MF SR, </w:t>
      </w:r>
      <w:proofErr w:type="spellStart"/>
      <w:r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spolugestor</w:t>
      </w:r>
      <w:proofErr w:type="spellEnd"/>
      <w:r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 NBS</w:t>
      </w:r>
    </w:p>
    <w:p w14:paraId="001E6239" w14:textId="41EA6D0E" w:rsidR="00C03330" w:rsidRPr="003C485E" w:rsidRDefault="00C03330" w:rsidP="00C0333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nariadenie Európskeho parlamentu a Rady (EÚ) č. 575/2013 z 26. júna 2013 o prudenciálnych požiadavkách na úverové inštitúcie a investičné spoločnosti a o zmene nariadenia (EÚ) č. 648/2012 (Ú. v. EÚ L 176, 27.6.2013) v platnom znení, gestor: MF SR, NBS.</w:t>
      </w:r>
    </w:p>
    <w:p w14:paraId="1DDC99AD" w14:textId="77777777" w:rsidR="009C04AA" w:rsidRPr="00FA63B4" w:rsidRDefault="009C04AA" w:rsidP="001A4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300504C" w14:textId="77777777" w:rsidR="008545C6" w:rsidRPr="00FA63B4" w:rsidRDefault="008545C6" w:rsidP="008545C6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judikatúre Súdneho dvora Európskej únie</w:t>
      </w:r>
      <w:r w:rsidR="00A70665"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6EE339A6" w14:textId="77777777" w:rsidR="00B201E1" w:rsidRPr="00FA63B4" w:rsidRDefault="00B201E1" w:rsidP="00B201E1">
      <w:pPr>
        <w:pStyle w:val="Odsekzoznamu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hAnsi="Times New Roman" w:cs="Times New Roman"/>
          <w:sz w:val="24"/>
          <w:szCs w:val="24"/>
        </w:rPr>
        <w:t xml:space="preserve">rozhodnutie Súdneho dvora vo veci C - 88/13, </w:t>
      </w:r>
      <w:proofErr w:type="spellStart"/>
      <w:r w:rsidRPr="00FA63B4">
        <w:rPr>
          <w:rFonts w:ascii="Times New Roman" w:hAnsi="Times New Roman" w:cs="Times New Roman"/>
          <w:bCs/>
          <w:sz w:val="24"/>
          <w:szCs w:val="24"/>
        </w:rPr>
        <w:t>Philippe</w:t>
      </w:r>
      <w:proofErr w:type="spellEnd"/>
      <w:r w:rsidRPr="00FA63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63B4">
        <w:rPr>
          <w:rFonts w:ascii="Times New Roman" w:hAnsi="Times New Roman" w:cs="Times New Roman"/>
          <w:bCs/>
          <w:sz w:val="24"/>
          <w:szCs w:val="24"/>
        </w:rPr>
        <w:t>Gruslin</w:t>
      </w:r>
      <w:proofErr w:type="spellEnd"/>
      <w:r w:rsidRPr="00FA63B4">
        <w:rPr>
          <w:rFonts w:ascii="Times New Roman" w:hAnsi="Times New Roman" w:cs="Times New Roman"/>
          <w:sz w:val="24"/>
          <w:szCs w:val="24"/>
        </w:rPr>
        <w:t xml:space="preserve"> proti </w:t>
      </w:r>
      <w:proofErr w:type="spellStart"/>
      <w:r w:rsidRPr="00FA63B4">
        <w:rPr>
          <w:rFonts w:ascii="Times New Roman" w:hAnsi="Times New Roman" w:cs="Times New Roman"/>
          <w:bCs/>
          <w:sz w:val="24"/>
          <w:szCs w:val="24"/>
        </w:rPr>
        <w:t>Beobank</w:t>
      </w:r>
      <w:proofErr w:type="spellEnd"/>
      <w:r w:rsidRPr="00FA63B4">
        <w:rPr>
          <w:rFonts w:ascii="Times New Roman" w:hAnsi="Times New Roman" w:cs="Times New Roman"/>
          <w:bCs/>
          <w:sz w:val="24"/>
          <w:szCs w:val="24"/>
        </w:rPr>
        <w:t xml:space="preserve"> SA</w:t>
      </w:r>
      <w:r w:rsidRPr="00FA63B4">
        <w:rPr>
          <w:rFonts w:ascii="Times New Roman" w:hAnsi="Times New Roman" w:cs="Times New Roman"/>
          <w:sz w:val="24"/>
          <w:szCs w:val="24"/>
        </w:rPr>
        <w:t>, [</w:t>
      </w:r>
      <w:r w:rsidRPr="00FA63B4">
        <w:rPr>
          <w:rFonts w:ascii="Times New Roman" w:hAnsi="Times New Roman" w:cs="Times New Roman"/>
          <w:bCs/>
          <w:sz w:val="24"/>
          <w:szCs w:val="24"/>
        </w:rPr>
        <w:t>2014</w:t>
      </w:r>
      <w:r w:rsidRPr="00FA63B4">
        <w:rPr>
          <w:rFonts w:ascii="Times New Roman" w:hAnsi="Times New Roman" w:cs="Times New Roman"/>
          <w:sz w:val="24"/>
          <w:szCs w:val="24"/>
        </w:rPr>
        <w:t>].</w:t>
      </w:r>
    </w:p>
    <w:p w14:paraId="034E9AAF" w14:textId="77777777" w:rsidR="00577C45" w:rsidRPr="00FA63B4" w:rsidRDefault="00577C45" w:rsidP="00577C45">
      <w:pPr>
        <w:pStyle w:val="Odsekzoznamu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90E737" w14:textId="77777777" w:rsidR="00577C45" w:rsidRPr="00FA63B4" w:rsidRDefault="00577C45" w:rsidP="00577C45">
      <w:pPr>
        <w:pStyle w:val="Odsekzoznamu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Výrok rozhodnutia:</w:t>
      </w:r>
    </w:p>
    <w:p w14:paraId="5A6552F7" w14:textId="739159A7" w:rsidR="00577C45" w:rsidRPr="00FA63B4" w:rsidRDefault="00B201E1" w:rsidP="001F04EC">
      <w:pPr>
        <w:pStyle w:val="c08dispositif"/>
        <w:numPr>
          <w:ilvl w:val="0"/>
          <w:numId w:val="9"/>
        </w:numPr>
        <w:spacing w:after="240" w:afterAutospacing="0"/>
        <w:jc w:val="both"/>
        <w:rPr>
          <w:bCs/>
          <w:color w:val="000000"/>
        </w:rPr>
      </w:pPr>
      <w:r w:rsidRPr="00FA63B4">
        <w:rPr>
          <w:bCs/>
          <w:color w:val="000000"/>
        </w:rPr>
        <w:t xml:space="preserve">Povinnosť stanovená v článku 45 smernice Rady 85/611/EHS z 20. decembra 1985 o koordinácii zákonov, iných právnych predpisov a správnych opatrení týkajúcich sa podnikov kolektívneho investovania do prevoditeľných cenných papierov </w:t>
      </w:r>
      <w:r w:rsidRPr="00FA63B4">
        <w:rPr>
          <w:bCs/>
          <w:color w:val="000000"/>
        </w:rPr>
        <w:lastRenderedPageBreak/>
        <w:t>(PKIPCP), zmenenej a doplnenej smernicou Európskeho parlamentu a Rady 95/26/ES z 29. júna 1995, podľa ktorej je podnik kolektívneho investovania do prevoditeľných cenných papierov, ktorý predáva svoje podielové listy na území iného členského štátu, než v ktorom má svoje sídlo, povinný zabezpečiť podielnikom vyplácanie v členskom štáte, kde sa podielové listy predávajú, sa má vykladať tak, že nezahŕňa vydávanie osvedčení podielnikom o vlastníctve podielových listov, ktoré sú zapísané na ich  meno v emitentovom registri podielnikov.</w:t>
      </w:r>
    </w:p>
    <w:p w14:paraId="58C505BB" w14:textId="6A83486C" w:rsidR="001F04EC" w:rsidRPr="00FA63B4" w:rsidRDefault="001F04EC" w:rsidP="001F04EC">
      <w:pPr>
        <w:pStyle w:val="Odsekzoznamu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hAnsi="Times New Roman" w:cs="Times New Roman"/>
          <w:sz w:val="24"/>
          <w:szCs w:val="24"/>
        </w:rPr>
        <w:t>rozhodnutie Súdneho dvora vo veci C - 631/18, EK proti Slovinskej republike, [</w:t>
      </w:r>
      <w:r w:rsidRPr="00FA63B4">
        <w:rPr>
          <w:rFonts w:ascii="Times New Roman" w:hAnsi="Times New Roman" w:cs="Times New Roman"/>
          <w:bCs/>
          <w:sz w:val="24"/>
          <w:szCs w:val="24"/>
        </w:rPr>
        <w:t>2021</w:t>
      </w:r>
      <w:r w:rsidRPr="00FA63B4">
        <w:rPr>
          <w:rFonts w:ascii="Times New Roman" w:hAnsi="Times New Roman" w:cs="Times New Roman"/>
          <w:sz w:val="24"/>
          <w:szCs w:val="24"/>
        </w:rPr>
        <w:t>].</w:t>
      </w:r>
    </w:p>
    <w:p w14:paraId="1979C3A8" w14:textId="77777777" w:rsidR="001F04EC" w:rsidRPr="00FA63B4" w:rsidRDefault="001F04EC" w:rsidP="001F04EC">
      <w:pPr>
        <w:pStyle w:val="Odsekzoznamu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53CD02" w14:textId="77777777" w:rsidR="001F04EC" w:rsidRPr="00FA63B4" w:rsidRDefault="001F04EC" w:rsidP="001F04EC">
      <w:pPr>
        <w:pStyle w:val="Odsekzoznamu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Výrok rozhodnutia:</w:t>
      </w:r>
    </w:p>
    <w:p w14:paraId="6E23EEE9" w14:textId="74A7AA57" w:rsidR="001F04EC" w:rsidRPr="00FA63B4" w:rsidRDefault="001F04EC" w:rsidP="001F04EC">
      <w:pPr>
        <w:pStyle w:val="c08dispositif"/>
        <w:spacing w:after="240" w:afterAutospacing="0"/>
        <w:ind w:left="1137"/>
        <w:jc w:val="both"/>
        <w:rPr>
          <w:bCs/>
          <w:color w:val="000000"/>
        </w:rPr>
      </w:pPr>
      <w:r w:rsidRPr="00FA63B4">
        <w:rPr>
          <w:bCs/>
          <w:color w:val="000000"/>
        </w:rPr>
        <w:t>Slovinská republika si tým, že ku dňu uplynutia lehoty stanovenej v odôvodnenom stanovisku neprijala zákony, iné právne predpisy a správne opatrenia potrebné na dosiahnutie súladu s delegovanou smernicou Komisie (EÚ) 2017/593 zo 7. apríla 2016, ktorou sa dopĺňa smernica Európskeho parlamentu a Rady </w:t>
      </w:r>
      <w:bookmarkStart w:id="0" w:name="ctx3"/>
      <w:r w:rsidRPr="00FA63B4">
        <w:rPr>
          <w:bCs/>
        </w:rPr>
        <w:t>2014/65</w:t>
      </w:r>
      <w:bookmarkEnd w:id="0"/>
      <w:r w:rsidRPr="00FA63B4">
        <w:rPr>
          <w:bCs/>
          <w:color w:val="000000"/>
        </w:rPr>
        <w:t>/EÚ, pokiaľ ide o ochranu finančných nástrojov a finančných prostriedkov patriacich klientom, povinnosti v oblasti riadenia produktov a pravidlá uplatniteľné na poskytovanie alebo prijímanie poplatkov, provízií alebo akýchkoľvek peňažných alebo nepeňažných benefitov, a ani neoznámila tieto ustanovenia Európskej komisii, nesplnila povinnosti, ktoré jej vyplývajú z článku 14 delegovanej smernice 2017/593.</w:t>
      </w:r>
    </w:p>
    <w:p w14:paraId="57EC4AEA" w14:textId="0C914FAB" w:rsidR="001F6E1E" w:rsidRPr="00FA63B4" w:rsidRDefault="001F6E1E" w:rsidP="001F6E1E">
      <w:pPr>
        <w:pStyle w:val="Odsekzoznamu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hAnsi="Times New Roman" w:cs="Times New Roman"/>
          <w:sz w:val="24"/>
          <w:szCs w:val="24"/>
        </w:rPr>
        <w:t xml:space="preserve">rozhodnutie Súdneho dvora vo veci C - </w:t>
      </w:r>
      <w:r w:rsidR="006C16C3" w:rsidRPr="00FA63B4">
        <w:rPr>
          <w:rFonts w:ascii="Times New Roman" w:hAnsi="Times New Roman" w:cs="Times New Roman"/>
          <w:sz w:val="24"/>
          <w:szCs w:val="24"/>
        </w:rPr>
        <w:t>430</w:t>
      </w:r>
      <w:r w:rsidRPr="00FA63B4">
        <w:rPr>
          <w:rFonts w:ascii="Times New Roman" w:hAnsi="Times New Roman" w:cs="Times New Roman"/>
          <w:sz w:val="24"/>
          <w:szCs w:val="24"/>
        </w:rPr>
        <w:t>/</w:t>
      </w:r>
      <w:r w:rsidR="006C16C3" w:rsidRPr="00FA63B4">
        <w:rPr>
          <w:rFonts w:ascii="Times New Roman" w:hAnsi="Times New Roman" w:cs="Times New Roman"/>
          <w:sz w:val="24"/>
          <w:szCs w:val="24"/>
        </w:rPr>
        <w:t>05</w:t>
      </w:r>
      <w:r w:rsidRPr="00FA6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Ntionik</w:t>
      </w:r>
      <w:proofErr w:type="spellEnd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Anonymi</w:t>
      </w:r>
      <w:proofErr w:type="spellEnd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Etaireia</w:t>
      </w:r>
      <w:proofErr w:type="spellEnd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Emporias</w:t>
      </w:r>
      <w:proofErr w:type="spellEnd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H/Y,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Logismikou</w:t>
      </w:r>
      <w:proofErr w:type="spellEnd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kai</w:t>
      </w:r>
      <w:proofErr w:type="spellEnd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Paroxis</w:t>
      </w:r>
      <w:proofErr w:type="spellEnd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Ypiresion</w:t>
      </w:r>
      <w:proofErr w:type="spellEnd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Michanografisis</w:t>
      </w:r>
      <w:proofErr w:type="spellEnd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Ioannis</w:t>
      </w:r>
      <w:proofErr w:type="spellEnd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Michail</w:t>
      </w:r>
      <w:proofErr w:type="spellEnd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Pikoulas</w:t>
      </w:r>
      <w:proofErr w:type="spellEnd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63B4">
        <w:rPr>
          <w:rFonts w:ascii="Times New Roman" w:hAnsi="Times New Roman" w:cs="Times New Roman"/>
          <w:sz w:val="24"/>
          <w:szCs w:val="24"/>
        </w:rPr>
        <w:t xml:space="preserve">proti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Epitropi</w:t>
      </w:r>
      <w:proofErr w:type="spellEnd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16C3" w:rsidRPr="00FA63B4">
        <w:rPr>
          <w:rFonts w:ascii="Times New Roman" w:hAnsi="Times New Roman" w:cs="Times New Roman"/>
          <w:bCs/>
          <w:color w:val="000000"/>
          <w:sz w:val="24"/>
          <w:szCs w:val="24"/>
        </w:rPr>
        <w:t>Kefalaiagoras</w:t>
      </w:r>
      <w:proofErr w:type="spellEnd"/>
      <w:r w:rsidRPr="00FA63B4">
        <w:rPr>
          <w:rFonts w:ascii="Times New Roman" w:hAnsi="Times New Roman" w:cs="Times New Roman"/>
          <w:sz w:val="24"/>
          <w:szCs w:val="24"/>
        </w:rPr>
        <w:t xml:space="preserve"> [</w:t>
      </w:r>
      <w:r w:rsidRPr="00FA63B4">
        <w:rPr>
          <w:rFonts w:ascii="Times New Roman" w:hAnsi="Times New Roman" w:cs="Times New Roman"/>
          <w:bCs/>
          <w:sz w:val="24"/>
          <w:szCs w:val="24"/>
        </w:rPr>
        <w:t>20</w:t>
      </w:r>
      <w:r w:rsidR="006C16C3" w:rsidRPr="00FA63B4">
        <w:rPr>
          <w:rFonts w:ascii="Times New Roman" w:hAnsi="Times New Roman" w:cs="Times New Roman"/>
          <w:bCs/>
          <w:sz w:val="24"/>
          <w:szCs w:val="24"/>
        </w:rPr>
        <w:t>07</w:t>
      </w:r>
      <w:r w:rsidRPr="00FA63B4">
        <w:rPr>
          <w:rFonts w:ascii="Times New Roman" w:hAnsi="Times New Roman" w:cs="Times New Roman"/>
          <w:sz w:val="24"/>
          <w:szCs w:val="24"/>
        </w:rPr>
        <w:t>].</w:t>
      </w:r>
    </w:p>
    <w:p w14:paraId="518CB1D5" w14:textId="77777777" w:rsidR="006C16C3" w:rsidRPr="00FA63B4" w:rsidRDefault="006C16C3" w:rsidP="006C16C3">
      <w:pPr>
        <w:pStyle w:val="Odsekzoznamu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CA6AECC" w14:textId="77777777" w:rsidR="006C16C3" w:rsidRPr="00FA63B4" w:rsidRDefault="006C16C3" w:rsidP="006C16C3">
      <w:pPr>
        <w:pStyle w:val="Odsekzoznamu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Výrok rozhodnutia:</w:t>
      </w:r>
    </w:p>
    <w:p w14:paraId="56C79B7E" w14:textId="62F8ACA0" w:rsidR="001F6E1E" w:rsidRDefault="006C16C3" w:rsidP="001F04EC">
      <w:pPr>
        <w:pStyle w:val="c08dispositif"/>
        <w:spacing w:after="240" w:afterAutospacing="0"/>
        <w:ind w:left="1137"/>
        <w:jc w:val="both"/>
        <w:rPr>
          <w:bCs/>
        </w:rPr>
      </w:pPr>
      <w:r w:rsidRPr="00FA63B4">
        <w:rPr>
          <w:bCs/>
        </w:rPr>
        <w:t>Článok 21 smernice </w:t>
      </w:r>
      <w:bookmarkStart w:id="1" w:name="ctx22"/>
      <w:r w:rsidRPr="00FA63B4">
        <w:rPr>
          <w:bCs/>
        </w:rPr>
        <w:t>2001/34</w:t>
      </w:r>
      <w:bookmarkEnd w:id="1"/>
      <w:r w:rsidRPr="00FA63B4">
        <w:rPr>
          <w:bCs/>
        </w:rPr>
        <w:t>/ES Európskeho parlamentu a Rady z 28. mája 2001 o prijímaní cenných papierov na kótovanie na burze cenných papierov a o informáciách, ktoré sa o týchto cenných papieroch musia zverejňovať, sa má vykladať v tom zmysle, že mu neodporuje, aby vnútroštátny zákonodarca zaviedol pre prípad, že informácie, ktoré obsahuje prospekt uverejnený s cieľom prijatia cenných papierov na kótovanie na burzu cenných papierov, sa ukážu ako nesprávne a zavádzajúce, administratívne sankcie nielen proti osobám, ktoré sú výslovne uvedené v tomto prospekte ako zodpovedné osoby, ale rovnako aj proti emitentovi týchto cenných papierov a proti členom predstavenstva tohto emitenta bez toho, aby sa rozlišovalo, či členovia predstavenstva boli v uvedenom prospekte označení ako zodpovedné osoby.</w:t>
      </w:r>
    </w:p>
    <w:p w14:paraId="739B1513" w14:textId="381231DF" w:rsidR="00EA63CB" w:rsidRPr="003C485E" w:rsidRDefault="00EA63CB" w:rsidP="00EA63CB">
      <w:pPr>
        <w:pStyle w:val="c08dispositif"/>
        <w:numPr>
          <w:ilvl w:val="0"/>
          <w:numId w:val="8"/>
        </w:numPr>
        <w:spacing w:after="240" w:afterAutospacing="0"/>
        <w:ind w:left="709" w:hanging="425"/>
        <w:jc w:val="both"/>
        <w:rPr>
          <w:bCs/>
        </w:rPr>
      </w:pPr>
      <w:r w:rsidRPr="003C485E">
        <w:rPr>
          <w:bCs/>
        </w:rPr>
        <w:t xml:space="preserve">rozsudok Súdneho dvora vo veci C-414/18, </w:t>
      </w:r>
      <w:proofErr w:type="spellStart"/>
      <w:r w:rsidRPr="003C485E">
        <w:rPr>
          <w:bCs/>
        </w:rPr>
        <w:t>Iccrea</w:t>
      </w:r>
      <w:proofErr w:type="spellEnd"/>
      <w:r w:rsidRPr="003C485E">
        <w:rPr>
          <w:bCs/>
        </w:rPr>
        <w:t xml:space="preserve"> </w:t>
      </w:r>
      <w:proofErr w:type="spellStart"/>
      <w:r w:rsidRPr="003C485E">
        <w:rPr>
          <w:bCs/>
        </w:rPr>
        <w:t>Banca</w:t>
      </w:r>
      <w:proofErr w:type="spellEnd"/>
      <w:r w:rsidRPr="003C485E">
        <w:rPr>
          <w:bCs/>
        </w:rPr>
        <w:t xml:space="preserve"> </w:t>
      </w:r>
      <w:proofErr w:type="spellStart"/>
      <w:r w:rsidRPr="003C485E">
        <w:rPr>
          <w:bCs/>
        </w:rPr>
        <w:t>SpA</w:t>
      </w:r>
      <w:proofErr w:type="spellEnd"/>
      <w:r w:rsidRPr="003C485E">
        <w:rPr>
          <w:bCs/>
        </w:rPr>
        <w:t xml:space="preserve"> </w:t>
      </w:r>
      <w:proofErr w:type="spellStart"/>
      <w:r w:rsidRPr="003C485E">
        <w:rPr>
          <w:bCs/>
        </w:rPr>
        <w:t>Istituto</w:t>
      </w:r>
      <w:proofErr w:type="spellEnd"/>
      <w:r w:rsidRPr="003C485E">
        <w:rPr>
          <w:bCs/>
        </w:rPr>
        <w:t xml:space="preserve"> </w:t>
      </w:r>
      <w:proofErr w:type="spellStart"/>
      <w:r w:rsidRPr="003C485E">
        <w:rPr>
          <w:bCs/>
        </w:rPr>
        <w:t>Centrale</w:t>
      </w:r>
      <w:proofErr w:type="spellEnd"/>
      <w:r w:rsidRPr="003C485E">
        <w:rPr>
          <w:bCs/>
        </w:rPr>
        <w:t xml:space="preserve"> del </w:t>
      </w:r>
      <w:proofErr w:type="spellStart"/>
      <w:r w:rsidRPr="003C485E">
        <w:rPr>
          <w:bCs/>
        </w:rPr>
        <w:t>Credito</w:t>
      </w:r>
      <w:proofErr w:type="spellEnd"/>
      <w:r w:rsidRPr="003C485E">
        <w:rPr>
          <w:bCs/>
        </w:rPr>
        <w:t xml:space="preserve"> </w:t>
      </w:r>
      <w:proofErr w:type="spellStart"/>
      <w:r w:rsidRPr="003C485E">
        <w:rPr>
          <w:bCs/>
        </w:rPr>
        <w:t>Cooperativo</w:t>
      </w:r>
      <w:proofErr w:type="spellEnd"/>
      <w:r w:rsidRPr="003C485E">
        <w:rPr>
          <w:bCs/>
        </w:rPr>
        <w:t xml:space="preserve"> proti </w:t>
      </w:r>
      <w:proofErr w:type="spellStart"/>
      <w:r w:rsidRPr="003C485E">
        <w:rPr>
          <w:bCs/>
        </w:rPr>
        <w:t>Banca</w:t>
      </w:r>
      <w:proofErr w:type="spellEnd"/>
      <w:r w:rsidRPr="003C485E">
        <w:rPr>
          <w:bCs/>
        </w:rPr>
        <w:t xml:space="preserve"> </w:t>
      </w:r>
      <w:proofErr w:type="spellStart"/>
      <w:r w:rsidRPr="003C485E">
        <w:rPr>
          <w:bCs/>
        </w:rPr>
        <w:t>d’Italia</w:t>
      </w:r>
      <w:proofErr w:type="spellEnd"/>
      <w:r w:rsidRPr="003C485E">
        <w:rPr>
          <w:bCs/>
        </w:rPr>
        <w:t>, [2019]</w:t>
      </w:r>
    </w:p>
    <w:p w14:paraId="2D100C15" w14:textId="7D18A974" w:rsidR="00EA63CB" w:rsidRPr="003C485E" w:rsidRDefault="00EA63CB" w:rsidP="00EA63CB">
      <w:pPr>
        <w:pStyle w:val="c08dispositif"/>
        <w:spacing w:after="240" w:afterAutospacing="0"/>
        <w:ind w:left="1080"/>
        <w:jc w:val="both"/>
        <w:rPr>
          <w:b/>
          <w:bCs/>
        </w:rPr>
      </w:pPr>
      <w:r w:rsidRPr="003C485E">
        <w:rPr>
          <w:b/>
          <w:bCs/>
        </w:rPr>
        <w:t>Výrok rozhodnutia</w:t>
      </w:r>
    </w:p>
    <w:p w14:paraId="5BAC53D3" w14:textId="034530D5" w:rsidR="00EA63CB" w:rsidRPr="003C485E" w:rsidRDefault="00EA63CB" w:rsidP="00EA63CB">
      <w:pPr>
        <w:pStyle w:val="c08dispositif"/>
        <w:spacing w:after="240" w:afterAutospacing="0"/>
        <w:ind w:left="1080"/>
        <w:jc w:val="both"/>
        <w:rPr>
          <w:bCs/>
        </w:rPr>
      </w:pPr>
      <w:r w:rsidRPr="003C485E">
        <w:rPr>
          <w:bCs/>
        </w:rPr>
        <w:t xml:space="preserve">Článok 103 ods. 2 smernice Európskeho parlamentu a Rady 2014/59/EÚ z 15. mája 2014, ktorou sa stanovuje rámec pre ozdravenie a riešenie krízových situácií úverových inštitúcií a investičných spoločností a ktorou sa mení smernica Rady </w:t>
      </w:r>
      <w:r w:rsidRPr="003C485E">
        <w:rPr>
          <w:bCs/>
        </w:rPr>
        <w:lastRenderedPageBreak/>
        <w:t xml:space="preserve">82/891/EHS a smernice Európskeho parlamentu a Rady 2001/24/ES, 2002/47/ES, 2004/25/ES, 2005/56/ES, 2007/36/ES, 2011/35/EÚ, 2012/30/EÚ a 2013/36/EÚ a nariadenia Európskeho parlamentu a Rady (EÚ) č. 1093/2010 a (EÚ) č. 648/2012, a článok 5 ods. 1 písm. a) a f) delegovaného nariadenia Komisie (EÚ) 2015/63 z 21. októbra 2014, ktorým sa dopĺňa smernica Európskeho parlamentu a Rady 2014/59/EÚ, pokiaľ ide o príspevky ex  </w:t>
      </w:r>
      <w:proofErr w:type="spellStart"/>
      <w:r w:rsidRPr="003C485E">
        <w:rPr>
          <w:bCs/>
        </w:rPr>
        <w:t>ante</w:t>
      </w:r>
      <w:proofErr w:type="spellEnd"/>
      <w:r w:rsidRPr="003C485E">
        <w:rPr>
          <w:bCs/>
        </w:rPr>
        <w:t xml:space="preserve"> do mechanizmov financovania riešenia krízových situácií, sa majú vykladať v tom zmysle, že záväzky, ktoré sú výsledkom transakcií medzi bankou druhého stupňa a členmi skupiny, ktorú tvorí s družstevnými bankami, ktorým poskytuje rôzne služby bez toho, aby ich kontrolovala, a nepokrývajúce úvery poskytnuté na nesúťažnom a neziskovom základe s cieľom podporiť ciele verejnej politiky ústrednej alebo regionálnej štátnej správy</w:t>
      </w:r>
      <w:r w:rsidRPr="003C485E">
        <w:t xml:space="preserve"> </w:t>
      </w:r>
      <w:r w:rsidRPr="003C485E">
        <w:rPr>
          <w:bCs/>
        </w:rPr>
        <w:t>členského štátu, nie sú vylúčené z výpočtu príspevkov do vnútroštátneho fondu na riešenie</w:t>
      </w:r>
      <w:r w:rsidRPr="003C485E">
        <w:t xml:space="preserve"> </w:t>
      </w:r>
      <w:r w:rsidRPr="003C485E">
        <w:rPr>
          <w:bCs/>
        </w:rPr>
        <w:t>krízových situácií uvedených v tomto článku 103 ods. 2.</w:t>
      </w:r>
    </w:p>
    <w:p w14:paraId="6D15E230" w14:textId="581E51D4" w:rsidR="00EA63CB" w:rsidRPr="003C485E" w:rsidRDefault="00EA63CB" w:rsidP="00C03330">
      <w:pPr>
        <w:pStyle w:val="c08dispositif"/>
        <w:numPr>
          <w:ilvl w:val="0"/>
          <w:numId w:val="8"/>
        </w:numPr>
        <w:spacing w:after="240" w:afterAutospacing="0"/>
        <w:ind w:left="709" w:hanging="425"/>
        <w:jc w:val="both"/>
        <w:rPr>
          <w:bCs/>
        </w:rPr>
      </w:pPr>
      <w:r w:rsidRPr="003C485E">
        <w:rPr>
          <w:bCs/>
        </w:rPr>
        <w:t xml:space="preserve">rozsudok Súdneho dvora vo veci C-255/18, State </w:t>
      </w:r>
      <w:proofErr w:type="spellStart"/>
      <w:r w:rsidRPr="003C485E">
        <w:rPr>
          <w:bCs/>
        </w:rPr>
        <w:t>Street</w:t>
      </w:r>
      <w:proofErr w:type="spellEnd"/>
      <w:r w:rsidRPr="003C485E">
        <w:rPr>
          <w:bCs/>
        </w:rPr>
        <w:t xml:space="preserve"> Bank International </w:t>
      </w:r>
      <w:proofErr w:type="spellStart"/>
      <w:r w:rsidRPr="003C485E">
        <w:rPr>
          <w:bCs/>
        </w:rPr>
        <w:t>GmbH</w:t>
      </w:r>
      <w:proofErr w:type="spellEnd"/>
      <w:r w:rsidRPr="003C485E">
        <w:rPr>
          <w:bCs/>
        </w:rPr>
        <w:t xml:space="preserve"> proti </w:t>
      </w:r>
      <w:proofErr w:type="spellStart"/>
      <w:r w:rsidRPr="003C485E">
        <w:rPr>
          <w:bCs/>
        </w:rPr>
        <w:t>Banca</w:t>
      </w:r>
      <w:proofErr w:type="spellEnd"/>
      <w:r w:rsidRPr="003C485E">
        <w:rPr>
          <w:bCs/>
        </w:rPr>
        <w:t xml:space="preserve"> </w:t>
      </w:r>
      <w:proofErr w:type="spellStart"/>
      <w:r w:rsidRPr="003C485E">
        <w:rPr>
          <w:bCs/>
        </w:rPr>
        <w:t>d’Italia</w:t>
      </w:r>
      <w:proofErr w:type="spellEnd"/>
      <w:r w:rsidRPr="003C485E">
        <w:rPr>
          <w:bCs/>
        </w:rPr>
        <w:t xml:space="preserve"> za účasti </w:t>
      </w:r>
      <w:proofErr w:type="spellStart"/>
      <w:r w:rsidRPr="003C485E">
        <w:rPr>
          <w:bCs/>
        </w:rPr>
        <w:t>Banco</w:t>
      </w:r>
      <w:proofErr w:type="spellEnd"/>
      <w:r w:rsidRPr="003C485E">
        <w:rPr>
          <w:bCs/>
        </w:rPr>
        <w:t xml:space="preserve"> </w:t>
      </w:r>
      <w:proofErr w:type="spellStart"/>
      <w:r w:rsidRPr="003C485E">
        <w:rPr>
          <w:bCs/>
        </w:rPr>
        <w:t>delle</w:t>
      </w:r>
      <w:proofErr w:type="spellEnd"/>
      <w:r w:rsidRPr="003C485E">
        <w:rPr>
          <w:bCs/>
        </w:rPr>
        <w:t xml:space="preserve"> </w:t>
      </w:r>
      <w:proofErr w:type="spellStart"/>
      <w:r w:rsidRPr="003C485E">
        <w:rPr>
          <w:bCs/>
        </w:rPr>
        <w:t>Tre</w:t>
      </w:r>
      <w:proofErr w:type="spellEnd"/>
      <w:r w:rsidRPr="003C485E">
        <w:rPr>
          <w:bCs/>
        </w:rPr>
        <w:t xml:space="preserve"> </w:t>
      </w:r>
      <w:proofErr w:type="spellStart"/>
      <w:r w:rsidRPr="003C485E">
        <w:rPr>
          <w:bCs/>
        </w:rPr>
        <w:t>Venezie</w:t>
      </w:r>
      <w:proofErr w:type="spellEnd"/>
      <w:r w:rsidRPr="003C485E">
        <w:rPr>
          <w:bCs/>
        </w:rPr>
        <w:t xml:space="preserve"> </w:t>
      </w:r>
      <w:proofErr w:type="spellStart"/>
      <w:r w:rsidRPr="003C485E">
        <w:rPr>
          <w:bCs/>
        </w:rPr>
        <w:t>SpA</w:t>
      </w:r>
      <w:proofErr w:type="spellEnd"/>
      <w:r w:rsidRPr="003C485E">
        <w:rPr>
          <w:bCs/>
        </w:rPr>
        <w:t>, [2019]</w:t>
      </w:r>
    </w:p>
    <w:p w14:paraId="1E361DD7" w14:textId="766CD094" w:rsidR="00EA63CB" w:rsidRPr="003C485E" w:rsidRDefault="00EA63CB" w:rsidP="00EA63CB">
      <w:pPr>
        <w:pStyle w:val="c08dispositif"/>
        <w:spacing w:after="240" w:afterAutospacing="0"/>
        <w:ind w:left="1080"/>
        <w:jc w:val="both"/>
        <w:rPr>
          <w:b/>
          <w:bCs/>
        </w:rPr>
      </w:pPr>
      <w:r w:rsidRPr="003C485E">
        <w:rPr>
          <w:b/>
          <w:bCs/>
        </w:rPr>
        <w:t xml:space="preserve">Výrok rozhodnutia </w:t>
      </w:r>
    </w:p>
    <w:p w14:paraId="3DE6FCD8" w14:textId="77777777" w:rsidR="00C03330" w:rsidRPr="003C485E" w:rsidRDefault="00EA63CB" w:rsidP="00EA63CB">
      <w:pPr>
        <w:pStyle w:val="c08dispositif"/>
        <w:spacing w:after="240" w:afterAutospacing="0"/>
        <w:ind w:left="1080"/>
        <w:jc w:val="both"/>
        <w:rPr>
          <w:bCs/>
        </w:rPr>
      </w:pPr>
      <w:r w:rsidRPr="003C485E">
        <w:rPr>
          <w:bCs/>
        </w:rPr>
        <w:t xml:space="preserve">1. Pojem „zmena štatútu“ v zmysle článku 12 ods. 2 delegovaného nariadenia Komisie (EÚ) 2015/63 z 21. októbra 2014, ktorým sa dopĺňa smernica Európskeho parlamentu a Rady 2014/59/EÚ, pokiaľ ide o príspevky ex  </w:t>
      </w:r>
      <w:proofErr w:type="spellStart"/>
      <w:r w:rsidRPr="003C485E">
        <w:rPr>
          <w:bCs/>
        </w:rPr>
        <w:t>ante</w:t>
      </w:r>
      <w:proofErr w:type="spellEnd"/>
      <w:r w:rsidRPr="003C485E">
        <w:rPr>
          <w:bCs/>
        </w:rPr>
        <w:t xml:space="preserve"> do mechanizmov financovania riešenia krízových situácií, sa má vykladať v tom zmysle, že zahŕňa takú operáciu, o akú</w:t>
      </w:r>
      <w:r w:rsidR="00C03330" w:rsidRPr="003C485E">
        <w:t xml:space="preserve"> </w:t>
      </w:r>
      <w:r w:rsidR="00C03330" w:rsidRPr="003C485E">
        <w:rPr>
          <w:bCs/>
        </w:rPr>
        <w:t>ide vo veci samej, v súvislosti s ktorou inštitúcia prestane v priebehu roka podliehať dohľadu národného orgánu pre riešenie krízových situácií v nadväznosti na cezhraničné zlúčenie s jej materskou spoločnosťou, a že v dôsledku toho táto operácia nemá vplyv na povinnosť tejto inštitúcie uhradiť všetky pravidelné príspevky splatné za príslušný príspevkový rok.</w:t>
      </w:r>
    </w:p>
    <w:p w14:paraId="1D238332" w14:textId="38048D3C" w:rsidR="00EA63CB" w:rsidRPr="003C485E" w:rsidRDefault="00C03330" w:rsidP="00EA63CB">
      <w:pPr>
        <w:pStyle w:val="c08dispositif"/>
        <w:spacing w:after="240" w:afterAutospacing="0"/>
        <w:ind w:left="1080"/>
        <w:jc w:val="both"/>
        <w:rPr>
          <w:bCs/>
        </w:rPr>
      </w:pPr>
      <w:r w:rsidRPr="003C485E">
        <w:rPr>
          <w:bCs/>
        </w:rPr>
        <w:t>2. Článok 12 ods. 2 delegovaného nariadenia 2015/63 sa má vykladať v tom zmysle, že sa uplatňuje na situáciu, v ktorej k cezhraničnému zlúčeniu inštitúcie so sídlom v členskom štáte s jej materskou spoločnosťou so sídlom v inom členskom štáte a následnému zániku tejto inštitúcie došlo počas roka 2015, hoci vnútroštátny orgán pre riešenie krízových situácií ani štátny fond neboli prvým členským štátom ešte formálne vytvorené a príspevky</w:t>
      </w:r>
      <w:r w:rsidRPr="003C485E">
        <w:t xml:space="preserve"> </w:t>
      </w:r>
      <w:r w:rsidRPr="003C485E">
        <w:rPr>
          <w:bCs/>
        </w:rPr>
        <w:t>ešte neboli vypočítané.</w:t>
      </w:r>
    </w:p>
    <w:p w14:paraId="01547CD8" w14:textId="533E197A" w:rsidR="00C03330" w:rsidRPr="00FA63B4" w:rsidRDefault="00C03330" w:rsidP="00EA63CB">
      <w:pPr>
        <w:pStyle w:val="c08dispositif"/>
        <w:spacing w:after="240" w:afterAutospacing="0"/>
        <w:ind w:left="1080"/>
        <w:jc w:val="both"/>
        <w:rPr>
          <w:bCs/>
        </w:rPr>
      </w:pPr>
      <w:r w:rsidRPr="003C485E">
        <w:rPr>
          <w:bCs/>
        </w:rPr>
        <w:t>3. Článok 104 smernice Európskeho parlamentu a Rady 2014/59/EÚ z 15. mája 2014, ktorou sa stanovuje rámec pre ozdravenie a riešenie krízových situácií úverových inštitúcií a investičných spoločností a ktorou sa mení smernica Rady 82/891/EHS a smernice Európskeho parlamentu a Rady 2001/24/ES, 2002/47/ES, 2004/25/ES, 2005/56/ES, 2007/36/ES, 2011/35/EÚ, 2012/30/EÚ a 2013/36/EÚ a nariadenia Európskeho parlamentu a Rady (EÚ) č. 1093/2010 a (EÚ) č. 648/2012, sa má vykladať v tom zmysle, že inštitúcia so sídlom v členskom štáte, ktorá sa zlúčila s materskou spoločnosťou so sídlom v inom členskom štáte pred zavedením mimoriadneho príspevku vnútroštátnym orgánom pre riešenie krízových situácií prvého členského štátu, nie je povinná uhradiť tento príspevok.</w:t>
      </w:r>
    </w:p>
    <w:p w14:paraId="1AA02422" w14:textId="77777777" w:rsidR="00703A5A" w:rsidRPr="00FA63B4" w:rsidRDefault="00703A5A" w:rsidP="00703A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C96FCAE" w14:textId="77777777" w:rsidR="008545C6" w:rsidRPr="00FA63B4" w:rsidRDefault="008545C6" w:rsidP="008545C6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FA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Záväzky Slovenskej republiky vo vzťahu k Európskej únii:</w:t>
      </w:r>
    </w:p>
    <w:p w14:paraId="1965082A" w14:textId="05F7129E" w:rsidR="00B201E1" w:rsidRPr="00FA63B4" w:rsidRDefault="000F6F5D" w:rsidP="00B201E1">
      <w:pPr>
        <w:pStyle w:val="Odsekzoznamu"/>
        <w:numPr>
          <w:ilvl w:val="0"/>
          <w:numId w:val="5"/>
        </w:numPr>
        <w:tabs>
          <w:tab w:val="left" w:pos="360"/>
          <w:tab w:val="left" w:pos="540"/>
        </w:tabs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FA63B4">
        <w:rPr>
          <w:rFonts w:ascii="Times New Roman" w:hAnsi="Times New Roman" w:cs="Times New Roman"/>
          <w:sz w:val="24"/>
          <w:szCs w:val="24"/>
        </w:rPr>
        <w:t xml:space="preserve"> </w:t>
      </w:r>
      <w:r w:rsidR="00B201E1" w:rsidRPr="00FA63B4">
        <w:rPr>
          <w:rFonts w:ascii="Times New Roman" w:hAnsi="Times New Roman" w:cs="Times New Roman"/>
          <w:sz w:val="24"/>
          <w:szCs w:val="24"/>
        </w:rPr>
        <w:t xml:space="preserve">Lehota na prebratie delegovanej smernice </w:t>
      </w:r>
      <w:r w:rsidR="00D635D2" w:rsidRPr="00FA63B4">
        <w:rPr>
          <w:rFonts w:ascii="Times New Roman" w:hAnsi="Times New Roman" w:cs="Times New Roman"/>
          <w:sz w:val="24"/>
          <w:szCs w:val="24"/>
        </w:rPr>
        <w:t xml:space="preserve">(EÚ) </w:t>
      </w:r>
      <w:r w:rsidR="00B201E1" w:rsidRPr="00FA63B4">
        <w:rPr>
          <w:rFonts w:ascii="Times New Roman" w:hAnsi="Times New Roman" w:cs="Times New Roman"/>
          <w:sz w:val="24"/>
          <w:szCs w:val="24"/>
        </w:rPr>
        <w:t>2021/1270 je stanovená do 31. júla 2022.</w:t>
      </w:r>
    </w:p>
    <w:p w14:paraId="3B794411" w14:textId="2BFBCE17" w:rsidR="00B201E1" w:rsidRDefault="00B201E1" w:rsidP="00B201E1">
      <w:pPr>
        <w:pStyle w:val="Odsekzoznamu"/>
        <w:tabs>
          <w:tab w:val="left" w:pos="360"/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63B4">
        <w:rPr>
          <w:rFonts w:ascii="Times New Roman" w:hAnsi="Times New Roman" w:cs="Times New Roman"/>
          <w:sz w:val="24"/>
          <w:szCs w:val="24"/>
        </w:rPr>
        <w:lastRenderedPageBreak/>
        <w:t>Lehota na prebratie delegovane</w:t>
      </w:r>
      <w:r w:rsidR="00EC5C67" w:rsidRPr="00FA63B4">
        <w:rPr>
          <w:rFonts w:ascii="Times New Roman" w:hAnsi="Times New Roman" w:cs="Times New Roman"/>
          <w:sz w:val="24"/>
          <w:szCs w:val="24"/>
        </w:rPr>
        <w:t>j</w:t>
      </w:r>
      <w:r w:rsidRPr="00FA63B4">
        <w:rPr>
          <w:rFonts w:ascii="Times New Roman" w:hAnsi="Times New Roman" w:cs="Times New Roman"/>
          <w:sz w:val="24"/>
          <w:szCs w:val="24"/>
        </w:rPr>
        <w:t xml:space="preserve"> smernice </w:t>
      </w:r>
      <w:r w:rsidR="00D635D2" w:rsidRPr="00FA63B4">
        <w:rPr>
          <w:rFonts w:ascii="Times New Roman" w:hAnsi="Times New Roman" w:cs="Times New Roman"/>
          <w:sz w:val="24"/>
          <w:szCs w:val="24"/>
        </w:rPr>
        <w:t xml:space="preserve">(EÚ) </w:t>
      </w:r>
      <w:r w:rsidRPr="00FA63B4">
        <w:rPr>
          <w:rFonts w:ascii="Times New Roman" w:hAnsi="Times New Roman" w:cs="Times New Roman"/>
          <w:sz w:val="24"/>
          <w:szCs w:val="24"/>
        </w:rPr>
        <w:t xml:space="preserve">2021/1269 je stanovená do </w:t>
      </w:r>
      <w:r w:rsidR="00EC5C67" w:rsidRPr="00FA63B4">
        <w:rPr>
          <w:rFonts w:ascii="Times New Roman" w:hAnsi="Times New Roman" w:cs="Times New Roman"/>
          <w:sz w:val="24"/>
          <w:szCs w:val="24"/>
        </w:rPr>
        <w:t>21. augusta 2022.</w:t>
      </w:r>
    </w:p>
    <w:p w14:paraId="68DE1879" w14:textId="139A7575" w:rsidR="00096B93" w:rsidRPr="00FA63B4" w:rsidRDefault="00096B93" w:rsidP="00B201E1">
      <w:pPr>
        <w:pStyle w:val="Odsekzoznamu"/>
        <w:tabs>
          <w:tab w:val="left" w:pos="360"/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6B93">
        <w:rPr>
          <w:rFonts w:ascii="Times New Roman" w:hAnsi="Times New Roman" w:cs="Times New Roman"/>
          <w:sz w:val="24"/>
          <w:szCs w:val="24"/>
        </w:rPr>
        <w:t>Lehota na prebratie smernice (EÚ) 2021/2261 je stanovená do 30. júna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573FF" w14:textId="60EB564B" w:rsidR="00B0281C" w:rsidRPr="00FA63B4" w:rsidRDefault="00B0281C" w:rsidP="00B201E1">
      <w:pPr>
        <w:pStyle w:val="Odsekzoznamu"/>
        <w:tabs>
          <w:tab w:val="left" w:pos="360"/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63B4">
        <w:rPr>
          <w:rFonts w:ascii="Times New Roman" w:hAnsi="Times New Roman" w:cs="Times New Roman"/>
          <w:sz w:val="24"/>
          <w:szCs w:val="24"/>
        </w:rPr>
        <w:t>Lehota na prebratie smernice (EÚ) 2019/1160 bola stanovená do 2. augusta 2021.</w:t>
      </w:r>
    </w:p>
    <w:p w14:paraId="33E0589D" w14:textId="13FDF358" w:rsidR="00E04B59" w:rsidRPr="00FA63B4" w:rsidRDefault="00E04B59" w:rsidP="00E04B59">
      <w:pPr>
        <w:tabs>
          <w:tab w:val="left" w:pos="360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A63B4">
        <w:rPr>
          <w:rFonts w:ascii="Times New Roman" w:hAnsi="Times New Roman" w:cs="Times New Roman"/>
          <w:sz w:val="24"/>
          <w:szCs w:val="24"/>
        </w:rPr>
        <w:t xml:space="preserve">Lehota na prebratie smernice </w:t>
      </w:r>
      <w:r w:rsidRPr="00FA63B4">
        <w:rPr>
          <w:rFonts w:ascii="Times New Roman" w:hAnsi="Times New Roman" w:cs="Times New Roman"/>
          <w:bCs/>
          <w:sz w:val="24"/>
          <w:szCs w:val="24"/>
        </w:rPr>
        <w:t>2014/65/EÚ</w:t>
      </w:r>
      <w:r w:rsidRPr="00FA63B4">
        <w:rPr>
          <w:rFonts w:ascii="Times New Roman" w:hAnsi="Times New Roman" w:cs="Times New Roman"/>
          <w:sz w:val="24"/>
          <w:szCs w:val="24"/>
        </w:rPr>
        <w:t xml:space="preserve"> v platnom znení </w:t>
      </w: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bola stanovená</w:t>
      </w:r>
      <w:r w:rsidRPr="00FA63B4">
        <w:rPr>
          <w:rFonts w:ascii="Times New Roman" w:hAnsi="Times New Roman" w:cs="Times New Roman"/>
          <w:sz w:val="24"/>
          <w:szCs w:val="24"/>
        </w:rPr>
        <w:t xml:space="preserve"> do 3.</w:t>
      </w:r>
      <w:r w:rsidR="003C485E">
        <w:rPr>
          <w:rFonts w:ascii="Times New Roman" w:hAnsi="Times New Roman" w:cs="Times New Roman"/>
          <w:sz w:val="24"/>
          <w:szCs w:val="24"/>
        </w:rPr>
        <w:t>júla</w:t>
      </w:r>
      <w:r w:rsidRPr="00FA63B4">
        <w:rPr>
          <w:rFonts w:ascii="Times New Roman" w:hAnsi="Times New Roman" w:cs="Times New Roman"/>
          <w:sz w:val="24"/>
          <w:szCs w:val="24"/>
        </w:rPr>
        <w:t>. 2017.</w:t>
      </w:r>
    </w:p>
    <w:p w14:paraId="3635166B" w14:textId="58495394" w:rsidR="00B201E1" w:rsidRPr="00FA63B4" w:rsidRDefault="00B201E1" w:rsidP="00B201E1">
      <w:pPr>
        <w:tabs>
          <w:tab w:val="left" w:pos="360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A63B4">
        <w:rPr>
          <w:rFonts w:ascii="Times New Roman" w:hAnsi="Times New Roman" w:cs="Times New Roman"/>
          <w:sz w:val="24"/>
          <w:szCs w:val="24"/>
        </w:rPr>
        <w:t xml:space="preserve">Lehota na prebratie smernice </w:t>
      </w:r>
      <w:r w:rsidR="00EC5C67" w:rsidRPr="00FA63B4">
        <w:rPr>
          <w:rFonts w:ascii="Times New Roman" w:hAnsi="Times New Roman" w:cs="Times New Roman"/>
          <w:bCs/>
          <w:sz w:val="24"/>
          <w:szCs w:val="24"/>
        </w:rPr>
        <w:t>2001/34</w:t>
      </w:r>
      <w:r w:rsidR="00DE0776" w:rsidRPr="00FA63B4">
        <w:rPr>
          <w:rFonts w:ascii="Times New Roman" w:hAnsi="Times New Roman" w:cs="Times New Roman"/>
          <w:bCs/>
          <w:sz w:val="24"/>
          <w:szCs w:val="24"/>
        </w:rPr>
        <w:t>/ES</w:t>
      </w:r>
      <w:r w:rsidRPr="00FA63B4">
        <w:rPr>
          <w:rFonts w:ascii="Times New Roman" w:hAnsi="Times New Roman" w:cs="Times New Roman"/>
          <w:sz w:val="24"/>
          <w:szCs w:val="24"/>
        </w:rPr>
        <w:t xml:space="preserve"> bola stanovená do </w:t>
      </w:r>
      <w:r w:rsidR="005F4910" w:rsidRPr="00FA63B4">
        <w:rPr>
          <w:rFonts w:ascii="Times New Roman" w:hAnsi="Times New Roman" w:cs="Times New Roman"/>
          <w:sz w:val="24"/>
          <w:szCs w:val="24"/>
        </w:rPr>
        <w:t>1. mája 2004.</w:t>
      </w:r>
    </w:p>
    <w:p w14:paraId="2DA9E356" w14:textId="4DA5CB29" w:rsidR="00B201E1" w:rsidRPr="00FA63B4" w:rsidRDefault="00B201E1" w:rsidP="00B201E1">
      <w:pPr>
        <w:tabs>
          <w:tab w:val="left" w:pos="360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A63B4">
        <w:rPr>
          <w:rFonts w:ascii="Times New Roman" w:hAnsi="Times New Roman" w:cs="Times New Roman"/>
          <w:sz w:val="24"/>
          <w:szCs w:val="24"/>
        </w:rPr>
        <w:t xml:space="preserve">Lehota na prebratie smernice </w:t>
      </w:r>
      <w:r w:rsidR="00EC5C67" w:rsidRPr="00FA63B4">
        <w:rPr>
          <w:rFonts w:ascii="Times New Roman" w:hAnsi="Times New Roman" w:cs="Times New Roman"/>
          <w:bCs/>
          <w:sz w:val="24"/>
          <w:szCs w:val="24"/>
        </w:rPr>
        <w:t>2011/61</w:t>
      </w:r>
      <w:r w:rsidR="00DE0776" w:rsidRPr="00FA63B4">
        <w:rPr>
          <w:rFonts w:ascii="Times New Roman" w:hAnsi="Times New Roman" w:cs="Times New Roman"/>
          <w:bCs/>
          <w:sz w:val="24"/>
          <w:szCs w:val="24"/>
        </w:rPr>
        <w:t>/EÚ</w:t>
      </w:r>
      <w:r w:rsidRPr="00FA63B4">
        <w:rPr>
          <w:rFonts w:ascii="Times New Roman" w:hAnsi="Times New Roman" w:cs="Times New Roman"/>
          <w:sz w:val="24"/>
          <w:szCs w:val="24"/>
        </w:rPr>
        <w:t xml:space="preserve"> bola stanovená do</w:t>
      </w:r>
      <w:r w:rsidR="00DE0776" w:rsidRPr="00FA63B4">
        <w:rPr>
          <w:rFonts w:ascii="Times New Roman" w:hAnsi="Times New Roman" w:cs="Times New Roman"/>
          <w:sz w:val="24"/>
          <w:szCs w:val="24"/>
        </w:rPr>
        <w:t xml:space="preserve"> 22. júla 2013</w:t>
      </w:r>
      <w:r w:rsidRPr="00FA63B4">
        <w:rPr>
          <w:rFonts w:ascii="Times New Roman" w:hAnsi="Times New Roman" w:cs="Times New Roman"/>
          <w:sz w:val="24"/>
          <w:szCs w:val="24"/>
        </w:rPr>
        <w:t>.</w:t>
      </w:r>
    </w:p>
    <w:p w14:paraId="74CE3351" w14:textId="54B37020" w:rsidR="00B0281C" w:rsidRPr="003C485E" w:rsidRDefault="00CA2116" w:rsidP="00B201E1">
      <w:pPr>
        <w:tabs>
          <w:tab w:val="left" w:pos="360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C485E">
        <w:rPr>
          <w:rFonts w:ascii="Times New Roman" w:hAnsi="Times New Roman" w:cs="Times New Roman"/>
          <w:sz w:val="24"/>
          <w:szCs w:val="24"/>
        </w:rPr>
        <w:t>Lehota na prebratie smernice 2014/59/EÚ bola stanovená do 31. decembra 2014.</w:t>
      </w:r>
    </w:p>
    <w:p w14:paraId="478E9067" w14:textId="7D9B4AB2" w:rsidR="006F052E" w:rsidRPr="00FA63B4" w:rsidRDefault="006F052E" w:rsidP="00B201E1">
      <w:pPr>
        <w:tabs>
          <w:tab w:val="left" w:pos="360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C485E">
        <w:rPr>
          <w:rFonts w:ascii="Times New Roman" w:hAnsi="Times New Roman" w:cs="Times New Roman"/>
          <w:sz w:val="24"/>
          <w:szCs w:val="24"/>
        </w:rPr>
        <w:t>Lehota na prebratie smernice 2019/879/EÚ bola stanovená do 28. decembra 2020.</w:t>
      </w:r>
    </w:p>
    <w:p w14:paraId="557DD8CE" w14:textId="77777777" w:rsidR="008545C6" w:rsidRPr="00FA63B4" w:rsidRDefault="008545C6" w:rsidP="001E58A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B2B6F33" w14:textId="1D5706DA" w:rsidR="00B201E1" w:rsidRPr="00FA63B4" w:rsidRDefault="00970976" w:rsidP="0097097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hAnsi="Times New Roman" w:cs="Times New Roman"/>
          <w:sz w:val="24"/>
          <w:szCs w:val="24"/>
        </w:rPr>
        <w:t>Proti SR nebolo začaté konanie v rámci „EÚ Pilot“, ani nebol začatý postup Európskej komisie, alebo konanie Súdneho dvora Európskej únie proti Slovenskej republike podľa čl. 258 až 260 Zmluvy o fungovaní Európskej únie v platnom znení</w:t>
      </w:r>
      <w:r w:rsidR="00B201E1" w:rsidRPr="00FA63B4">
        <w:rPr>
          <w:rFonts w:ascii="Times New Roman" w:hAnsi="Times New Roman" w:cs="Times New Roman"/>
          <w:sz w:val="24"/>
          <w:szCs w:val="24"/>
        </w:rPr>
        <w:t>.</w:t>
      </w:r>
    </w:p>
    <w:p w14:paraId="3C55CB39" w14:textId="77777777" w:rsidR="00B201E1" w:rsidRPr="00FA63B4" w:rsidRDefault="00B201E1" w:rsidP="00B201E1">
      <w:pPr>
        <w:pStyle w:val="Odsekzoznamu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47B3BB5C" w14:textId="4F86AE30" w:rsidR="00B0281C" w:rsidRPr="00FA63B4" w:rsidRDefault="00B0281C" w:rsidP="00E04B5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63B4">
        <w:rPr>
          <w:rFonts w:ascii="Times New Roman" w:hAnsi="Times New Roman" w:cs="Times New Roman"/>
          <w:lang w:eastAsia="cs-CZ"/>
        </w:rPr>
        <w:t xml:space="preserve">Smernica (EÚ) 2019/1160 bola prebratá do </w:t>
      </w:r>
      <w:r w:rsidRPr="00FA63B4">
        <w:rPr>
          <w:rFonts w:ascii="Times New Roman" w:hAnsi="Times New Roman" w:cs="Times New Roman"/>
        </w:rPr>
        <w:t xml:space="preserve">zákona č. </w:t>
      </w:r>
      <w:r w:rsidRPr="00FA63B4">
        <w:rPr>
          <w:rFonts w:ascii="Times New Roman" w:hAnsi="Times New Roman" w:cs="Times New Roman"/>
          <w:lang w:eastAsia="cs-CZ"/>
        </w:rPr>
        <w:t xml:space="preserve">203/2011 </w:t>
      </w:r>
      <w:proofErr w:type="spellStart"/>
      <w:r w:rsidRPr="00FA63B4">
        <w:rPr>
          <w:rFonts w:ascii="Times New Roman" w:hAnsi="Times New Roman" w:cs="Times New Roman"/>
          <w:lang w:eastAsia="cs-CZ"/>
        </w:rPr>
        <w:t>Z.z</w:t>
      </w:r>
      <w:proofErr w:type="spellEnd"/>
      <w:r w:rsidRPr="00FA63B4">
        <w:rPr>
          <w:rFonts w:ascii="Times New Roman" w:hAnsi="Times New Roman" w:cs="Times New Roman"/>
          <w:lang w:eastAsia="cs-CZ"/>
        </w:rPr>
        <w:t>. o kolektívnom investovaní v znení neskorších predpisov.</w:t>
      </w:r>
    </w:p>
    <w:p w14:paraId="7CD558EA" w14:textId="77777777" w:rsidR="00B0281C" w:rsidRPr="00FA63B4" w:rsidRDefault="00B0281C" w:rsidP="00B0281C">
      <w:pPr>
        <w:pStyle w:val="Default"/>
        <w:ind w:left="720"/>
        <w:jc w:val="both"/>
        <w:rPr>
          <w:rFonts w:ascii="Times New Roman" w:hAnsi="Times New Roman" w:cs="Times New Roman"/>
          <w:lang w:eastAsia="cs-CZ"/>
        </w:rPr>
      </w:pPr>
    </w:p>
    <w:p w14:paraId="32572EBF" w14:textId="55A92C87" w:rsidR="00E04B59" w:rsidRDefault="00E04B59" w:rsidP="00B0281C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FA63B4">
        <w:rPr>
          <w:rFonts w:ascii="Times New Roman" w:hAnsi="Times New Roman" w:cs="Times New Roman"/>
          <w:lang w:eastAsia="cs-CZ"/>
        </w:rPr>
        <w:t xml:space="preserve">Smernica 2014/65/EÚ bola prebratá do </w:t>
      </w:r>
      <w:r w:rsidRPr="00FA63B4">
        <w:rPr>
          <w:rFonts w:ascii="Times New Roman" w:hAnsi="Times New Roman" w:cs="Times New Roman"/>
        </w:rPr>
        <w:t>zákona č.</w:t>
      </w:r>
      <w:r w:rsidRPr="00FA63B4">
        <w:rPr>
          <w:rFonts w:ascii="Times New Roman" w:hAnsi="Times New Roman" w:cs="Times New Roman"/>
          <w:lang w:eastAsia="cs-CZ"/>
        </w:rPr>
        <w:t xml:space="preserve"> 566/2001 </w:t>
      </w:r>
      <w:proofErr w:type="spellStart"/>
      <w:r w:rsidRPr="00FA63B4">
        <w:rPr>
          <w:rFonts w:ascii="Times New Roman" w:hAnsi="Times New Roman" w:cs="Times New Roman"/>
          <w:lang w:eastAsia="cs-CZ"/>
        </w:rPr>
        <w:t>Z.z</w:t>
      </w:r>
      <w:proofErr w:type="spellEnd"/>
      <w:r w:rsidRPr="00FA63B4">
        <w:rPr>
          <w:rFonts w:ascii="Times New Roman" w:hAnsi="Times New Roman" w:cs="Times New Roman"/>
          <w:lang w:eastAsia="cs-CZ"/>
        </w:rPr>
        <w:t xml:space="preserve">. o cenných papieroch a investičných službách a o zmene a doplnení niektorých zákonov (zákon o cenných papieroch) v znení neskorších predpisov, do zákona č. 429/2002 </w:t>
      </w:r>
      <w:proofErr w:type="spellStart"/>
      <w:r w:rsidRPr="00FA63B4">
        <w:rPr>
          <w:rFonts w:ascii="Times New Roman" w:hAnsi="Times New Roman" w:cs="Times New Roman"/>
          <w:lang w:eastAsia="cs-CZ"/>
        </w:rPr>
        <w:t>Z.z</w:t>
      </w:r>
      <w:proofErr w:type="spellEnd"/>
      <w:r w:rsidRPr="00FA63B4">
        <w:rPr>
          <w:rFonts w:ascii="Times New Roman" w:hAnsi="Times New Roman" w:cs="Times New Roman"/>
          <w:lang w:eastAsia="cs-CZ"/>
        </w:rPr>
        <w:t xml:space="preserve">. o burze cenných papierov v znení neskorších predpisov, do zákona č. 747/2004 </w:t>
      </w:r>
      <w:proofErr w:type="spellStart"/>
      <w:r w:rsidRPr="00FA63B4">
        <w:rPr>
          <w:rFonts w:ascii="Times New Roman" w:hAnsi="Times New Roman" w:cs="Times New Roman"/>
          <w:lang w:eastAsia="cs-CZ"/>
        </w:rPr>
        <w:t>Z.z</w:t>
      </w:r>
      <w:proofErr w:type="spellEnd"/>
      <w:r w:rsidRPr="00FA63B4">
        <w:rPr>
          <w:rFonts w:ascii="Times New Roman" w:hAnsi="Times New Roman" w:cs="Times New Roman"/>
          <w:lang w:eastAsia="cs-CZ"/>
        </w:rPr>
        <w:t xml:space="preserve">. o dohľade nad finančným trhom a o zmene niektorých zákonov v znení neskorších predpisov, do zákona č. 186/2009 </w:t>
      </w:r>
      <w:proofErr w:type="spellStart"/>
      <w:r w:rsidRPr="00FA63B4">
        <w:rPr>
          <w:rFonts w:ascii="Times New Roman" w:hAnsi="Times New Roman" w:cs="Times New Roman"/>
          <w:lang w:eastAsia="cs-CZ"/>
        </w:rPr>
        <w:t>Z.z</w:t>
      </w:r>
      <w:proofErr w:type="spellEnd"/>
      <w:r w:rsidRPr="00FA63B4">
        <w:rPr>
          <w:rFonts w:ascii="Times New Roman" w:hAnsi="Times New Roman" w:cs="Times New Roman"/>
          <w:lang w:eastAsia="cs-CZ"/>
        </w:rPr>
        <w:t xml:space="preserve">. </w:t>
      </w:r>
      <w:r w:rsidRPr="00FA63B4">
        <w:rPr>
          <w:rFonts w:ascii="Times New Roman" w:hAnsi="Times New Roman" w:cs="Times New Roman"/>
        </w:rPr>
        <w:t xml:space="preserve">o finančnom sprostredkovaní a finančnom poradenstve a o zmene a doplnení niektorých zákonov </w:t>
      </w:r>
      <w:r w:rsidRPr="00FA63B4">
        <w:rPr>
          <w:rFonts w:ascii="Times New Roman" w:hAnsi="Times New Roman" w:cs="Times New Roman"/>
          <w:lang w:eastAsia="cs-CZ"/>
        </w:rPr>
        <w:t xml:space="preserve">v znení neskorších predpisov, do zákona č. 203/2011 </w:t>
      </w:r>
      <w:proofErr w:type="spellStart"/>
      <w:r w:rsidRPr="00FA63B4">
        <w:rPr>
          <w:rFonts w:ascii="Times New Roman" w:hAnsi="Times New Roman" w:cs="Times New Roman"/>
          <w:lang w:eastAsia="cs-CZ"/>
        </w:rPr>
        <w:t>Z.z</w:t>
      </w:r>
      <w:proofErr w:type="spellEnd"/>
      <w:r w:rsidRPr="00FA63B4">
        <w:rPr>
          <w:rFonts w:ascii="Times New Roman" w:hAnsi="Times New Roman" w:cs="Times New Roman"/>
          <w:lang w:eastAsia="cs-CZ"/>
        </w:rPr>
        <w:t xml:space="preserve">. o kolektívnom investovaní v znení neskorších predpisov, </w:t>
      </w:r>
      <w:r w:rsidRPr="00FA63B4">
        <w:rPr>
          <w:rFonts w:ascii="Times New Roman" w:hAnsi="Times New Roman" w:cs="Times New Roman"/>
        </w:rPr>
        <w:t xml:space="preserve">do zákona č. 483/2001 </w:t>
      </w:r>
      <w:proofErr w:type="spellStart"/>
      <w:r w:rsidRPr="00FA63B4">
        <w:rPr>
          <w:rFonts w:ascii="Times New Roman" w:hAnsi="Times New Roman" w:cs="Times New Roman"/>
        </w:rPr>
        <w:t>Z.z</w:t>
      </w:r>
      <w:proofErr w:type="spellEnd"/>
      <w:r w:rsidRPr="00FA63B4">
        <w:rPr>
          <w:rFonts w:ascii="Times New Roman" w:hAnsi="Times New Roman" w:cs="Times New Roman"/>
        </w:rPr>
        <w:t xml:space="preserve">. o bankách a o zmene a doplnení niektorých zákonov v znení neskorších predpisov, do zákona č. 250/2007 </w:t>
      </w:r>
      <w:proofErr w:type="spellStart"/>
      <w:r w:rsidRPr="00FA63B4">
        <w:rPr>
          <w:rFonts w:ascii="Times New Roman" w:hAnsi="Times New Roman" w:cs="Times New Roman"/>
        </w:rPr>
        <w:t>Z.z</w:t>
      </w:r>
      <w:proofErr w:type="spellEnd"/>
      <w:r w:rsidRPr="00FA63B4">
        <w:rPr>
          <w:rFonts w:ascii="Times New Roman" w:hAnsi="Times New Roman" w:cs="Times New Roman"/>
        </w:rPr>
        <w:t xml:space="preserve">. o ochrane spotrebiteľa a o zmene zákona Slovenskej národnej rady č. 372/1990 Zb. o priestupkoch v znení neskorších predpisov v znení neskorších predpisov a do zákona č. č. 423/2015 </w:t>
      </w:r>
      <w:proofErr w:type="spellStart"/>
      <w:r w:rsidRPr="00FA63B4">
        <w:rPr>
          <w:rFonts w:ascii="Times New Roman" w:hAnsi="Times New Roman" w:cs="Times New Roman"/>
        </w:rPr>
        <w:t>Z.z</w:t>
      </w:r>
      <w:proofErr w:type="spellEnd"/>
      <w:r w:rsidRPr="00FA63B4">
        <w:rPr>
          <w:rFonts w:ascii="Times New Roman" w:hAnsi="Times New Roman" w:cs="Times New Roman"/>
        </w:rPr>
        <w:t xml:space="preserve">. o štatutárnom audite a o zmene a doplnení zákona č. 431/2002 </w:t>
      </w:r>
      <w:proofErr w:type="spellStart"/>
      <w:r w:rsidRPr="00FA63B4">
        <w:rPr>
          <w:rFonts w:ascii="Times New Roman" w:hAnsi="Times New Roman" w:cs="Times New Roman"/>
        </w:rPr>
        <w:t>Z.z</w:t>
      </w:r>
      <w:proofErr w:type="spellEnd"/>
      <w:r w:rsidRPr="00FA63B4">
        <w:rPr>
          <w:rFonts w:ascii="Times New Roman" w:hAnsi="Times New Roman" w:cs="Times New Roman"/>
        </w:rPr>
        <w:t>. o účtovníctve v znení neskorších predpisov v znení neskorších predpisov.</w:t>
      </w:r>
    </w:p>
    <w:p w14:paraId="047811DE" w14:textId="77777777" w:rsidR="00EA63CB" w:rsidRPr="00FA63B4" w:rsidRDefault="00EA63CB" w:rsidP="00B0281C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68DA422E" w14:textId="0A3F6FE8" w:rsidR="00B201E1" w:rsidRPr="00FA63B4" w:rsidRDefault="00B201E1" w:rsidP="00E04B5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3B4">
        <w:rPr>
          <w:rFonts w:ascii="Times New Roman" w:eastAsia="Calibri" w:hAnsi="Times New Roman" w:cs="Times New Roman"/>
          <w:sz w:val="24"/>
          <w:szCs w:val="24"/>
        </w:rPr>
        <w:t xml:space="preserve">Smernica </w:t>
      </w:r>
      <w:r w:rsidR="00DE0776" w:rsidRPr="00FA63B4">
        <w:rPr>
          <w:rFonts w:ascii="Times New Roman" w:eastAsia="Calibri" w:hAnsi="Times New Roman" w:cs="Times New Roman"/>
          <w:sz w:val="24"/>
          <w:szCs w:val="24"/>
        </w:rPr>
        <w:t>2001/34/ES</w:t>
      </w:r>
      <w:r w:rsidRPr="00FA63B4">
        <w:rPr>
          <w:rFonts w:ascii="Times New Roman" w:eastAsia="Calibri" w:hAnsi="Times New Roman" w:cs="Times New Roman"/>
          <w:sz w:val="24"/>
          <w:szCs w:val="24"/>
        </w:rPr>
        <w:t xml:space="preserve"> bola prebratá </w:t>
      </w:r>
      <w:r w:rsidR="005F4910" w:rsidRPr="00FA63B4">
        <w:rPr>
          <w:rFonts w:ascii="Times New Roman" w:eastAsia="Calibri" w:hAnsi="Times New Roman" w:cs="Times New Roman"/>
          <w:sz w:val="24"/>
          <w:szCs w:val="24"/>
        </w:rPr>
        <w:t>do zákona č. 429/2002 Z. z. o burze cenných papierov</w:t>
      </w:r>
      <w:r w:rsidR="00654FE7" w:rsidRPr="00FA63B4">
        <w:rPr>
          <w:rFonts w:ascii="Times New Roman" w:eastAsia="Calibri" w:hAnsi="Times New Roman" w:cs="Times New Roman"/>
          <w:sz w:val="24"/>
          <w:szCs w:val="24"/>
        </w:rPr>
        <w:t xml:space="preserve"> v znení neskorších predpisov, </w:t>
      </w:r>
      <w:r w:rsidR="00654FE7" w:rsidRPr="00FA63B4">
        <w:rPr>
          <w:rFonts w:ascii="Times New Roman" w:hAnsi="Times New Roman" w:cs="Times New Roman"/>
          <w:sz w:val="24"/>
          <w:szCs w:val="24"/>
          <w:lang w:eastAsia="cs-CZ"/>
        </w:rPr>
        <w:t xml:space="preserve">do </w:t>
      </w:r>
      <w:r w:rsidR="00654FE7" w:rsidRPr="00FA63B4">
        <w:rPr>
          <w:rFonts w:ascii="Times New Roman" w:hAnsi="Times New Roman" w:cs="Times New Roman"/>
          <w:sz w:val="24"/>
          <w:szCs w:val="24"/>
        </w:rPr>
        <w:t>zákona č.</w:t>
      </w:r>
      <w:r w:rsidR="00654FE7" w:rsidRPr="00FA63B4">
        <w:rPr>
          <w:rFonts w:ascii="Times New Roman" w:hAnsi="Times New Roman" w:cs="Times New Roman"/>
          <w:sz w:val="24"/>
          <w:szCs w:val="24"/>
          <w:lang w:eastAsia="cs-CZ"/>
        </w:rPr>
        <w:t xml:space="preserve"> 566/2001 </w:t>
      </w:r>
      <w:proofErr w:type="spellStart"/>
      <w:r w:rsidR="00654FE7" w:rsidRPr="00FA63B4">
        <w:rPr>
          <w:rFonts w:ascii="Times New Roman" w:hAnsi="Times New Roman" w:cs="Times New Roman"/>
          <w:sz w:val="24"/>
          <w:szCs w:val="24"/>
          <w:lang w:eastAsia="cs-CZ"/>
        </w:rPr>
        <w:t>Z.z</w:t>
      </w:r>
      <w:proofErr w:type="spellEnd"/>
      <w:r w:rsidR="00654FE7" w:rsidRPr="00FA63B4">
        <w:rPr>
          <w:rFonts w:ascii="Times New Roman" w:hAnsi="Times New Roman" w:cs="Times New Roman"/>
          <w:sz w:val="24"/>
          <w:szCs w:val="24"/>
          <w:lang w:eastAsia="cs-CZ"/>
        </w:rPr>
        <w:t xml:space="preserve">. o cenných papieroch a investičných službách a o zmene a doplnení niektorých zákonov (zákon o cenných papieroch) v znení neskorších predpisov a do zákona č. 747/2004 </w:t>
      </w:r>
      <w:proofErr w:type="spellStart"/>
      <w:r w:rsidR="00654FE7" w:rsidRPr="00FA63B4">
        <w:rPr>
          <w:rFonts w:ascii="Times New Roman" w:hAnsi="Times New Roman" w:cs="Times New Roman"/>
          <w:sz w:val="24"/>
          <w:szCs w:val="24"/>
          <w:lang w:eastAsia="cs-CZ"/>
        </w:rPr>
        <w:t>Z.z</w:t>
      </w:r>
      <w:proofErr w:type="spellEnd"/>
      <w:r w:rsidR="00654FE7" w:rsidRPr="00FA63B4">
        <w:rPr>
          <w:rFonts w:ascii="Times New Roman" w:hAnsi="Times New Roman" w:cs="Times New Roman"/>
          <w:sz w:val="24"/>
          <w:szCs w:val="24"/>
          <w:lang w:eastAsia="cs-CZ"/>
        </w:rPr>
        <w:t>. o dohľade nad finančným trhom a o zmene niektorých zákonov v znení neskorších predpisov</w:t>
      </w:r>
      <w:r w:rsidR="005F4910" w:rsidRPr="00FA63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CDDDE88" w14:textId="77777777" w:rsidR="00654FE7" w:rsidRDefault="00654FE7" w:rsidP="00654FE7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63B4">
        <w:rPr>
          <w:rFonts w:ascii="Times New Roman" w:hAnsi="Times New Roman" w:cs="Times New Roman"/>
          <w:sz w:val="24"/>
          <w:szCs w:val="24"/>
          <w:lang w:eastAsia="cs-CZ"/>
        </w:rPr>
        <w:t xml:space="preserve">Smernica 2011/61/EÚ bola prebratá </w:t>
      </w:r>
      <w:r w:rsidRPr="00FA63B4">
        <w:rPr>
          <w:rFonts w:ascii="Times New Roman" w:hAnsi="Times New Roman" w:cs="Times New Roman"/>
          <w:sz w:val="24"/>
          <w:szCs w:val="24"/>
        </w:rPr>
        <w:t xml:space="preserve">do zákona č. 203/2011 </w:t>
      </w:r>
      <w:proofErr w:type="spellStart"/>
      <w:r w:rsidRPr="00FA63B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FA63B4">
        <w:rPr>
          <w:rFonts w:ascii="Times New Roman" w:hAnsi="Times New Roman" w:cs="Times New Roman"/>
          <w:sz w:val="24"/>
          <w:szCs w:val="24"/>
        </w:rPr>
        <w:t xml:space="preserve">. o kolektívnom investovaní </w:t>
      </w:r>
      <w:r w:rsidRPr="00FA63B4">
        <w:rPr>
          <w:rFonts w:ascii="Times New Roman" w:hAnsi="Times New Roman" w:cs="Times New Roman"/>
          <w:sz w:val="24"/>
          <w:szCs w:val="24"/>
          <w:lang w:eastAsia="cs-CZ"/>
        </w:rPr>
        <w:t>v znení neskorších predpisov,</w:t>
      </w:r>
      <w:r w:rsidRPr="00FA63B4">
        <w:rPr>
          <w:rFonts w:ascii="Times New Roman" w:hAnsi="Times New Roman" w:cs="Times New Roman"/>
          <w:sz w:val="24"/>
          <w:szCs w:val="24"/>
        </w:rPr>
        <w:t xml:space="preserve"> do zákona č.</w:t>
      </w:r>
      <w:r w:rsidRPr="00FA63B4">
        <w:rPr>
          <w:rFonts w:ascii="Times New Roman" w:hAnsi="Times New Roman" w:cs="Times New Roman"/>
          <w:sz w:val="24"/>
          <w:szCs w:val="24"/>
          <w:lang w:eastAsia="cs-CZ"/>
        </w:rPr>
        <w:t xml:space="preserve"> 566/2001 </w:t>
      </w:r>
      <w:proofErr w:type="spellStart"/>
      <w:r w:rsidRPr="00FA63B4">
        <w:rPr>
          <w:rFonts w:ascii="Times New Roman" w:hAnsi="Times New Roman" w:cs="Times New Roman"/>
          <w:sz w:val="24"/>
          <w:szCs w:val="24"/>
          <w:lang w:eastAsia="cs-CZ"/>
        </w:rPr>
        <w:t>Z.z</w:t>
      </w:r>
      <w:proofErr w:type="spellEnd"/>
      <w:r w:rsidRPr="00FA63B4">
        <w:rPr>
          <w:rFonts w:ascii="Times New Roman" w:hAnsi="Times New Roman" w:cs="Times New Roman"/>
          <w:sz w:val="24"/>
          <w:szCs w:val="24"/>
          <w:lang w:eastAsia="cs-CZ"/>
        </w:rPr>
        <w:t xml:space="preserve">. o cenných papieroch a investičných službách a o zmene a doplnení niektorých zákonov (zákon o cenných papieroch) v znení neskorších predpisov, do zákona č. 747/2004 </w:t>
      </w:r>
      <w:proofErr w:type="spellStart"/>
      <w:r w:rsidRPr="00FA63B4">
        <w:rPr>
          <w:rFonts w:ascii="Times New Roman" w:hAnsi="Times New Roman" w:cs="Times New Roman"/>
          <w:sz w:val="24"/>
          <w:szCs w:val="24"/>
          <w:lang w:eastAsia="cs-CZ"/>
        </w:rPr>
        <w:t>Z.z</w:t>
      </w:r>
      <w:proofErr w:type="spellEnd"/>
      <w:r w:rsidRPr="00FA63B4">
        <w:rPr>
          <w:rFonts w:ascii="Times New Roman" w:hAnsi="Times New Roman" w:cs="Times New Roman"/>
          <w:sz w:val="24"/>
          <w:szCs w:val="24"/>
          <w:lang w:eastAsia="cs-CZ"/>
        </w:rPr>
        <w:t>. o dohľade nad finančným trhom a o zmene niektorých zákonov v znení neskorších predpisov, do zákona č</w:t>
      </w:r>
      <w:r w:rsidRPr="00FA63B4">
        <w:rPr>
          <w:rFonts w:ascii="Times New Roman" w:hAnsi="Times New Roman" w:cs="Times New Roman"/>
          <w:sz w:val="24"/>
          <w:szCs w:val="24"/>
        </w:rPr>
        <w:t xml:space="preserve">. 429/2002 Z. z. o burze cenných papierov v znení neskorších predpisov, </w:t>
      </w:r>
      <w:r w:rsidRPr="00FA63B4">
        <w:rPr>
          <w:rFonts w:ascii="Times New Roman" w:hAnsi="Times New Roman" w:cs="Times New Roman"/>
          <w:sz w:val="24"/>
          <w:szCs w:val="24"/>
          <w:lang w:eastAsia="cs-CZ"/>
        </w:rPr>
        <w:t>do zákona č</w:t>
      </w:r>
      <w:r w:rsidRPr="00FA63B4">
        <w:rPr>
          <w:rFonts w:ascii="Times New Roman" w:hAnsi="Times New Roman" w:cs="Times New Roman"/>
          <w:sz w:val="24"/>
          <w:szCs w:val="24"/>
        </w:rPr>
        <w:t xml:space="preserve">. 311/2001 Z. z. Zákonník práce v znení neskorších predpisov, </w:t>
      </w:r>
      <w:r w:rsidRPr="00FA63B4">
        <w:rPr>
          <w:rFonts w:ascii="Times New Roman" w:hAnsi="Times New Roman" w:cs="Times New Roman"/>
          <w:sz w:val="24"/>
          <w:szCs w:val="24"/>
          <w:lang w:eastAsia="cs-CZ"/>
        </w:rPr>
        <w:t>do zákona č</w:t>
      </w:r>
      <w:r w:rsidRPr="00FA63B4">
        <w:rPr>
          <w:rFonts w:ascii="Times New Roman" w:hAnsi="Times New Roman" w:cs="Times New Roman"/>
          <w:sz w:val="24"/>
          <w:szCs w:val="24"/>
        </w:rPr>
        <w:t xml:space="preserve">. 650/2004 Z. z. o doplnkovom dôchodkovom sporení a o zmene a doplnení niektorých zákonov v znení neskorších predpisov, do zákona č. 206/2013 Z. z, </w:t>
      </w:r>
      <w:r w:rsidRPr="00FA63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ktorým sa mení a dopĺňa zákon č. 203/2011 Z. z. o kolektívnom investovaní v znení zákona č. 547/2011 Z. z. a ktorým sa menia a dopĺňajú niektoré zákony a do zákona č. 318/2013 </w:t>
      </w:r>
      <w:proofErr w:type="spellStart"/>
      <w:r w:rsidRPr="00FA63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Z.z</w:t>
      </w:r>
      <w:proofErr w:type="spellEnd"/>
      <w:r w:rsidRPr="00FA63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., </w:t>
      </w:r>
      <w:r w:rsidRPr="00FA63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ktorým sa mení a dopĺňa zákon č. </w:t>
      </w:r>
      <w:hyperlink r:id="rId7" w:tooltip="Odkaz na predpis alebo ustanovenie" w:history="1">
        <w:r w:rsidRPr="00FA63B4">
          <w:rPr>
            <w:rStyle w:val="Hypertextovprepojenie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  <w:shd w:val="clear" w:color="auto" w:fill="FFFFFF"/>
          </w:rPr>
          <w:t>650/2004 Z. z.</w:t>
        </w:r>
      </w:hyperlink>
      <w:r w:rsidRPr="00FA63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o doplnkovom dôchodkovom sporení a o zmene a doplnení niektorých zákonov v znení neskorších predpisov a ktorým sa mení a dopĺňa zákon č. 595/2003 Z. z. o dani z príjmov v znení neskorších predpisov.</w:t>
      </w:r>
    </w:p>
    <w:p w14:paraId="38D20FB2" w14:textId="77777777" w:rsidR="00EA63CB" w:rsidRDefault="00EA63CB" w:rsidP="00654FE7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DB0F7C7" w14:textId="1AA12440" w:rsidR="00EA63CB" w:rsidRPr="003C485E" w:rsidRDefault="00EA63CB" w:rsidP="00654FE7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C48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Smernica 2014/59/EÚ bola prebratá do zákona č. 371/2014 Z. z. o riešení krízových situácií na finančnom trhu o zmene a doplnení niektorých zákonov v znení neskorších predpisov, do zákona č. 483/2001 Z. z. o bankách a o zmene a doplnení niektorých zákonov v znení neskorších predpisov, do zákona č. 566/2001 Z. z. o cenných papieroch a investičných službách a o zmene a doplnení niektorých zákonov (zákon o cenných papieroch) v znení neskorších predpisov, do zákona Národnej rady Slovenskej republiky č. 118/1996 Z. z. o ochrane vkladov a o zmene a doplnení niektorých zákonov v znení neskorších predpisov, do zákona č. 747/2004 Z. z. o dohľade nad finančným trhom a o zmene a doplnení niektorých zákonov v znení neskorších predpisov a do zákona č. 7/2005 Z. z. o konkurze a reštrukturalizácii a o zmene a doplnení niektorých zákonov v znení neskorších predpisov.</w:t>
      </w:r>
    </w:p>
    <w:p w14:paraId="32F87521" w14:textId="77777777" w:rsidR="00EA63CB" w:rsidRPr="003C485E" w:rsidRDefault="00EA63CB" w:rsidP="00654FE7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63200EB" w14:textId="068CCD96" w:rsidR="00703A5A" w:rsidRDefault="00EA63CB" w:rsidP="00EA63CB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C48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Smernica 2019/879/EÚ bola prebratá do zákona č. 371/2014 Z. z. o riešení krízových situácií na finančnom trhu o zmene a doplnení niektorých zákonov v znení neskorších predpisov</w:t>
      </w:r>
      <w:r w:rsidR="003C48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3C48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do zákona č. </w:t>
      </w:r>
      <w:r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7/2005 Z. z. o konkurze a reštrukturalizácii a o zmene a doplnení niektorých zákon</w:t>
      </w:r>
      <w:r w:rsid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ov v znení neskorších predpisov a do zákona </w:t>
      </w:r>
      <w:r w:rsidR="003C485E"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566/2001 </w:t>
      </w:r>
      <w:proofErr w:type="spellStart"/>
      <w:r w:rsidR="003C485E"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3C485E" w:rsidRP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o cenných papieroch a investičných službách a o zmene a doplnení niektorých zákonov (zákon o cenných papieroch) v znení neskorších predpisov</w:t>
      </w:r>
      <w:r w:rsidR="003C48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EF52E8A" w14:textId="77777777" w:rsidR="00EA63CB" w:rsidRPr="00FA63B4" w:rsidRDefault="00EA63CB" w:rsidP="00EA63CB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75A023A" w14:textId="77777777" w:rsidR="00FC287C" w:rsidRPr="00FA63B4" w:rsidRDefault="00FC287C" w:rsidP="00FC287C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FA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 zákona je zlučiteľný s právom Európskej únie:</w:t>
      </w:r>
    </w:p>
    <w:p w14:paraId="23143028" w14:textId="77777777" w:rsidR="00FC287C" w:rsidRPr="00FA63B4" w:rsidRDefault="00FC287C" w:rsidP="00FC287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63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úplne.</w:t>
      </w:r>
    </w:p>
    <w:p w14:paraId="58883423" w14:textId="77777777" w:rsidR="00FE77D3" w:rsidRPr="00FC287C" w:rsidRDefault="00FE77D3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FE77D3" w:rsidRPr="00FC287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1FF0C" w14:textId="77777777" w:rsidR="008030AC" w:rsidRDefault="008030AC" w:rsidP="006D268E">
      <w:pPr>
        <w:spacing w:after="0" w:line="240" w:lineRule="auto"/>
      </w:pPr>
      <w:r>
        <w:separator/>
      </w:r>
    </w:p>
  </w:endnote>
  <w:endnote w:type="continuationSeparator" w:id="0">
    <w:p w14:paraId="05F65B97" w14:textId="77777777" w:rsidR="008030AC" w:rsidRDefault="008030AC" w:rsidP="006D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18347"/>
      <w:docPartObj>
        <w:docPartGallery w:val="Page Numbers (Bottom of Page)"/>
        <w:docPartUnique/>
      </w:docPartObj>
    </w:sdtPr>
    <w:sdtEndPr/>
    <w:sdtContent>
      <w:p w14:paraId="02717755" w14:textId="3456A34F" w:rsidR="006D268E" w:rsidRDefault="006D268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85E">
          <w:rPr>
            <w:noProof/>
          </w:rPr>
          <w:t>6</w:t>
        </w:r>
        <w:r>
          <w:fldChar w:fldCharType="end"/>
        </w:r>
      </w:p>
    </w:sdtContent>
  </w:sdt>
  <w:p w14:paraId="2D2D6C43" w14:textId="77777777" w:rsidR="006D268E" w:rsidRDefault="006D268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E3607" w14:textId="77777777" w:rsidR="008030AC" w:rsidRDefault="008030AC" w:rsidP="006D268E">
      <w:pPr>
        <w:spacing w:after="0" w:line="240" w:lineRule="auto"/>
      </w:pPr>
      <w:r>
        <w:separator/>
      </w:r>
    </w:p>
  </w:footnote>
  <w:footnote w:type="continuationSeparator" w:id="0">
    <w:p w14:paraId="106F8501" w14:textId="77777777" w:rsidR="008030AC" w:rsidRDefault="008030AC" w:rsidP="006D2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D45"/>
    <w:multiLevelType w:val="hybridMultilevel"/>
    <w:tmpl w:val="560A2A9C"/>
    <w:lvl w:ilvl="0" w:tplc="854E6A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C636CC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BFA"/>
    <w:multiLevelType w:val="hybridMultilevel"/>
    <w:tmpl w:val="129EBEBC"/>
    <w:lvl w:ilvl="0" w:tplc="854E6A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604CF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7495"/>
    <w:multiLevelType w:val="hybridMultilevel"/>
    <w:tmpl w:val="8C923D42"/>
    <w:lvl w:ilvl="0" w:tplc="F39C2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80BFB"/>
    <w:multiLevelType w:val="hybridMultilevel"/>
    <w:tmpl w:val="F9B2B7E2"/>
    <w:lvl w:ilvl="0" w:tplc="DC46EF6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464723"/>
    <w:multiLevelType w:val="hybridMultilevel"/>
    <w:tmpl w:val="6E6E0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5B8A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794"/>
    <w:multiLevelType w:val="hybridMultilevel"/>
    <w:tmpl w:val="C98447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EA"/>
    <w:rsid w:val="00012424"/>
    <w:rsid w:val="00021528"/>
    <w:rsid w:val="000369FD"/>
    <w:rsid w:val="00060915"/>
    <w:rsid w:val="00065E47"/>
    <w:rsid w:val="00070450"/>
    <w:rsid w:val="00096B93"/>
    <w:rsid w:val="000F6F5D"/>
    <w:rsid w:val="00104046"/>
    <w:rsid w:val="00140B76"/>
    <w:rsid w:val="00180BF0"/>
    <w:rsid w:val="001912D6"/>
    <w:rsid w:val="001A45EA"/>
    <w:rsid w:val="001E58A5"/>
    <w:rsid w:val="001F04EC"/>
    <w:rsid w:val="001F6E1E"/>
    <w:rsid w:val="002153BD"/>
    <w:rsid w:val="002756D7"/>
    <w:rsid w:val="0028065B"/>
    <w:rsid w:val="002C76C3"/>
    <w:rsid w:val="002E6CF2"/>
    <w:rsid w:val="00305C1F"/>
    <w:rsid w:val="00324745"/>
    <w:rsid w:val="003A68BE"/>
    <w:rsid w:val="003C485E"/>
    <w:rsid w:val="003D5487"/>
    <w:rsid w:val="003F0AF9"/>
    <w:rsid w:val="00410753"/>
    <w:rsid w:val="0044195C"/>
    <w:rsid w:val="00447FEC"/>
    <w:rsid w:val="0046235E"/>
    <w:rsid w:val="00477C8D"/>
    <w:rsid w:val="00492483"/>
    <w:rsid w:val="004C76AF"/>
    <w:rsid w:val="004D4AE9"/>
    <w:rsid w:val="004E2213"/>
    <w:rsid w:val="00551FD0"/>
    <w:rsid w:val="00577C45"/>
    <w:rsid w:val="00585E01"/>
    <w:rsid w:val="005A20DD"/>
    <w:rsid w:val="005F4910"/>
    <w:rsid w:val="00654FE7"/>
    <w:rsid w:val="0066120D"/>
    <w:rsid w:val="00661A52"/>
    <w:rsid w:val="00677E30"/>
    <w:rsid w:val="006927F9"/>
    <w:rsid w:val="006C16C3"/>
    <w:rsid w:val="006D268E"/>
    <w:rsid w:val="006F052E"/>
    <w:rsid w:val="00703A5A"/>
    <w:rsid w:val="00725E46"/>
    <w:rsid w:val="00727471"/>
    <w:rsid w:val="00735A06"/>
    <w:rsid w:val="00752C7A"/>
    <w:rsid w:val="00773DED"/>
    <w:rsid w:val="0078191D"/>
    <w:rsid w:val="00793994"/>
    <w:rsid w:val="007B5C25"/>
    <w:rsid w:val="007B7522"/>
    <w:rsid w:val="008030AC"/>
    <w:rsid w:val="00833B0C"/>
    <w:rsid w:val="0083593F"/>
    <w:rsid w:val="00841AA5"/>
    <w:rsid w:val="00851397"/>
    <w:rsid w:val="008545C6"/>
    <w:rsid w:val="00886C7C"/>
    <w:rsid w:val="008872D4"/>
    <w:rsid w:val="008953E8"/>
    <w:rsid w:val="008A0654"/>
    <w:rsid w:val="00967B3F"/>
    <w:rsid w:val="00970976"/>
    <w:rsid w:val="009C04AA"/>
    <w:rsid w:val="009D6F4B"/>
    <w:rsid w:val="00A142A1"/>
    <w:rsid w:val="00A338B7"/>
    <w:rsid w:val="00A70665"/>
    <w:rsid w:val="00A71694"/>
    <w:rsid w:val="00A82C6C"/>
    <w:rsid w:val="00AA7A29"/>
    <w:rsid w:val="00AD4FA0"/>
    <w:rsid w:val="00B0281C"/>
    <w:rsid w:val="00B11A42"/>
    <w:rsid w:val="00B12415"/>
    <w:rsid w:val="00B201E1"/>
    <w:rsid w:val="00B35246"/>
    <w:rsid w:val="00B571ED"/>
    <w:rsid w:val="00B652B1"/>
    <w:rsid w:val="00B7140D"/>
    <w:rsid w:val="00B77702"/>
    <w:rsid w:val="00B84C35"/>
    <w:rsid w:val="00B9033B"/>
    <w:rsid w:val="00B95428"/>
    <w:rsid w:val="00B95454"/>
    <w:rsid w:val="00BA0C66"/>
    <w:rsid w:val="00BC3AF5"/>
    <w:rsid w:val="00C03330"/>
    <w:rsid w:val="00C347D4"/>
    <w:rsid w:val="00C665B1"/>
    <w:rsid w:val="00CA2116"/>
    <w:rsid w:val="00CF09D2"/>
    <w:rsid w:val="00D071F9"/>
    <w:rsid w:val="00D14576"/>
    <w:rsid w:val="00D31A90"/>
    <w:rsid w:val="00D3628B"/>
    <w:rsid w:val="00D449AF"/>
    <w:rsid w:val="00D51C40"/>
    <w:rsid w:val="00D635D2"/>
    <w:rsid w:val="00D63B32"/>
    <w:rsid w:val="00D76CCE"/>
    <w:rsid w:val="00DA400B"/>
    <w:rsid w:val="00DA5F66"/>
    <w:rsid w:val="00DC383C"/>
    <w:rsid w:val="00DD0300"/>
    <w:rsid w:val="00DE0776"/>
    <w:rsid w:val="00E04B59"/>
    <w:rsid w:val="00E30329"/>
    <w:rsid w:val="00E36C99"/>
    <w:rsid w:val="00E5089D"/>
    <w:rsid w:val="00E8175F"/>
    <w:rsid w:val="00E97598"/>
    <w:rsid w:val="00EA46B3"/>
    <w:rsid w:val="00EA63CB"/>
    <w:rsid w:val="00EB43B1"/>
    <w:rsid w:val="00EB7BDE"/>
    <w:rsid w:val="00EC5C67"/>
    <w:rsid w:val="00ED0D7A"/>
    <w:rsid w:val="00EE3B2A"/>
    <w:rsid w:val="00F33808"/>
    <w:rsid w:val="00F657AB"/>
    <w:rsid w:val="00FA43D6"/>
    <w:rsid w:val="00FA63B4"/>
    <w:rsid w:val="00FB14B2"/>
    <w:rsid w:val="00FB7EF9"/>
    <w:rsid w:val="00FC287C"/>
    <w:rsid w:val="00FE4737"/>
    <w:rsid w:val="00FE77D3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A91C"/>
  <w15:docId w15:val="{2594D4EF-741D-4752-9803-D61F390B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1A45EA"/>
  </w:style>
  <w:style w:type="character" w:styleId="Hypertextovprepojenie">
    <w:name w:val="Hyperlink"/>
    <w:basedOn w:val="Predvolenpsmoodseku"/>
    <w:uiPriority w:val="99"/>
    <w:semiHidden/>
    <w:unhideWhenUsed/>
    <w:rsid w:val="001A45EA"/>
    <w:rPr>
      <w:color w:val="0000FF"/>
      <w:u w:val="single"/>
    </w:rPr>
  </w:style>
  <w:style w:type="paragraph" w:styleId="Odsekzoznamu">
    <w:name w:val="List Paragraph"/>
    <w:aliases w:val="Odstavec cíl se seznamem,Odstavec se seznamem1"/>
    <w:basedOn w:val="Normlny"/>
    <w:link w:val="OdsekzoznamuChar"/>
    <w:uiPriority w:val="34"/>
    <w:qFormat/>
    <w:rsid w:val="001A45EA"/>
    <w:pPr>
      <w:ind w:left="720"/>
      <w:contextualSpacing/>
    </w:pPr>
  </w:style>
  <w:style w:type="paragraph" w:customStyle="1" w:styleId="c08dispositif">
    <w:name w:val="c08dispositif"/>
    <w:basedOn w:val="Normlny"/>
    <w:rsid w:val="005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41A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1A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1A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A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AA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1AA5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tavec cíl se seznamem Char,Odstavec se seznamem1 Char"/>
    <w:basedOn w:val="Predvolenpsmoodseku"/>
    <w:link w:val="Odsekzoznamu"/>
    <w:uiPriority w:val="34"/>
    <w:locked/>
    <w:rsid w:val="00B201E1"/>
  </w:style>
  <w:style w:type="character" w:styleId="Zvraznenie">
    <w:name w:val="Emphasis"/>
    <w:basedOn w:val="Predvolenpsmoodseku"/>
    <w:uiPriority w:val="20"/>
    <w:qFormat/>
    <w:rsid w:val="004C76AF"/>
    <w:rPr>
      <w:rFonts w:cs="Times New Roman"/>
      <w:i/>
      <w:iCs/>
    </w:rPr>
  </w:style>
  <w:style w:type="paragraph" w:styleId="Hlavika">
    <w:name w:val="header"/>
    <w:basedOn w:val="Normlny"/>
    <w:link w:val="HlavikaChar"/>
    <w:uiPriority w:val="99"/>
    <w:unhideWhenUsed/>
    <w:rsid w:val="006D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268E"/>
  </w:style>
  <w:style w:type="paragraph" w:styleId="Pta">
    <w:name w:val="footer"/>
    <w:basedOn w:val="Normlny"/>
    <w:link w:val="PtaChar"/>
    <w:uiPriority w:val="99"/>
    <w:unhideWhenUsed/>
    <w:rsid w:val="006D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268E"/>
  </w:style>
  <w:style w:type="paragraph" w:customStyle="1" w:styleId="Default">
    <w:name w:val="Default"/>
    <w:rsid w:val="00E04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751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19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671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972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86389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3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6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worknbde</dc:creator>
  <cp:lastModifiedBy>Precuchova Georgina</cp:lastModifiedBy>
  <cp:revision>7</cp:revision>
  <cp:lastPrinted>2021-11-10T13:30:00Z</cp:lastPrinted>
  <dcterms:created xsi:type="dcterms:W3CDTF">2022-01-04T10:35:00Z</dcterms:created>
  <dcterms:modified xsi:type="dcterms:W3CDTF">2022-01-27T08:37:00Z</dcterms:modified>
</cp:coreProperties>
</file>