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BD4E98" w:rsidP="00927118">
      <w:pPr>
        <w:adjustRightInd w:val="0"/>
        <w:spacing w:after="0" w:line="240" w:lineRule="auto"/>
        <w:jc w:val="center"/>
        <w:rPr>
          <w:rFonts w:ascii="Times New Roman" w:eastAsia="Times New Roman" w:hAnsi="Times New Roman" w:cs="Calibri"/>
          <w:b/>
          <w:caps/>
          <w:sz w:val="28"/>
          <w:szCs w:val="28"/>
        </w:rPr>
      </w:pPr>
      <w:r>
        <w:rPr>
          <w:rFonts w:ascii="Times New Roman" w:eastAsia="Times New Roman" w:hAnsi="Times New Roman" w:cs="Calibri"/>
          <w:b/>
          <w:caps/>
          <w:sz w:val="28"/>
          <w:szCs w:val="28"/>
        </w:rPr>
        <w:t xml:space="preserve">Vznesené Pripomienky v </w:t>
      </w:r>
      <w:r w:rsidR="00927118" w:rsidRPr="000032C8">
        <w:rPr>
          <w:rFonts w:ascii="Times New Roman" w:eastAsia="Times New Roman" w:hAnsi="Times New Roman" w:cs="Calibri"/>
          <w:b/>
          <w:caps/>
          <w:sz w:val="28"/>
          <w:szCs w:val="28"/>
        </w:rPr>
        <w:t>medzirezortn</w:t>
      </w:r>
      <w:r>
        <w:rPr>
          <w:rFonts w:ascii="Times New Roman" w:eastAsia="Times New Roman" w:hAnsi="Times New Roman" w:cs="Calibri"/>
          <w:b/>
          <w:caps/>
          <w:sz w:val="28"/>
          <w:szCs w:val="28"/>
        </w:rPr>
        <w:t>om</w:t>
      </w:r>
      <w:r w:rsidR="00927118" w:rsidRPr="000032C8">
        <w:rPr>
          <w:rFonts w:ascii="Times New Roman" w:eastAsia="Times New Roman" w:hAnsi="Times New Roman" w:cs="Calibri"/>
          <w:b/>
          <w:caps/>
          <w:sz w:val="28"/>
          <w:szCs w:val="28"/>
        </w:rPr>
        <w:t xml:space="preserve"> pripomienkov</w:t>
      </w:r>
      <w:r>
        <w:rPr>
          <w:rFonts w:ascii="Times New Roman" w:eastAsia="Times New Roman" w:hAnsi="Times New Roman" w:cs="Calibri"/>
          <w:b/>
          <w:caps/>
          <w:sz w:val="28"/>
          <w:szCs w:val="28"/>
        </w:rPr>
        <w:t>om konaní</w:t>
      </w:r>
    </w:p>
    <w:p w:rsidR="00927118" w:rsidRPr="00024402" w:rsidRDefault="00927118" w:rsidP="00927118">
      <w:pPr>
        <w:jc w:val="center"/>
      </w:pPr>
    </w:p>
    <w:p w:rsidR="00AE489F" w:rsidRDefault="00AE489F">
      <w:pPr>
        <w:jc w:val="center"/>
        <w:divId w:val="1551500925"/>
        <w:rPr>
          <w:rFonts w:ascii="Times" w:hAnsi="Times" w:cs="Times"/>
          <w:sz w:val="25"/>
          <w:szCs w:val="25"/>
        </w:rPr>
      </w:pPr>
      <w:r>
        <w:rPr>
          <w:rFonts w:ascii="Times" w:hAnsi="Times" w:cs="Times"/>
          <w:sz w:val="25"/>
          <w:szCs w:val="25"/>
        </w:rPr>
        <w:t xml:space="preserve">Návrh poslancov Národnej rady Slovenskej republiky Dušana </w:t>
      </w:r>
      <w:proofErr w:type="spellStart"/>
      <w:r>
        <w:rPr>
          <w:rFonts w:ascii="Times" w:hAnsi="Times" w:cs="Times"/>
          <w:sz w:val="25"/>
          <w:szCs w:val="25"/>
        </w:rPr>
        <w:t>Jarjabka</w:t>
      </w:r>
      <w:proofErr w:type="spellEnd"/>
      <w:r>
        <w:rPr>
          <w:rFonts w:ascii="Times" w:hAnsi="Times" w:cs="Times"/>
          <w:sz w:val="25"/>
          <w:szCs w:val="25"/>
        </w:rPr>
        <w:t xml:space="preserve"> a Jozefa </w:t>
      </w:r>
      <w:proofErr w:type="spellStart"/>
      <w:r>
        <w:rPr>
          <w:rFonts w:ascii="Times" w:hAnsi="Times" w:cs="Times"/>
          <w:sz w:val="25"/>
          <w:szCs w:val="25"/>
        </w:rPr>
        <w:t>Habánika</w:t>
      </w:r>
      <w:proofErr w:type="spellEnd"/>
      <w:r>
        <w:rPr>
          <w:rFonts w:ascii="Times" w:hAnsi="Times" w:cs="Times"/>
          <w:sz w:val="25"/>
          <w:szCs w:val="25"/>
        </w:rPr>
        <w:t xml:space="preserve"> na vydanie zákona, ktorým sa mení zákon č. 284/2014 Z. z. o Fonde na podporu umenia a o zmene a doplnení zákona č. 434/2021 Z. z. o poskytovaní dotácií v pôsobnosti Ministerstva kultúry SR v znení zákona č. 79/2021 Z. z. a o zmene a doplnení niektorých zákonov v znení neskorších predpisov (tlač 771)</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AE489F" w:rsidP="00AE489F">
            <w:pPr>
              <w:spacing w:after="0" w:line="240" w:lineRule="auto"/>
              <w:rPr>
                <w:rFonts w:ascii="Times New Roman" w:hAnsi="Times New Roman" w:cs="Calibri"/>
                <w:sz w:val="20"/>
                <w:szCs w:val="20"/>
              </w:rPr>
            </w:pPr>
            <w:r>
              <w:rPr>
                <w:rFonts w:ascii="Times" w:hAnsi="Times" w:cs="Times"/>
                <w:sz w:val="25"/>
                <w:szCs w:val="25"/>
              </w:rPr>
              <w:t>9 /0</w:t>
            </w: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proofErr w:type="spellStart"/>
      <w:r w:rsidRPr="000032C8">
        <w:rPr>
          <w:rFonts w:ascii="Times New Roman" w:hAnsi="Times New Roman" w:cs="Calibri"/>
          <w:sz w:val="25"/>
          <w:szCs w:val="25"/>
        </w:rPr>
        <w:t>Sumarizácia</w:t>
      </w:r>
      <w:proofErr w:type="spellEnd"/>
      <w:r w:rsidRPr="000032C8">
        <w:rPr>
          <w:rFonts w:ascii="Times New Roman" w:hAnsi="Times New Roman" w:cs="Calibri"/>
          <w:sz w:val="25"/>
          <w:szCs w:val="25"/>
        </w:rPr>
        <w:t xml:space="preserve"> vznesených pripomienok podľa subjektov</w:t>
      </w:r>
    </w:p>
    <w:p w:rsidR="00AE489F" w:rsidRDefault="00AE489F"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AE489F">
        <w:trPr>
          <w:divId w:val="103986603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AE489F" w:rsidRDefault="00AE489F">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AE489F" w:rsidRDefault="00AE489F">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AE489F" w:rsidRDefault="00AE489F">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E489F" w:rsidRDefault="00AE489F">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E489F" w:rsidRDefault="00AE489F">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AE489F" w:rsidRDefault="00AE489F">
            <w:pPr>
              <w:jc w:val="center"/>
              <w:rPr>
                <w:rFonts w:ascii="Times" w:hAnsi="Times" w:cs="Times"/>
                <w:b/>
                <w:bCs/>
                <w:sz w:val="25"/>
                <w:szCs w:val="25"/>
              </w:rPr>
            </w:pPr>
            <w:r>
              <w:rPr>
                <w:rFonts w:ascii="Times" w:hAnsi="Times" w:cs="Times"/>
                <w:b/>
                <w:bCs/>
                <w:sz w:val="25"/>
                <w:szCs w:val="25"/>
              </w:rPr>
              <w:t>Vôbec nezaslali</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lastRenderedPageBreak/>
              <w:t>7.</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 xml:space="preserve">Ministerstvo zahraničných vecí a európskych záležitostí Slovenskej </w:t>
            </w:r>
            <w:r>
              <w:rPr>
                <w:rFonts w:ascii="Times" w:hAnsi="Times" w:cs="Times"/>
                <w:sz w:val="25"/>
                <w:szCs w:val="25"/>
              </w:rPr>
              <w:lastRenderedPageBreak/>
              <w:t>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lastRenderedPageBreak/>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lastRenderedPageBreak/>
              <w:t>23.</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x</w:t>
            </w:r>
          </w:p>
        </w:tc>
      </w:tr>
      <w:tr w:rsidR="00AE489F">
        <w:trPr>
          <w:divId w:val="1039866032"/>
          <w:jc w:val="center"/>
        </w:trPr>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AE489F" w:rsidRDefault="00AE489F">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AE489F" w:rsidRDefault="00AE489F" w:rsidP="00CE47A6">
      <w:pPr>
        <w:rPr>
          <w:rFonts w:ascii="Consolas" w:hAnsi="Consolas" w:cs="Consolas"/>
          <w:sz w:val="20"/>
          <w:szCs w:val="20"/>
        </w:rPr>
      </w:pPr>
    </w:p>
    <w:tbl>
      <w:tblPr>
        <w:tblW w:w="4753" w:type="pct"/>
        <w:jc w:val="center"/>
        <w:tblInd w:w="49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5"/>
        <w:gridCol w:w="9451"/>
        <w:gridCol w:w="1862"/>
      </w:tblGrid>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t>Subjekt</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t>Pripomienka</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rsidP="00BD4E98">
            <w:pPr>
              <w:ind w:right="-5"/>
              <w:jc w:val="center"/>
              <w:rPr>
                <w:rFonts w:ascii="Times" w:hAnsi="Times" w:cs="Times"/>
                <w:b/>
                <w:bCs/>
                <w:sz w:val="25"/>
                <w:szCs w:val="25"/>
              </w:rPr>
            </w:pPr>
            <w:bookmarkStart w:id="0" w:name="_GoBack"/>
            <w:bookmarkEnd w:id="0"/>
            <w:r>
              <w:rPr>
                <w:rFonts w:ascii="Times" w:hAnsi="Times" w:cs="Times"/>
                <w:b/>
                <w:bCs/>
                <w:sz w:val="25"/>
                <w:szCs w:val="25"/>
              </w:rPr>
              <w:t>Typ</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t>GPSR</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Všeobecne – O :</w:t>
            </w:r>
            <w:r>
              <w:rPr>
                <w:rFonts w:ascii="Times" w:hAnsi="Times" w:cs="Times"/>
                <w:sz w:val="25"/>
                <w:szCs w:val="25"/>
              </w:rPr>
              <w:br/>
              <w:t>Súhlasíme so stanoviskom predkladateľa uvedeným v predkladacej správe k návrhu zákona.</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čl. I § 18 ods. 7</w:t>
            </w:r>
            <w:r>
              <w:rPr>
                <w:rFonts w:ascii="Times" w:hAnsi="Times" w:cs="Times"/>
                <w:sz w:val="25"/>
                <w:szCs w:val="25"/>
              </w:rPr>
              <w:br/>
              <w:t>V čl. I § 18 ods. 7 odporúčame za slovo „školy“ vložiť bodku.</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čl. I úvodnej vete</w:t>
            </w:r>
            <w:r>
              <w:rPr>
                <w:rFonts w:ascii="Times" w:hAnsi="Times" w:cs="Times"/>
                <w:sz w:val="25"/>
                <w:szCs w:val="25"/>
              </w:rPr>
              <w:br/>
              <w:t>V čl. I úvodnej vete odporúčame slovo „mení“ nahradiť slovom „dopĺňa“.</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t>MFSR</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sa uvádza, že predkladaný návrh zákona nemá negatívny vplyv na rozpočet verejnej správy. Návrh zákona v predloženom znení vytvára rôzne podmienky pre subjekty, ktoré sa uchádzajú o podporu zo zdrojov Fondu na podporu umenia (ďalej len „fond“), pretože umožňuje poskytnúť dotáciu verejným vysokým školám aj bez splnenia podmienky mať na financovanie projektu, na ktorý sa žiadajú finančné prostriedky, zabezpečené spolufinancovanie z vlastných zdrojov alebo iných zdrojov (platné znenie § 18 ods. 7 zákona č. 284/2014 Z. z.). Upozorňujeme, že prijatím navrhovanej úpravy, resp. výnimky pre verejné vysoké školy, sa vytvorí priestor aj pre ostatných žiadateľov o poskytnutie dotácie z fondu, aby požadovali rovnaký prístup k finančným prostriedkom fondu. </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t>MIRRI SR</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Vlastnému materiálu (Čl. I)</w:t>
            </w:r>
            <w:r>
              <w:rPr>
                <w:rFonts w:ascii="Times" w:hAnsi="Times" w:cs="Times"/>
                <w:sz w:val="25"/>
                <w:szCs w:val="25"/>
              </w:rPr>
              <w:br/>
              <w:t xml:space="preserve">Odporúčame úplne vylúčiť subjekty, na ktoré sa požiadavka spolufinancovania nevzťahuje alebo okruh subjektov rozšíriť aj o iné vzdelávacie inštitúcie ako sú verejné vysoké školy. ODÔVODNENIE: Návrh zákona sa javí v rozpore s ústavným princípom rovnosti, nakoľko subjekty, pre ktoré by nemala platiť podmienka spolufinancovania sú vymedzené len na úzky </w:t>
            </w:r>
            <w:r>
              <w:rPr>
                <w:rFonts w:ascii="Times" w:hAnsi="Times" w:cs="Times"/>
                <w:sz w:val="25"/>
                <w:szCs w:val="25"/>
              </w:rPr>
              <w:lastRenderedPageBreak/>
              <w:t xml:space="preserve">okruh. Táto skutočnosť pôsobí diskriminačne pre ostatné subjekty, vykonávajúce obdobné aktivity ako verejné vysoké školy. Výhodnejší prístup k finančným prostriedkom poskytovaných prostredníctvom Fondu na podporu umenia je v Návrhu zákona poskytnutý iba verejným vysokým školám. </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lastRenderedPageBreak/>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lastRenderedPageBreak/>
              <w:t>MSSR</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predkladateľovi v predkladacej správe výslovne poukázať na zrejmú protiústavnosť navrhovanej právnej úpravy, pretože očividne narušuje požiadavku rovnosti pred zákonom, resp. je vyslovene diskriminačná. Niet žiadneho ústavne alebo právne relevantného dôvodu na to, aby sa verejné vysoké školy nemala vzťahovať požiadavka na spolufinancovanie. Preto je táto poslanecká iniciatíva zjavne mimo misu a je neklamným znakom úrovne právneho povedomia jej predkladateľov. </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proofErr w:type="spellStart"/>
            <w:r>
              <w:rPr>
                <w:rFonts w:ascii="Times" w:hAnsi="Times" w:cs="Times"/>
                <w:b/>
                <w:bCs/>
                <w:sz w:val="25"/>
                <w:szCs w:val="25"/>
              </w:rPr>
              <w:t>MŠVVaŠSR</w:t>
            </w:r>
            <w:proofErr w:type="spellEnd"/>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Odporúčame v predkladacej správe poukázať na to, že nie je jasné, na základe akej analýzy poslanci dospeli k záveru, že by verejné vysoké školy evidovali problém so spolufinancovaním projektov z Fondu na podporu umenia z vlastných alebo iných zdrojov, keďže kapitola </w:t>
            </w:r>
            <w:proofErr w:type="spellStart"/>
            <w:r>
              <w:rPr>
                <w:rFonts w:ascii="Times" w:hAnsi="Times" w:cs="Times"/>
                <w:sz w:val="25"/>
                <w:szCs w:val="25"/>
              </w:rPr>
              <w:t>MŠVVaŠ</w:t>
            </w:r>
            <w:proofErr w:type="spellEnd"/>
            <w:r>
              <w:rPr>
                <w:rFonts w:ascii="Times" w:hAnsi="Times" w:cs="Times"/>
                <w:sz w:val="25"/>
                <w:szCs w:val="25"/>
              </w:rPr>
              <w:t xml:space="preserve"> SR tieto problémy (napr. pri rozvojových projektoch) neeviduje a taktiež ani Fond na podporu umenia neeviduje podľa jeho vyjadrenia (uvedené priamo v materiáli) problém verejných vysokých škôl s účasťou na financovaní projektov formou spolufinancovania z vlastných alebo iných zdrojov. </w:t>
            </w:r>
            <w:proofErr w:type="spellStart"/>
            <w:r>
              <w:rPr>
                <w:rFonts w:ascii="Times" w:hAnsi="Times" w:cs="Times"/>
                <w:sz w:val="25"/>
                <w:szCs w:val="25"/>
              </w:rPr>
              <w:t>MŠVVaŠ</w:t>
            </w:r>
            <w:proofErr w:type="spellEnd"/>
            <w:r>
              <w:rPr>
                <w:rFonts w:ascii="Times" w:hAnsi="Times" w:cs="Times"/>
                <w:sz w:val="25"/>
                <w:szCs w:val="25"/>
              </w:rPr>
              <w:t xml:space="preserve"> SR sa stotožňuje so stanoviskom Fondu na podporu umenia aj s MF SR v tom, že prijatím navrhovanej úpravy, resp. výnimky pre verejné vysoké školy by sa vytvoril priestor aj pre ostatných prijímateľov dotácie z fondu, aby požadovali rovnaký prístup k finančným prostriedkom fondu. Vzhľadom na uvedené je </w:t>
            </w:r>
            <w:proofErr w:type="spellStart"/>
            <w:r>
              <w:rPr>
                <w:rFonts w:ascii="Times" w:hAnsi="Times" w:cs="Times"/>
                <w:sz w:val="25"/>
                <w:szCs w:val="25"/>
              </w:rPr>
              <w:t>žiadúce</w:t>
            </w:r>
            <w:proofErr w:type="spellEnd"/>
            <w:r>
              <w:rPr>
                <w:rFonts w:ascii="Times" w:hAnsi="Times" w:cs="Times"/>
                <w:sz w:val="25"/>
                <w:szCs w:val="25"/>
              </w:rPr>
              <w:t xml:space="preserve"> zachovať rovnaké podmienky v oblasti poskytovanie dotácií pre všetkých prijímateľov. </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t>NBÚ</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 xml:space="preserve">Národný bezpečnostný úrad sa plne stotožňuje so stanoviskom Ministerstva kultúry </w:t>
            </w:r>
            <w:r>
              <w:rPr>
                <w:rFonts w:ascii="Times" w:hAnsi="Times" w:cs="Times"/>
                <w:sz w:val="25"/>
                <w:szCs w:val="25"/>
              </w:rPr>
              <w:lastRenderedPageBreak/>
              <w:t>Slovenskej republiky formulovanom v predkladacej správe.</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lastRenderedPageBreak/>
              <w:t>O</w:t>
            </w:r>
          </w:p>
        </w:tc>
      </w:tr>
      <w:tr w:rsidR="00BD4E98" w:rsidTr="00BD4E98">
        <w:trPr>
          <w:divId w:val="1352730971"/>
          <w:jc w:val="center"/>
        </w:trPr>
        <w:tc>
          <w:tcPr>
            <w:tcW w:w="528"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b/>
                <w:bCs/>
                <w:sz w:val="25"/>
                <w:szCs w:val="25"/>
              </w:rPr>
            </w:pPr>
            <w:r>
              <w:rPr>
                <w:rFonts w:ascii="Times" w:hAnsi="Times" w:cs="Times"/>
                <w:b/>
                <w:bCs/>
                <w:sz w:val="25"/>
                <w:szCs w:val="25"/>
              </w:rPr>
              <w:lastRenderedPageBreak/>
              <w:t>Verejnosť</w:t>
            </w:r>
          </w:p>
        </w:tc>
        <w:tc>
          <w:tcPr>
            <w:tcW w:w="3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rPr>
                <w:rFonts w:ascii="Times" w:hAnsi="Times" w:cs="Times"/>
                <w:sz w:val="25"/>
                <w:szCs w:val="25"/>
              </w:rPr>
            </w:pPr>
            <w:r>
              <w:rPr>
                <w:rFonts w:ascii="Times" w:hAnsi="Times" w:cs="Times"/>
                <w:b/>
                <w:bCs/>
                <w:sz w:val="25"/>
                <w:szCs w:val="25"/>
              </w:rPr>
              <w:t xml:space="preserve">Vlastnému materiálu (Čl. I) </w:t>
            </w:r>
            <w:r>
              <w:rPr>
                <w:rFonts w:ascii="Times" w:hAnsi="Times" w:cs="Times"/>
                <w:sz w:val="25"/>
                <w:szCs w:val="25"/>
              </w:rPr>
              <w:br/>
              <w:t xml:space="preserve">Odporúčame úplne vylúčiť subjekty, na ktoré sa požiadavka spolufinancovania nevzťahuje alebo okruh subjektov rozšíriť aj o iné vzdelávacie inštitúcie ako sú verejné vysoké školy. ODÔVODNENIE: Návrh zákona nie je v súlade s ústavným princípom rovnosti, nakoľko okruh subjektov, pre ktoré by nemala platiť podmienka spolufinancovania je veľmi úzky. Táto skutočnosť pôsobí diskriminačne pre ostatné subjekty, vykonávajúce obdobné aktivity ako verejné vysoké školy. Lepší prístup k finančným prostriedkom poskytovaných prostredníctvom Fondu na podporu umenia je v Návrhu zákona poskytnutý iba verejným vysokým školám. </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BD4E98" w:rsidRDefault="00BD4E98">
            <w:pPr>
              <w:jc w:val="center"/>
              <w:rPr>
                <w:rFonts w:ascii="Times" w:hAnsi="Times" w:cs="Times"/>
                <w:sz w:val="25"/>
                <w:szCs w:val="25"/>
              </w:rPr>
            </w:pPr>
            <w:r>
              <w:rPr>
                <w:rFonts w:ascii="Times" w:hAnsi="Times" w:cs="Times"/>
                <w:sz w:val="25"/>
                <w:szCs w:val="25"/>
              </w:rPr>
              <w:t>O</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5DB" w:rsidRDefault="008235DB" w:rsidP="000A67D5">
      <w:pPr>
        <w:spacing w:after="0" w:line="240" w:lineRule="auto"/>
      </w:pPr>
      <w:r>
        <w:separator/>
      </w:r>
    </w:p>
  </w:endnote>
  <w:endnote w:type="continuationSeparator" w:id="0">
    <w:p w:rsidR="008235DB" w:rsidRDefault="008235DB"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5DB" w:rsidRDefault="008235DB" w:rsidP="000A67D5">
      <w:pPr>
        <w:spacing w:after="0" w:line="240" w:lineRule="auto"/>
      </w:pPr>
      <w:r>
        <w:separator/>
      </w:r>
    </w:p>
  </w:footnote>
  <w:footnote w:type="continuationSeparator" w:id="0">
    <w:p w:rsidR="008235DB" w:rsidRDefault="008235DB"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235DB"/>
    <w:rsid w:val="00841FA6"/>
    <w:rsid w:val="008A1964"/>
    <w:rsid w:val="008E2844"/>
    <w:rsid w:val="0090100E"/>
    <w:rsid w:val="009239D9"/>
    <w:rsid w:val="00927118"/>
    <w:rsid w:val="00943EB2"/>
    <w:rsid w:val="0099665B"/>
    <w:rsid w:val="009C6C5C"/>
    <w:rsid w:val="009F7218"/>
    <w:rsid w:val="00A251BF"/>
    <w:rsid w:val="00A54A16"/>
    <w:rsid w:val="00AE489F"/>
    <w:rsid w:val="00B721A5"/>
    <w:rsid w:val="00B76589"/>
    <w:rsid w:val="00B8767E"/>
    <w:rsid w:val="00BD1FAB"/>
    <w:rsid w:val="00BD4E98"/>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2460">
      <w:bodyDiv w:val="1"/>
      <w:marLeft w:val="0"/>
      <w:marRight w:val="0"/>
      <w:marTop w:val="0"/>
      <w:marBottom w:val="0"/>
      <w:divBdr>
        <w:top w:val="none" w:sz="0" w:space="0" w:color="auto"/>
        <w:left w:val="none" w:sz="0" w:space="0" w:color="auto"/>
        <w:bottom w:val="none" w:sz="0" w:space="0" w:color="auto"/>
        <w:right w:val="none" w:sz="0" w:space="0" w:color="auto"/>
      </w:divBdr>
    </w:div>
    <w:div w:id="993336950">
      <w:bodyDiv w:val="1"/>
      <w:marLeft w:val="0"/>
      <w:marRight w:val="0"/>
      <w:marTop w:val="0"/>
      <w:marBottom w:val="0"/>
      <w:divBdr>
        <w:top w:val="none" w:sz="0" w:space="0" w:color="auto"/>
        <w:left w:val="none" w:sz="0" w:space="0" w:color="auto"/>
        <w:bottom w:val="none" w:sz="0" w:space="0" w:color="auto"/>
        <w:right w:val="none" w:sz="0" w:space="0" w:color="auto"/>
      </w:divBdr>
    </w:div>
    <w:div w:id="1039866032">
      <w:bodyDiv w:val="1"/>
      <w:marLeft w:val="0"/>
      <w:marRight w:val="0"/>
      <w:marTop w:val="0"/>
      <w:marBottom w:val="0"/>
      <w:divBdr>
        <w:top w:val="none" w:sz="0" w:space="0" w:color="auto"/>
        <w:left w:val="none" w:sz="0" w:space="0" w:color="auto"/>
        <w:bottom w:val="none" w:sz="0" w:space="0" w:color="auto"/>
        <w:right w:val="none" w:sz="0" w:space="0" w:color="auto"/>
      </w:divBdr>
    </w:div>
    <w:div w:id="1352730971">
      <w:bodyDiv w:val="1"/>
      <w:marLeft w:val="0"/>
      <w:marRight w:val="0"/>
      <w:marTop w:val="0"/>
      <w:marBottom w:val="0"/>
      <w:divBdr>
        <w:top w:val="none" w:sz="0" w:space="0" w:color="auto"/>
        <w:left w:val="none" w:sz="0" w:space="0" w:color="auto"/>
        <w:bottom w:val="none" w:sz="0" w:space="0" w:color="auto"/>
        <w:right w:val="none" w:sz="0" w:space="0" w:color="auto"/>
      </w:divBdr>
    </w:div>
    <w:div w:id="1400447323">
      <w:bodyDiv w:val="1"/>
      <w:marLeft w:val="0"/>
      <w:marRight w:val="0"/>
      <w:marTop w:val="0"/>
      <w:marBottom w:val="0"/>
      <w:divBdr>
        <w:top w:val="none" w:sz="0" w:space="0" w:color="auto"/>
        <w:left w:val="none" w:sz="0" w:space="0" w:color="auto"/>
        <w:bottom w:val="none" w:sz="0" w:space="0" w:color="auto"/>
        <w:right w:val="none" w:sz="0" w:space="0" w:color="auto"/>
      </w:divBdr>
    </w:div>
    <w:div w:id="1481728686">
      <w:bodyDiv w:val="1"/>
      <w:marLeft w:val="0"/>
      <w:marRight w:val="0"/>
      <w:marTop w:val="0"/>
      <w:marBottom w:val="0"/>
      <w:divBdr>
        <w:top w:val="none" w:sz="0" w:space="0" w:color="auto"/>
        <w:left w:val="none" w:sz="0" w:space="0" w:color="auto"/>
        <w:bottom w:val="none" w:sz="0" w:space="0" w:color="auto"/>
        <w:right w:val="none" w:sz="0" w:space="0" w:color="auto"/>
      </w:divBdr>
    </w:div>
    <w:div w:id="1551500925">
      <w:bodyDiv w:val="1"/>
      <w:marLeft w:val="0"/>
      <w:marRight w:val="0"/>
      <w:marTop w:val="0"/>
      <w:marBottom w:val="0"/>
      <w:divBdr>
        <w:top w:val="none" w:sz="0" w:space="0" w:color="auto"/>
        <w:left w:val="none" w:sz="0" w:space="0" w:color="auto"/>
        <w:bottom w:val="none" w:sz="0" w:space="0" w:color="auto"/>
        <w:right w:val="none" w:sz="0" w:space="0" w:color="auto"/>
      </w:divBdr>
    </w:div>
    <w:div w:id="184755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4.1.2022 11:52:03"/>
    <f:field ref="objchangedby" par="" text="Administrator, System"/>
    <f:field ref="objmodifiedat" par="" text="4.1.2022 11:52:0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1232</Words>
  <Characters>7024</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2022-01-04T10:56:00Z</dcterms:created>
  <dcterms:modified xsi:type="dcterms:W3CDTF">2022-01-04T10:56:00Z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justify;"&gt;Vzhľadom na skutočnosť, že ide o poslanecký návrh zákona, verejnosť sa na jeho príprave&lt;/p&gt;&lt;p style="text-align: justify;"&gt;nepodieľala.&lt;/p&gt;</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Kultúra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Lucia Liszkaiová</vt:lpwstr>
  </property>
  <property fmtid="{D5CDD505-2E9C-101B-9397-08002B2CF9AE}" pid="11" name="FSC#SKEDITIONSLOVLEX@103.510:zodppredkladatel">
    <vt:lpwstr>Mgr. Natália Milanová</vt:lpwstr>
  </property>
  <property fmtid="{D5CDD505-2E9C-101B-9397-08002B2CF9AE}" pid="12" name="FSC#SKEDITIONSLOVLEX@103.510:dalsipredkladatel">
    <vt:lpwstr/>
  </property>
  <property fmtid="{D5CDD505-2E9C-101B-9397-08002B2CF9AE}" pid="13" name="FSC#SKEDITIONSLOVLEX@103.510:nazovpredpis">
    <vt:lpwstr> Návrh poslancov Národnej rady Slovenskej republiky Dušana Jarjabka a Jozefa Habánika na vydanie zákona, ktorým sa mení zákon č. 284/2014 Z. z. o Fonde na podporu umenia a o zmene a doplnení zákona č. 434/2021 Z. z. o poskytovaní dotácií v pôsobnosti Mini</vt:lpwstr>
  </property>
  <property fmtid="{D5CDD505-2E9C-101B-9397-08002B2CF9AE}" pid="14" name="FSC#SKEDITIONSLOVLEX@103.510:nazovpredpis1">
    <vt:lpwstr>sterstva kultúry SR v znení zákona č. 79/2021 Z. z. a o zmene a doplnení niektorých zákonov v znení neskorších predpisov (tlač 771)</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podľa § 70 ods. 2 zákona NR SR č. 350/1996 Z. z.</vt:lpwstr>
  </property>
  <property fmtid="{D5CDD505-2E9C-101B-9397-08002B2CF9AE}" pid="22" name="FSC#SKEDITIONSLOVLEX@103.510:plnynazovpredpis">
    <vt:lpwstr> Návrh poslancov Národnej rady Slovenskej republiky Dušana Jarjabka a Jozefa Habánika na vydanie zákona, ktorým sa mení zákon č. 284/2014 Z. z. o Fonde na podporu umenia a o zmene a doplnení zákona č. 434/2021 Z. z. o poskytovaní dotácií v pôsobnosti Mini</vt:lpwstr>
  </property>
  <property fmtid="{D5CDD505-2E9C-101B-9397-08002B2CF9AE}" pid="23" name="FSC#SKEDITIONSLOVLEX@103.510:plnynazovpredpis1">
    <vt:lpwstr>sterstva kultúry SR v znení zákona č. 79/2021 Z. z. a o zmene a doplnení niektorých zákonov v znení neskorších predpisov (tlač 771)</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MK-9085/2021-250/29025</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LP/2021/809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vt:lpwstr>
  </property>
  <property fmtid="{D5CDD505-2E9C-101B-9397-08002B2CF9AE}" pid="141" name="FSC#SKEDITIONSLOVLEX@103.510:funkciaZodpPredAkuzativ">
    <vt:lpwstr>ministerku</vt:lpwstr>
  </property>
  <property fmtid="{D5CDD505-2E9C-101B-9397-08002B2CF9AE}" pid="142" name="FSC#SKEDITIONSLOVLEX@103.510:funkciaZodpPredDativ">
    <vt:lpwstr>ministerke</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Natália Milanová_x000d_
ministerka</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justify;"&gt;Na základe ustanovenia §&amp;nbsp;70 ods.&amp;nbsp;2 zákona Národnej rady Slovenskej republiky č.&amp;nbsp;350/1996 Z.&amp;nbsp;z. o&amp;nbsp;rokovacom poriadku Národnej rady Slovenskej republiky v znení zákona č. 399/2015 Z. z. a podľa článku</vt:lpwstr>
  </property>
  <property fmtid="{D5CDD505-2E9C-101B-9397-08002B2CF9AE}" pid="149" name="FSC#COOSYSTEM@1.1:Container">
    <vt:lpwstr>COO.2145.1000.3.4778052</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4. 1. 2022</vt:lpwstr>
  </property>
</Properties>
</file>