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21EED" w:rsidRDefault="00B21EED">
      <w:pPr>
        <w:jc w:val="center"/>
        <w:divId w:val="1666931983"/>
        <w:rPr>
          <w:rFonts w:ascii="Times" w:hAnsi="Times" w:cs="Times"/>
          <w:sz w:val="25"/>
          <w:szCs w:val="25"/>
        </w:rPr>
      </w:pPr>
      <w:r>
        <w:rPr>
          <w:rFonts w:ascii="Times" w:hAnsi="Times" w:cs="Times"/>
          <w:sz w:val="25"/>
          <w:szCs w:val="25"/>
        </w:rPr>
        <w:t>Zákon, ktorým sa mení a dopĺňa zákon č. 189/2015 Z. z. o kultúrno-osvetovej činnosti</w:t>
      </w:r>
    </w:p>
    <w:p w:rsidR="00927118" w:rsidRPr="00024402" w:rsidRDefault="00927118" w:rsidP="00CE47A6"/>
    <w:tbl>
      <w:tblPr>
        <w:tblW w:w="16590" w:type="dxa"/>
        <w:tblCellMar>
          <w:left w:w="0" w:type="dxa"/>
          <w:right w:w="0" w:type="dxa"/>
        </w:tblCellMar>
        <w:tblLook w:val="0000" w:firstRow="0" w:lastRow="0" w:firstColumn="0" w:lastColumn="0" w:noHBand="0" w:noVBand="0"/>
      </w:tblPr>
      <w:tblGrid>
        <w:gridCol w:w="8789"/>
        <w:gridCol w:w="7801"/>
      </w:tblGrid>
      <w:tr w:rsidR="00927118" w:rsidRPr="00024402" w:rsidTr="00E45A81">
        <w:tc>
          <w:tcPr>
            <w:tcW w:w="8789"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E45A81">
        <w:tc>
          <w:tcPr>
            <w:tcW w:w="8789"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21EED" w:rsidP="00B21EED">
            <w:pPr>
              <w:spacing w:after="0" w:line="240" w:lineRule="auto"/>
              <w:rPr>
                <w:rFonts w:ascii="Times New Roman" w:hAnsi="Times New Roman" w:cs="Calibri"/>
                <w:sz w:val="20"/>
                <w:szCs w:val="20"/>
              </w:rPr>
            </w:pPr>
            <w:r>
              <w:rPr>
                <w:rFonts w:ascii="Times" w:hAnsi="Times" w:cs="Times"/>
                <w:sz w:val="25"/>
                <w:szCs w:val="25"/>
              </w:rPr>
              <w:t>16 /5</w:t>
            </w:r>
          </w:p>
        </w:tc>
      </w:tr>
      <w:tr w:rsidR="00927118" w:rsidRPr="00024402" w:rsidTr="00E45A81">
        <w:tc>
          <w:tcPr>
            <w:tcW w:w="8789"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21EED" w:rsidP="00B21EED">
            <w:pPr>
              <w:spacing w:after="0" w:line="240" w:lineRule="auto"/>
              <w:rPr>
                <w:rFonts w:ascii="Times New Roman" w:hAnsi="Times New Roman" w:cs="Calibri"/>
                <w:sz w:val="20"/>
                <w:szCs w:val="20"/>
              </w:rPr>
            </w:pPr>
            <w:r>
              <w:rPr>
                <w:rFonts w:ascii="Times" w:hAnsi="Times" w:cs="Times"/>
                <w:sz w:val="25"/>
                <w:szCs w:val="25"/>
              </w:rPr>
              <w:t>16</w:t>
            </w:r>
          </w:p>
        </w:tc>
      </w:tr>
      <w:tr w:rsidR="00927118" w:rsidRPr="00024402" w:rsidTr="00E45A81">
        <w:tc>
          <w:tcPr>
            <w:tcW w:w="8789"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E45A81">
        <w:tc>
          <w:tcPr>
            <w:tcW w:w="8789"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21EED" w:rsidP="00B21EED">
            <w:pPr>
              <w:spacing w:after="0" w:line="240" w:lineRule="auto"/>
              <w:rPr>
                <w:rFonts w:ascii="Times New Roman" w:hAnsi="Times New Roman" w:cs="Calibri"/>
                <w:sz w:val="20"/>
                <w:szCs w:val="20"/>
              </w:rPr>
            </w:pPr>
            <w:r>
              <w:rPr>
                <w:rFonts w:ascii="Times" w:hAnsi="Times" w:cs="Times"/>
                <w:sz w:val="25"/>
                <w:szCs w:val="25"/>
              </w:rPr>
              <w:t>11 /3</w:t>
            </w:r>
          </w:p>
        </w:tc>
      </w:tr>
      <w:tr w:rsidR="00927118" w:rsidRPr="00024402" w:rsidTr="00E45A81">
        <w:tc>
          <w:tcPr>
            <w:tcW w:w="8789"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21EED" w:rsidP="00B21EED">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E45A81">
        <w:tc>
          <w:tcPr>
            <w:tcW w:w="8789"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21EED" w:rsidP="00B21EED">
            <w:pPr>
              <w:spacing w:after="0" w:line="240" w:lineRule="auto"/>
              <w:rPr>
                <w:rFonts w:ascii="Times New Roman" w:hAnsi="Times New Roman" w:cs="Calibri"/>
                <w:sz w:val="20"/>
                <w:szCs w:val="20"/>
              </w:rPr>
            </w:pPr>
            <w:r>
              <w:rPr>
                <w:rFonts w:ascii="Times" w:hAnsi="Times" w:cs="Times"/>
                <w:sz w:val="25"/>
                <w:szCs w:val="25"/>
              </w:rPr>
              <w:t>5 /2</w:t>
            </w:r>
          </w:p>
        </w:tc>
      </w:tr>
      <w:tr w:rsidR="00927118" w:rsidRPr="00024402" w:rsidTr="00E45A81">
        <w:tc>
          <w:tcPr>
            <w:tcW w:w="8789"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E45A81">
        <w:tc>
          <w:tcPr>
            <w:tcW w:w="8789" w:type="dxa"/>
            <w:tcBorders>
              <w:top w:val="nil"/>
              <w:left w:val="nil"/>
              <w:bottom w:val="nil"/>
              <w:right w:val="nil"/>
            </w:tcBorders>
          </w:tcPr>
          <w:p w:rsidR="00E45A81" w:rsidRDefault="00927118" w:rsidP="00E45A81">
            <w:pPr>
              <w:spacing w:after="0" w:line="240" w:lineRule="auto"/>
              <w:rPr>
                <w:rFonts w:ascii="Times New Roman" w:hAnsi="Times New Roman" w:cs="Calibri"/>
                <w:bCs/>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r w:rsidR="00E45A81">
              <w:rPr>
                <w:rFonts w:ascii="Times New Roman" w:hAnsi="Times New Roman" w:cs="Calibri"/>
                <w:bCs/>
                <w:sz w:val="25"/>
                <w:szCs w:val="25"/>
              </w:rPr>
              <w:t xml:space="preserve"> </w:t>
            </w:r>
          </w:p>
          <w:p w:rsidR="00927118" w:rsidRPr="000032C8" w:rsidRDefault="00E45A81" w:rsidP="00E45A81">
            <w:pPr>
              <w:spacing w:after="0" w:line="240" w:lineRule="auto"/>
              <w:rPr>
                <w:rFonts w:ascii="Times New Roman" w:hAnsi="Times New Roman" w:cs="Calibri"/>
                <w:sz w:val="25"/>
                <w:szCs w:val="25"/>
              </w:rPr>
            </w:pPr>
            <w:r>
              <w:rPr>
                <w:rFonts w:ascii="Times New Roman" w:hAnsi="Times New Roman" w:cs="Calibri"/>
                <w:bCs/>
                <w:sz w:val="25"/>
                <w:szCs w:val="25"/>
              </w:rPr>
              <w:t xml:space="preserve">ŠÚ SR, 7.12.2021, rozpory odstránené, MF SR, 1.12. a 8.12.2021, rozpory odstránené   </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E45A81">
        <w:tc>
          <w:tcPr>
            <w:tcW w:w="8789"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r w:rsidR="00E45A81">
              <w:rPr>
                <w:rFonts w:ascii="Times New Roman" w:hAnsi="Times New Roman" w:cs="Calibri"/>
                <w:bCs/>
                <w:sz w:val="25"/>
                <w:szCs w:val="25"/>
              </w:rPr>
              <w:t xml:space="preserve"> ŠÚ SR 2, MF SR 2   </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E45A81">
        <w:tc>
          <w:tcPr>
            <w:tcW w:w="8789"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r w:rsidR="00E45A81">
              <w:rPr>
                <w:rFonts w:ascii="Times New Roman" w:hAnsi="Times New Roman" w:cs="Calibri"/>
                <w:bCs/>
                <w:sz w:val="25"/>
                <w:szCs w:val="25"/>
              </w:rPr>
              <w:t xml:space="preserve">    0</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B21EED" w:rsidRDefault="00B21EE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B21EED">
        <w:trPr>
          <w:divId w:val="12372078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Vôbec nezaslali</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sz w:val="20"/>
                <w:szCs w:val="20"/>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sz w:val="20"/>
                <w:szCs w:val="20"/>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sz w:val="20"/>
                <w:szCs w:val="20"/>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sz w:val="20"/>
                <w:szCs w:val="20"/>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sz w:val="20"/>
                <w:szCs w:val="20"/>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sz w:val="20"/>
                <w:szCs w:val="20"/>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sz w:val="20"/>
                <w:szCs w:val="20"/>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sz w:val="20"/>
                <w:szCs w:val="20"/>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sz w:val="20"/>
                <w:szCs w:val="20"/>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sz w:val="20"/>
                <w:szCs w:val="20"/>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x</w:t>
            </w:r>
          </w:p>
        </w:tc>
      </w:tr>
      <w:tr w:rsidR="00B21EED">
        <w:trPr>
          <w:divId w:val="1237207808"/>
          <w:jc w:val="center"/>
        </w:trPr>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16 (11o,5z)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21EED" w:rsidRDefault="00B21EE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21EED" w:rsidRDefault="00B21EE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Spôsob vyhodnotenia</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k § 2 zákona</w:t>
            </w:r>
            <w:r>
              <w:rPr>
                <w:rFonts w:ascii="Times" w:hAnsi="Times" w:cs="Times"/>
                <w:sz w:val="25"/>
                <w:szCs w:val="25"/>
              </w:rPr>
              <w:br/>
              <w:t>Vložiť úplne nové znenie za § 2 a to: § 2a Odborný zamestnanec kultúrno-osvetového zariadenia 1) Odborné kultúrno-osvetové činnosti zabezpečuje odborný zamestnanec kultúrno-osvetového zariadenia s vysokoškolským vzdelaním alebo so stredoškolským vzdelaním, ktorý má osobitnú odbornú spôsobilosť, 2) Osobitná odborná spôsobilosť na účely tohto zákona je súhrn teoretických vedomostí, znalostí odborných štandardov, procesov a všeobecne záväzných právnych predpisov upravujúcich činnosť kultúrno-osvetového zariadenia. Zdôvodnenie: Doplnenie samostatného paragrafového znenia „Odborný zamestnanec kultúrno-osvetového zariadenia“ považujeme opodstatnenú súčasť predmetného zákona. Zároveň sčasti zosúlaďuje znenie predmetného zákona so zneniami zákonov záväzných pre kultúrne inštitúcie s iným zameraním v pôsobnosti VÚC.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Pripomienka je nad rámec pripravenej novely.</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k § 3 zákona</w:t>
            </w:r>
            <w:r>
              <w:rPr>
                <w:rFonts w:ascii="Times" w:hAnsi="Times" w:cs="Times"/>
                <w:sz w:val="25"/>
                <w:szCs w:val="25"/>
              </w:rPr>
              <w:br/>
              <w:t xml:space="preserve">Vložiť úplne nové znenie za § 3 a to: § 3a Práva kultúrno-osvetových zariadení a) </w:t>
            </w:r>
            <w:proofErr w:type="spellStart"/>
            <w:r>
              <w:rPr>
                <w:rFonts w:ascii="Times" w:hAnsi="Times" w:cs="Times"/>
                <w:sz w:val="25"/>
                <w:szCs w:val="25"/>
              </w:rPr>
              <w:t>kultúrno</w:t>
            </w:r>
            <w:proofErr w:type="spellEnd"/>
            <w:r>
              <w:rPr>
                <w:rFonts w:ascii="Times" w:hAnsi="Times" w:cs="Times"/>
                <w:sz w:val="25"/>
                <w:szCs w:val="25"/>
              </w:rPr>
              <w:t xml:space="preserve"> osvetové zariadenie podľa § 6 ods. 1 písm. d) je oprávnené na účel vedenia evidencie v oblasti kultúrno-osvetovej činnosti spracovávať osobné údaje1) podľa § 7, b) požiadať o pomoc a usmernenie príslušné kultúrno-osvetové zariadenie s metodickou pôsobnosťou, c) združovať sa v profesijných záujmových združeniach, d) vytvárať podľa </w:t>
            </w:r>
            <w:r>
              <w:rPr>
                <w:rFonts w:ascii="Times" w:hAnsi="Times" w:cs="Times"/>
                <w:sz w:val="25"/>
                <w:szCs w:val="25"/>
              </w:rPr>
              <w:lastRenderedPageBreak/>
              <w:t>potreby svoje pobočky resp. organizačné súčasti na základe predchádzajúceho písomného súhlasu zriaďovateľa kultúrno-osvetového zariadenia alebo zakladateľa kultúrno-osvetového zariadenia. 1) § 10 zákona č. 18/2018 Z. z. o ochrane osobných údajov a zmene a doplnení niektorých zákonov Zdôvodnenie: Doplnenie samostatného paragrafového znenia „Práva kultúrno-osvetových zariadení“ považujeme za dôležitú súčasť predmetného zákona. Podporuje oprávnenosť spracovania osobných údajov a dopĺňa ďalšie základné práva kultúrno-osvetových zariadení. Zároveň sčasti zosúlaďuje znenie predmetného zákona so zneniami zákonov záväzných pre kultúrne inštitúcie s iným zameraním v pôsobnosti VÚC.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Pripomienka je nad rámec pripravenej novely.</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 5 zákona</w:t>
            </w:r>
            <w:r>
              <w:rPr>
                <w:rFonts w:ascii="Times" w:hAnsi="Times" w:cs="Times"/>
                <w:sz w:val="25"/>
                <w:szCs w:val="25"/>
              </w:rPr>
              <w:br/>
              <w:t xml:space="preserve">Vložiť úplne nové znenie za § 5 a to: § 5a Financovanie kultúrno-osvetovej činnosti prostredníctvom kultúrno-osvetového zariadenia 1) Financovanie kultúrno-osvetovej činnosti prostredníctvom kultúrno-osvetového zariadenia podľa osobitného predpisu 1) upravuje osobitný predpis 2). 2) Zdrojmi financovania kultúrno-osvetovej činnosti prostredníctvom kultúrno-osvetového zariadenia podľa osobitného predpisu 1) môžu byť a) dotácie zo štátneho rozpočtu 3), dotácie z rozpočtu obce alebo dotácie z rozpočtu vyššieho územného celku, b) príjmy za kultúrno-osvetovú činnosť podľa § 2 ods. 2 tohto zákona, c) finančné zdroje prijaté od iných subjektov formou dotácie alebo grantu, d) príspevky z rozpočtu obcí na realizáciu kultúrno-osvetovej činnosti v zmysle § 2 ods. 2, ak kultúrno-osvetové zariadenie v regióne na požiadanie obce realizuje </w:t>
            </w:r>
            <w:r>
              <w:rPr>
                <w:rFonts w:ascii="Times" w:hAnsi="Times" w:cs="Times"/>
                <w:sz w:val="25"/>
                <w:szCs w:val="25"/>
              </w:rPr>
              <w:lastRenderedPageBreak/>
              <w:t>aktivity v prospech rozvoja kultúrneho dedičstva, e) iné príjmy. 3) Dotácie alebo granty, ktoré sú štátnou pomocou, možno kultúrno-osvetovému zariadeniu podľa tohto zákona poskytnúť len v súlade s osobitným predpisom v oblasti štátnej pomoci. 1) § 21 zákona 523/2004 Z. z. o rozpočtových pravidlách verejnej správy a o zmene a doplnení niektorých zákonov v znení neskorších predpisov. 2) Zákon č. 583/2004 Z. z. o rozpočtových pravidlách územnej samosprávy a o zmene a doplnení niektorých zákonov v znení neskorších predpisov. Zákon č. 523/2004 Z. z. o rozpočtových pravidlách verejnej správy 3) napr. zákon 434/2010 Z. z. o poskytovaní dotácií v pôsobnosti MK SR Zdôvodnenie: Doplnenie samostatného paragrafového znenia o časť „Financovanie kultúrno-osvetovej činnosti prostredníctvom kultúrno-osvetového zariadenia“ považujeme za dôležitú súčasť príslušného zákona. Zároveň sa tým čiastočne zosúlaďuje znenie uvedeného zákona o kultúrno-osvetovej činnosti, resp. kompetenciách ďalších zákonov o kultúrnych inštitúciách v pôsobnosti VÚC, napr. so zákonom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Banskobystrický samosprávny kraja súhlasí s návrhom novely zákona od Ministerstva kultúry SR, v ktorom navrhuje vymedzenie funkčného obdobia štatutárov kultúrno-osvetových zariadení a tak zosúlaďuje legislatívne rozdiely.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Pripomienka je nad rámec pripravenej novely.</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br/>
            </w:r>
            <w:r>
              <w:rPr>
                <w:rFonts w:ascii="Times" w:hAnsi="Times" w:cs="Times"/>
                <w:sz w:val="25"/>
                <w:szCs w:val="25"/>
              </w:rPr>
              <w:lastRenderedPageBreak/>
              <w:t>K materiálu neuplatňujeme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Všeobecne</w:t>
            </w:r>
            <w:r>
              <w:rPr>
                <w:rFonts w:ascii="Times" w:hAnsi="Times" w:cs="Times"/>
                <w:sz w:val="25"/>
                <w:szCs w:val="25"/>
              </w:rPr>
              <w:br/>
              <w:t>V čl. I úvodnej vete návrhu zákona odporúčame za slová „Zákon č. 189/2015 Z. z“ vložiť bodku a v bode 5 § 8a na konci za bodku doplniť úvodzovky hore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Zapracované.</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Všeobecne</w:t>
            </w:r>
            <w:r>
              <w:rPr>
                <w:rFonts w:ascii="Times" w:hAnsi="Times" w:cs="Times"/>
                <w:sz w:val="25"/>
                <w:szCs w:val="25"/>
              </w:rPr>
              <w:br/>
              <w:t>V návrhu zákona žiadame zadefinovať podmienky na odvolanie štatutárneho orgánu kultúrno-osvetového zariadenia, ktorého zriaďovateľom je ministerstvo kultúry. Zadefinovanie jasných pravidiel na odvolanie riadiaceho zamestnanca organizácie zriadenej ministerstvom kultúry je jedným z opatrení revízie výdavkov na kultúru. Cieľom opatrenia je eliminácia politických zásahov do fungovania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 xml:space="preserve">Pripomienka bola po </w:t>
            </w:r>
            <w:proofErr w:type="spellStart"/>
            <w:r>
              <w:rPr>
                <w:rFonts w:ascii="Times" w:hAnsi="Times" w:cs="Times"/>
                <w:sz w:val="25"/>
                <w:szCs w:val="25"/>
              </w:rPr>
              <w:t>rozporovom</w:t>
            </w:r>
            <w:proofErr w:type="spellEnd"/>
            <w:r>
              <w:rPr>
                <w:rFonts w:ascii="Times" w:hAnsi="Times" w:cs="Times"/>
                <w:sz w:val="25"/>
                <w:szCs w:val="25"/>
              </w:rPr>
              <w:t xml:space="preserve"> konaní na úrovni štátnych tajomníkov predkladateľom preklasifikovaná na obyčajnú. Predmetná problematika bude riešená pri nasledujúcej novelizácii zákona, pretože legislatívne definovanie dôvodov odvolania vyžaduje hlbšiu analýzu. Zavedenie povinnosti verejného výberového procesu a 5 ročné funkčné obdobie, ktoré doteraz legislatívne upravené nebolo, považujeme v tejto fáze za významný posun v procese zvyšovania transparentnosti obsadzovania štatutárov a vedúcich zamestnancov. Pri odvolaní je zavedená povinnosť uviesť dôvod odvolania. </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osobitnej časti dôvodovej správy a v doložke vybraných vplyvov je uvedené, že v roku 2021 bola realizácia časti aktivít v </w:t>
            </w:r>
            <w:r>
              <w:rPr>
                <w:rFonts w:ascii="Times" w:hAnsi="Times" w:cs="Times"/>
                <w:sz w:val="25"/>
                <w:szCs w:val="25"/>
              </w:rPr>
              <w:lastRenderedPageBreak/>
              <w:t xml:space="preserve">rámci </w:t>
            </w:r>
            <w:proofErr w:type="spellStart"/>
            <w:r>
              <w:rPr>
                <w:rFonts w:ascii="Times" w:hAnsi="Times" w:cs="Times"/>
                <w:sz w:val="25"/>
                <w:szCs w:val="25"/>
              </w:rPr>
              <w:t>pandemických</w:t>
            </w:r>
            <w:proofErr w:type="spellEnd"/>
            <w:r>
              <w:rPr>
                <w:rFonts w:ascii="Times" w:hAnsi="Times" w:cs="Times"/>
                <w:sz w:val="25"/>
                <w:szCs w:val="25"/>
              </w:rPr>
              <w:t xml:space="preserve"> opatrení zabezpečená prostredníctvom rozpočtového opatrenia poskytnutého ministerstvom kultúry Národnému osvetovému centru. Národné osvetové centrum je štátna príspevková organizácia, pričom v súlade so zákonom č. 523/2004 Z. z. o rozpočtových pravidlách verejnej správy a o zmene a doplnení niektorých zákonov v znení neskorších predpisov sú rozpočtové opatrenia prípustné len v rámci rozpočtových organizácií. Podľa znenia materiálu vo vzťahu k príspevkovej organizácii ministerstvo kultúry zabezpečilo realizáciu aktivít „prostredníctvom rozpočtového opatrenia poskytnutého Ministerstvom kultúry SR“. Predpokladáme, že Národnému osvetovému centru bol poskytnutý transfer z rozpočtu ministerstva kultúry. Uvedené konštatovanie odporúčame v osobitnej časti dôvodovej správy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Text upravený v zmysle pripomienky.</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Všetky vplyvy vyplývajúce z návrhu zákona žiadame zabezpečiť v rámci schválených limitov výdavkov a počtu zamestnancov kapitoly Ministerstva kultúry SR (ďalej len „ministerstvo kultúry“) na príslušný rozpočtový rok, bez dodatočných požiadaviek na štátny rozpočet. V nadväznosti na uvedené žiadame prepracovať materiál tak, aby z neho nevyplýval rozpočtovo nekrytý vplyv. Táto pripomienka bola predložená už v rámci predbežného pripomienkového konania, predkladateľ ju však neakceptoval, preto na nej naďalej trváme. V Analýze vplyvov na rozpočet verejnej správy, na zamestnanosť vo verejnej správe a financovanie návrhu v časti 2.1.1. Financovanie návrhu je uvedená suma 1 057 178 eur, čo </w:t>
            </w:r>
            <w:r>
              <w:rPr>
                <w:rFonts w:ascii="Times" w:hAnsi="Times" w:cs="Times"/>
                <w:sz w:val="25"/>
                <w:szCs w:val="25"/>
              </w:rPr>
              <w:lastRenderedPageBreak/>
              <w:t xml:space="preserve">nekorešponduje s kvantifikáciou uvedenou v tabuľke č. 1 a v časti 2.2.4. Výpočty vplyvov na verejné financie v tabuľke 2 sumy v riadku „Spolu – postupové súťaže neprofesionálne umenie“ a sumy v poslednom riadku „Z toho nekryté“ nekorešpondujú s kvantifikáciami v tabuľke č. 1. Kvantifikácie v jednotlivých častiach analýzy vplyvov žiadame vzájomne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Rozpor bol odstránený</w:t>
            </w:r>
            <w:r w:rsidR="00F84092">
              <w:rPr>
                <w:rFonts w:ascii="Times" w:hAnsi="Times" w:cs="Times"/>
                <w:sz w:val="25"/>
                <w:szCs w:val="25"/>
              </w:rPr>
              <w:t xml:space="preserve"> po </w:t>
            </w:r>
            <w:proofErr w:type="spellStart"/>
            <w:r w:rsidR="00F84092">
              <w:rPr>
                <w:rFonts w:ascii="Times" w:hAnsi="Times" w:cs="Times"/>
                <w:sz w:val="25"/>
                <w:szCs w:val="25"/>
              </w:rPr>
              <w:t>rozporovom</w:t>
            </w:r>
            <w:proofErr w:type="spellEnd"/>
            <w:r w:rsidR="00F84092">
              <w:rPr>
                <w:rFonts w:ascii="Times" w:hAnsi="Times" w:cs="Times"/>
                <w:sz w:val="25"/>
                <w:szCs w:val="25"/>
              </w:rPr>
              <w:t xml:space="preserve"> konaní na úrovni štátnych tajomníkov. </w:t>
            </w:r>
            <w:r>
              <w:rPr>
                <w:rFonts w:ascii="Times" w:hAnsi="Times" w:cs="Times"/>
                <w:sz w:val="25"/>
                <w:szCs w:val="25"/>
              </w:rPr>
              <w:t>Zmena nemá negatívny vplyv na rozpočet verejnej správy v roku 2022. Financovanie v roku 2022 je zabezpečené rozpočtovanými prostriedkami pre MK SR. Rok 2023 a neskôr bude predmetom zapracovania do návrhu rozpočtu verejnej správy na roky 2023 – 2025 v zmysle harmonogramu tvorby rozpočtu verejnej správy.</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 xml:space="preserve">Žiadame v bode 2.1 analýzy vplyvov na rozpočet verejnej správy zmeniť rozsah podielu spolufinancovania súťaže Hviezdoslavov Kubín z rozpočtu </w:t>
            </w:r>
            <w:proofErr w:type="spellStart"/>
            <w:r>
              <w:rPr>
                <w:rFonts w:ascii="Times" w:hAnsi="Times" w:cs="Times"/>
                <w:sz w:val="25"/>
                <w:szCs w:val="25"/>
              </w:rPr>
              <w:t>MŠVVaŠ</w:t>
            </w:r>
            <w:proofErr w:type="spellEnd"/>
            <w:r>
              <w:rPr>
                <w:rFonts w:ascii="Times" w:hAnsi="Times" w:cs="Times"/>
                <w:sz w:val="25"/>
                <w:szCs w:val="25"/>
              </w:rPr>
              <w:t xml:space="preserve"> SR z navrhovaných 73 000 eur na 7 000 eur. Zdôvodnenie: V bode 2.1 analýzy vplyvov na rozpočet verejnej správy je uvedené, že </w:t>
            </w:r>
            <w:proofErr w:type="spellStart"/>
            <w:r>
              <w:rPr>
                <w:rFonts w:ascii="Times" w:hAnsi="Times" w:cs="Times"/>
                <w:sz w:val="25"/>
                <w:szCs w:val="25"/>
              </w:rPr>
              <w:t>MŠVVaŠ</w:t>
            </w:r>
            <w:proofErr w:type="spellEnd"/>
            <w:r>
              <w:rPr>
                <w:rFonts w:ascii="Times" w:hAnsi="Times" w:cs="Times"/>
                <w:sz w:val="25"/>
                <w:szCs w:val="25"/>
              </w:rPr>
              <w:t xml:space="preserve"> SR sa podieľa na spolufinancovaní súťaže Hviezdoslavov Kubín sumou 73 000 eur. </w:t>
            </w:r>
            <w:proofErr w:type="spellStart"/>
            <w:r>
              <w:rPr>
                <w:rFonts w:ascii="Times" w:hAnsi="Times" w:cs="Times"/>
                <w:sz w:val="25"/>
                <w:szCs w:val="25"/>
              </w:rPr>
              <w:t>MŠVVaŠ</w:t>
            </w:r>
            <w:proofErr w:type="spellEnd"/>
            <w:r>
              <w:rPr>
                <w:rFonts w:ascii="Times" w:hAnsi="Times" w:cs="Times"/>
                <w:sz w:val="25"/>
                <w:szCs w:val="25"/>
              </w:rPr>
              <w:t xml:space="preserve"> SR má však v rozpočte na spolufinancovanie súťaže Hviezdoslavov Kubín vyčlenených 7 000 eur. Keďže nie je jasné odkiaľ navrhovateľ čerpal údaje pre sumu 73 000 eur, žiadame opravu navrhovanej sumy. </w:t>
            </w:r>
            <w:proofErr w:type="spellStart"/>
            <w:r>
              <w:rPr>
                <w:rFonts w:ascii="Times" w:hAnsi="Times" w:cs="Times"/>
                <w:sz w:val="25"/>
                <w:szCs w:val="25"/>
              </w:rPr>
              <w:t>MŠVVaŠ</w:t>
            </w:r>
            <w:proofErr w:type="spellEnd"/>
            <w:r>
              <w:rPr>
                <w:rFonts w:ascii="Times" w:hAnsi="Times" w:cs="Times"/>
                <w:sz w:val="25"/>
                <w:szCs w:val="25"/>
              </w:rPr>
              <w:t xml:space="preserve"> SR považuje túto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Text upravený v zmysle pripomienky. MŠVVŠ poskytuje 7 000 eur na celoštátne kolo Hviezdoslavovho Kubína. 66 000 eur je poskytovaných prostredníctvom okresných úradov –MV SR. Celková suma je zachovaná.</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doložke vybraných vplyvov odporúčame namiesto políčka „Materiál nelegislatívnej povahy“ zaškrtnúť políčko „Materiál legislatívnej povahy“. V druhom bode druhom odseku slovo „odvolenia“ nahradiť slovom „odvolania“. V piatom bode za číslo „400 000“ vložiť slovo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Text upravený v zmysle pripomienky.</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v časti „charakter predkladaného materiálu“ navrhujeme materiál označiť ako „materiál legislatívnej povahy“.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 xml:space="preserve">Zapracované. </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Predložená doložka zlučiteľnosti je neaktuálna z hľadiska jej názvu, názvu jednotlivých jej bodov ako i počtu bodov. Žiadame preto doložku zlučiteľnosti aktualizovať a upraviť v zmysle Prílohy č. 2 k Legislatívnym pravidlám vlády SR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Doložka je aktualizovaná.</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Žiadame doplniť čl. I predloženého zákona bodom, ktorým budú v súlade s § 21 ods. 5 písm. a) v spojení s odsekmi 7 a 8 zákona č. 523/2004 Z. z. v znení zákona č. 584/2005 Z. z. obe príspevkové organizácie zrušené. Odôvodnenie: Podľa v súčasnosti platného § 5 ods. 2 písm. a) zákona č. 189/2015 Z. z. boli zákonom zriadené dve príspevkové organizácie, a to Národné osvetové centrum so sídlom v Bratislave a Slovenská ústredná hvezdáreň so sídlom v Hurbanove. V Registri právnických osôb, podnikateľov a orgánov verejnej moci sú tieto príspevkové organizácie zapísané s identifikačným číslom organizácie 00164615 a 00164852. Zriadenie Národného osvetového centra so sídlom v Bratislave a Slovenskej ústrednej hvezdárne so sídlom v Hurbanove bolo teda vykonané zákonom. Zámer predkladateľa súvisiaci s prechodom práv a povinností týchto príspevkových organizácií je preto nutné riešiť </w:t>
            </w:r>
            <w:r>
              <w:rPr>
                <w:rFonts w:ascii="Times" w:hAnsi="Times" w:cs="Times"/>
                <w:sz w:val="25"/>
                <w:szCs w:val="25"/>
              </w:rPr>
              <w:lastRenderedPageBreak/>
              <w:t>prechodnými ustanoveniami a v súlade s príslušnými ustanoveniami zákona č. 523/2004 Z. z. o rozpočtových pravidlách verejnej správy a o zmene a doplnení niektorých zákonov.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 xml:space="preserve">NOC ani Slovenská ústredná hvezdáreň so sídlom v Hurbanove neboli zriadené zákonom č. 189/2015 Z. z. o kultúrno-osvetovej činnosti, ale na boli zriadené ako príspevkové organizácie MK SR podľa § 21 ods. 5 písm. b) zákona č. 523/2004 Z. z. o rozpočtových pravidlách verejnej správy a o zmene a doplnení niektorých zákonov.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7.12.2021.</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čl. I, § 5, nad rámec návrhu</w:t>
            </w:r>
            <w:r>
              <w:rPr>
                <w:rFonts w:ascii="Times" w:hAnsi="Times" w:cs="Times"/>
                <w:sz w:val="25"/>
                <w:szCs w:val="25"/>
              </w:rPr>
              <w:br/>
              <w:t xml:space="preserve">Žiadame buď A. v § 5 ods. 3 písm. c) vypustiť slová „a štátne štatistické zisťovanie v oblasti kultúry,8) vrátane poznámky pod čiarou k odkazu 8, a plnenie úloh v oblasti štátnej štatistiky preniesť na úroveň zriaďovacej listiny príspevkovej organizácie a organizačných aktov rezortu kultúry alebo B. v § 5 ods. 3 písm. c) vypustiť slová „a štátne štatistické zisťovanie v oblasti kultúry,8)“, zároveň samostatným paragrafom upraviť pôsobnosť kultúrno-osvetové zariadenia podľa § 5 ods. 2 písm. a) v oblasti štátnej štatistiky a zmeniť citáciu v poznámke pod čiarou k odkazu 8: „§ 5a Iná činnosť kultúrno-osvetových zariadení Ministerstvo môže poveriť kultúrno-osvetové zariadenie podľa § 5 ods. 2 písm. a) plnením úlohy v oblasti štátnej štatistiky podľa osobitného predpisu.8)“. Poznámka pod čiarou k odkazu 8 znie: „8) § 4 ods. 2 zákona č. 540/2001 Z. z. o štátnej štatistike v znení zákona č. 144/2021 Z. z.“. Odôvodnenie: Podľa § 4 ods. 1 písm. a) zákona č. 540/2001 Z. z. o štátnej štatistike v znení zákona č. 144/2021 Z. z. úlohy štátnej štatistiky môže okrem Štatistického úradu Slovenskej republiky vykonávať aj iný ústredný orgán štátnej správy a orgán štátnej správy s celoštátnou pôsobnosťou zriadený podľa osobitného predpisu za podmienok a v rozsahu ustanovenom týmto zákonom. Takýmto orgánom vykonávajúcim </w:t>
            </w:r>
            <w:r>
              <w:rPr>
                <w:rFonts w:ascii="Times" w:hAnsi="Times" w:cs="Times"/>
                <w:sz w:val="25"/>
                <w:szCs w:val="25"/>
              </w:rPr>
              <w:lastRenderedPageBreak/>
              <w:t xml:space="preserve">štátnu štatistiku, teda orgánom štátnej správy v oblasti štátnej štatistiky je aj Ministerstvo kultúry Slovenskej republiky. Podľa § 4 ods. 2 zákona č. 540/2001 Z. z. v znení zákona č. 144/2021 Z. z. môže orgán vykonávajúci štátnu štatistiku poveriť vykonávaním úlohy v oblasti štátnej štatistiky svoju rozpočtovú alebo príspevkovú organizáciu, pričom podmienky plnenia tejto úlohy v súlade so zákonom č. 540/2001 Z. z. stanoví písomne. Plnením úlohy prostredníctvom povereného subjektu sa neprenáša zodpovednosť orgánu štátnej správy za vykonávanie úlohy v oblasti štátnej správy, čo je v zákone č. 540/2001 Z. z. od 1. mája 2021 patrične vyjadrené. Štatistický úrad Slovenskej republiky nemôže súhlasiť so súčasným znením predmetného ustanovenia zákona, pretože svojou dikciou ukladá implicitne NOC aj povinnosti, ktoré patria Štatistickému úradu SR a Ministerstvu kultúry SR ako inému orgánu vykonávajúcemu štátnu štatistiku (a nemôžu byť predmetom činnosti príspevkovej organizácie, napríklad koordinačná úloha, ukladanie pokút za správne delikty podľa § 32 zákona č. 540/2001 Z. z. v znení neskorších predpisov). Navyše výkon týchto povinností zaraďuje zákon do úseku štátnej správy, do ktorého nepatria, čo je v rozpore s organizáciou štátnej správy v oblasti štátnej štatistiky podľa § 4 ods. 1 a 2, § 5 ods. 1 a § 8 až 11 zákona č. 540/2001 Z. z. Použité slovné spojenie „štátne štatistické zisťovanie“ v súčasnom znení ustanovenia § 5 ods. 3 písm. c) je vecne nepresné a muselo by byť nahradené slovami „štátnu štatistiku“ alebo slovami „plnenie úloh v oblasti štátnej štatistiky“, čo je však vzhľadom na cieľ, ktorý pripomienka sleduje, irelevantné. Bolo by možné súhlasiť s alternatívnou úpravou zaradenia </w:t>
            </w:r>
            <w:r>
              <w:rPr>
                <w:rFonts w:ascii="Times" w:hAnsi="Times" w:cs="Times"/>
                <w:sz w:val="25"/>
                <w:szCs w:val="25"/>
              </w:rPr>
              <w:lastRenderedPageBreak/>
              <w:t>plnenia úloh v oblasti štátnej štatistiky na základe fakultatívneho poverenia do osobitného ustanovenia, čo je z pohľadu dikcie ustanovenia § 4 ods. 2 zákona č. 540/2001 Z. z. duplicitné, ale môže mať význam z hľadiska organizácie rezortu kultúry. Túto pripomienku považuje Štatistický úrad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 xml:space="preserve">Upravené v zmysle dohody v rámci </w:t>
            </w:r>
            <w:proofErr w:type="spellStart"/>
            <w:r>
              <w:rPr>
                <w:rFonts w:ascii="Times" w:hAnsi="Times" w:cs="Times"/>
                <w:sz w:val="25"/>
                <w:szCs w:val="25"/>
              </w:rPr>
              <w:t>rozporového</w:t>
            </w:r>
            <w:proofErr w:type="spellEnd"/>
            <w:r>
              <w:rPr>
                <w:rFonts w:ascii="Times" w:hAnsi="Times" w:cs="Times"/>
                <w:sz w:val="25"/>
                <w:szCs w:val="25"/>
              </w:rPr>
              <w:t xml:space="preserve"> konania. </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 xml:space="preserve">vlastný materiál, k čl. I ods.1 </w:t>
            </w:r>
            <w:r>
              <w:rPr>
                <w:rFonts w:ascii="Times" w:hAnsi="Times" w:cs="Times"/>
                <w:sz w:val="25"/>
                <w:szCs w:val="25"/>
              </w:rPr>
              <w:br/>
              <w:t xml:space="preserve">Navrhujeme doplniť ustanovenie o odkaz na osobitný predpis, ktorý je zákon č. 552/2003 Z. z. o výkone práce vo verejnom záujme a o zmene a doplnení niektorých zákonov. Odôvodnenie: Všeobecný právny rámec pre pracovnoprávne vzťahy zamestnancov k zamestnávateľom, ktorými sú okrem iného aj právnické osoby zriadené štátnym orgánom, obcou alebo vyšším územným celkom upravuje zákon č. 552/2003 Z. z. o výkone práce vo verejnom záujme a o zmene a doplnení niektorých zákonov. Z tohto dôvodu a pre zamedzenie akýchkoľvek pochybností navrhujeme doplniť predmetné ustanovenie o odkaz aj na tento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Zapracované.</w:t>
            </w:r>
          </w:p>
        </w:tc>
      </w:tr>
      <w:tr w:rsidR="00B21EED">
        <w:trPr>
          <w:divId w:val="2095376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je potrebné doplniť tento novelizačný bod, ktorým sa mení zákon č. 189/2015 Z. z.: V § 7 ods. 15 sa slová „všeobecný predpis o správnom konaní“ nahrádzajú slovami „správny poriadok“. Odôvodnenie: Ide o legislatívno-technickú pripomienku.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w:t>
            </w:r>
            <w:r>
              <w:rPr>
                <w:rFonts w:ascii="Times" w:hAnsi="Times" w:cs="Times"/>
                <w:sz w:val="25"/>
                <w:szCs w:val="25"/>
              </w:rPr>
              <w:lastRenderedPageBreak/>
              <w:t>Legislatívnymi pravidlami vlády SR aj zaužívanou legislatívnou praxou, a preto by sa nemal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21EED" w:rsidRDefault="00B21EED">
            <w:pPr>
              <w:rPr>
                <w:rFonts w:ascii="Times" w:hAnsi="Times" w:cs="Times"/>
                <w:sz w:val="25"/>
                <w:szCs w:val="25"/>
              </w:rPr>
            </w:pPr>
            <w:r>
              <w:rPr>
                <w:rFonts w:ascii="Times" w:hAnsi="Times" w:cs="Times"/>
                <w:sz w:val="25"/>
                <w:szCs w:val="25"/>
              </w:rPr>
              <w:t>Zapracované.</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A9" w:rsidRDefault="00BF79A9" w:rsidP="000A67D5">
      <w:pPr>
        <w:spacing w:after="0" w:line="240" w:lineRule="auto"/>
      </w:pPr>
      <w:r>
        <w:separator/>
      </w:r>
    </w:p>
  </w:endnote>
  <w:endnote w:type="continuationSeparator" w:id="0">
    <w:p w:rsidR="00BF79A9" w:rsidRDefault="00BF79A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A9" w:rsidRDefault="00BF79A9" w:rsidP="000A67D5">
      <w:pPr>
        <w:spacing w:after="0" w:line="240" w:lineRule="auto"/>
      </w:pPr>
      <w:r>
        <w:separator/>
      </w:r>
    </w:p>
  </w:footnote>
  <w:footnote w:type="continuationSeparator" w:id="0">
    <w:p w:rsidR="00BF79A9" w:rsidRDefault="00BF79A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C04DB"/>
    <w:rsid w:val="002D7471"/>
    <w:rsid w:val="00310A55"/>
    <w:rsid w:val="00322014"/>
    <w:rsid w:val="0039526D"/>
    <w:rsid w:val="003B435B"/>
    <w:rsid w:val="003D101C"/>
    <w:rsid w:val="003D5E45"/>
    <w:rsid w:val="003E4226"/>
    <w:rsid w:val="004075B2"/>
    <w:rsid w:val="00436C44"/>
    <w:rsid w:val="00474A9D"/>
    <w:rsid w:val="00532574"/>
    <w:rsid w:val="00582AA5"/>
    <w:rsid w:val="0059081C"/>
    <w:rsid w:val="005E7C53"/>
    <w:rsid w:val="00642FB8"/>
    <w:rsid w:val="006A3681"/>
    <w:rsid w:val="00713F33"/>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21EED"/>
    <w:rsid w:val="00B721A5"/>
    <w:rsid w:val="00B76589"/>
    <w:rsid w:val="00B8767E"/>
    <w:rsid w:val="00BD1FAB"/>
    <w:rsid w:val="00BE7302"/>
    <w:rsid w:val="00BF79A9"/>
    <w:rsid w:val="00BF7CE0"/>
    <w:rsid w:val="00CA44D2"/>
    <w:rsid w:val="00CE47A6"/>
    <w:rsid w:val="00CF3D59"/>
    <w:rsid w:val="00D261C9"/>
    <w:rsid w:val="00D85172"/>
    <w:rsid w:val="00D969AC"/>
    <w:rsid w:val="00DF7085"/>
    <w:rsid w:val="00E45A81"/>
    <w:rsid w:val="00E85710"/>
    <w:rsid w:val="00EB772A"/>
    <w:rsid w:val="00EF1425"/>
    <w:rsid w:val="00F26A4A"/>
    <w:rsid w:val="00F727F0"/>
    <w:rsid w:val="00F84092"/>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7625">
      <w:bodyDiv w:val="1"/>
      <w:marLeft w:val="0"/>
      <w:marRight w:val="0"/>
      <w:marTop w:val="0"/>
      <w:marBottom w:val="0"/>
      <w:divBdr>
        <w:top w:val="none" w:sz="0" w:space="0" w:color="auto"/>
        <w:left w:val="none" w:sz="0" w:space="0" w:color="auto"/>
        <w:bottom w:val="none" w:sz="0" w:space="0" w:color="auto"/>
        <w:right w:val="none" w:sz="0" w:space="0" w:color="auto"/>
      </w:divBdr>
    </w:div>
    <w:div w:id="450169313">
      <w:bodyDiv w:val="1"/>
      <w:marLeft w:val="0"/>
      <w:marRight w:val="0"/>
      <w:marTop w:val="0"/>
      <w:marBottom w:val="0"/>
      <w:divBdr>
        <w:top w:val="none" w:sz="0" w:space="0" w:color="auto"/>
        <w:left w:val="none" w:sz="0" w:space="0" w:color="auto"/>
        <w:bottom w:val="none" w:sz="0" w:space="0" w:color="auto"/>
        <w:right w:val="none" w:sz="0" w:space="0" w:color="auto"/>
      </w:divBdr>
    </w:div>
    <w:div w:id="757751263">
      <w:bodyDiv w:val="1"/>
      <w:marLeft w:val="0"/>
      <w:marRight w:val="0"/>
      <w:marTop w:val="0"/>
      <w:marBottom w:val="0"/>
      <w:divBdr>
        <w:top w:val="none" w:sz="0" w:space="0" w:color="auto"/>
        <w:left w:val="none" w:sz="0" w:space="0" w:color="auto"/>
        <w:bottom w:val="none" w:sz="0" w:space="0" w:color="auto"/>
        <w:right w:val="none" w:sz="0" w:space="0" w:color="auto"/>
      </w:divBdr>
    </w:div>
    <w:div w:id="872301180">
      <w:bodyDiv w:val="1"/>
      <w:marLeft w:val="0"/>
      <w:marRight w:val="0"/>
      <w:marTop w:val="0"/>
      <w:marBottom w:val="0"/>
      <w:divBdr>
        <w:top w:val="none" w:sz="0" w:space="0" w:color="auto"/>
        <w:left w:val="none" w:sz="0" w:space="0" w:color="auto"/>
        <w:bottom w:val="none" w:sz="0" w:space="0" w:color="auto"/>
        <w:right w:val="none" w:sz="0" w:space="0" w:color="auto"/>
      </w:divBdr>
    </w:div>
    <w:div w:id="1237207808">
      <w:bodyDiv w:val="1"/>
      <w:marLeft w:val="0"/>
      <w:marRight w:val="0"/>
      <w:marTop w:val="0"/>
      <w:marBottom w:val="0"/>
      <w:divBdr>
        <w:top w:val="none" w:sz="0" w:space="0" w:color="auto"/>
        <w:left w:val="none" w:sz="0" w:space="0" w:color="auto"/>
        <w:bottom w:val="none" w:sz="0" w:space="0" w:color="auto"/>
        <w:right w:val="none" w:sz="0" w:space="0" w:color="auto"/>
      </w:divBdr>
    </w:div>
    <w:div w:id="1240603258">
      <w:bodyDiv w:val="1"/>
      <w:marLeft w:val="0"/>
      <w:marRight w:val="0"/>
      <w:marTop w:val="0"/>
      <w:marBottom w:val="0"/>
      <w:divBdr>
        <w:top w:val="none" w:sz="0" w:space="0" w:color="auto"/>
        <w:left w:val="none" w:sz="0" w:space="0" w:color="auto"/>
        <w:bottom w:val="none" w:sz="0" w:space="0" w:color="auto"/>
        <w:right w:val="none" w:sz="0" w:space="0" w:color="auto"/>
      </w:divBdr>
    </w:div>
    <w:div w:id="1246962157">
      <w:bodyDiv w:val="1"/>
      <w:marLeft w:val="0"/>
      <w:marRight w:val="0"/>
      <w:marTop w:val="0"/>
      <w:marBottom w:val="0"/>
      <w:divBdr>
        <w:top w:val="none" w:sz="0" w:space="0" w:color="auto"/>
        <w:left w:val="none" w:sz="0" w:space="0" w:color="auto"/>
        <w:bottom w:val="none" w:sz="0" w:space="0" w:color="auto"/>
        <w:right w:val="none" w:sz="0" w:space="0" w:color="auto"/>
      </w:divBdr>
    </w:div>
    <w:div w:id="16669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12.2021 12:25:22"/>
    <f:field ref="objchangedby" par="" text="Administrator, System"/>
    <f:field ref="objmodifiedat" par="" text="9.12.2021 12:25:2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3104</Words>
  <Characters>17695</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2021-12-09T11:59:00Z</dcterms:created>
  <dcterms:modified xsi:type="dcterms:W3CDTF">2021-12-09T12:52:00Z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 dopĺňa zákon č. 189/2015 Z. z. o kultúrno-osvetovej činnosti informovaná prostredníctvom predbežnej informácie zverejnenej k&amp;nbsp;predmetnému návrhu zákona v&amp;nb</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Dalibor Maťko</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189/2015 Z. z. o kultúrno-osvetovej činnosti</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ktorým sa mení a dopĺňa zákon č. 189/2015 Z. z. o kultúrno-osvetovej činnosti</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MK-7528/2021-243/22982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LP/2021/609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kultúry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&lt;p&gt;&lt;strong&gt;PREDKLADACIA SPRÁVA&lt;/strong&gt;&lt;/p&gt;&lt;p&gt;Ministerstvo kultúry Slovenskej republiky predkladá návrh zákona, ktorým sa mení&amp;nbsp;&amp;nbsp;a dopĺňa zákon č. 189/2015 Z. z. o&amp;nbsp;kultúrno-osvetovej činnosti na základe Plánu legislatívnych úloh&amp;nbsp; vlády </vt:lpwstr>
  </property>
  <property fmtid="{D5CDD505-2E9C-101B-9397-08002B2CF9AE}" pid="149" name="FSC#COOSYSTEM@1.1:Container">
    <vt:lpwstr>COO.2145.1000.3.4727177</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9. 12. 2021</vt:lpwstr>
  </property>
</Properties>
</file>